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6332A" w14:textId="30D95CD9" w:rsidR="00B6012C" w:rsidRPr="00A7524F" w:rsidRDefault="00E30D03" w:rsidP="00381C3D">
      <w:pPr>
        <w:widowControl w:val="0"/>
        <w:tabs>
          <w:tab w:val="left" w:pos="6700"/>
        </w:tabs>
        <w:jc w:val="center"/>
        <w:rPr>
          <w:rFonts w:cs="Arial"/>
          <w:sz w:val="48"/>
        </w:rPr>
      </w:pPr>
      <w:r>
        <w:rPr>
          <w:noProof/>
          <w:lang w:eastAsia="en-AU"/>
        </w:rPr>
        <w:drawing>
          <wp:inline distT="0" distB="0" distL="0" distR="0" wp14:anchorId="43274CCB" wp14:editId="55B9E21C">
            <wp:extent cx="3409950" cy="105727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09950" cy="1057275"/>
                    </a:xfrm>
                    <a:prstGeom prst="rect">
                      <a:avLst/>
                    </a:prstGeom>
                  </pic:spPr>
                </pic:pic>
              </a:graphicData>
            </a:graphic>
          </wp:inline>
        </w:drawing>
      </w:r>
    </w:p>
    <w:p w14:paraId="33C7C20A" w14:textId="77777777" w:rsidR="00B6012C" w:rsidRPr="00B05CDE" w:rsidRDefault="00B6012C" w:rsidP="00381C3D">
      <w:pPr>
        <w:widowControl w:val="0"/>
        <w:tabs>
          <w:tab w:val="left" w:pos="6700"/>
        </w:tabs>
        <w:jc w:val="center"/>
        <w:rPr>
          <w:rFonts w:cs="Arial"/>
          <w:sz w:val="40"/>
          <w:szCs w:val="40"/>
        </w:rPr>
      </w:pPr>
    </w:p>
    <w:p w14:paraId="116BB68D" w14:textId="77777777" w:rsidR="00B6012C" w:rsidRPr="00B05CDE" w:rsidRDefault="00B6012C" w:rsidP="00381C3D">
      <w:pPr>
        <w:widowControl w:val="0"/>
        <w:tabs>
          <w:tab w:val="left" w:pos="6700"/>
        </w:tabs>
        <w:jc w:val="center"/>
        <w:rPr>
          <w:rFonts w:cs="Arial"/>
          <w:sz w:val="40"/>
          <w:szCs w:val="40"/>
        </w:rPr>
      </w:pPr>
    </w:p>
    <w:p w14:paraId="6C470C8C" w14:textId="77777777" w:rsidR="00B6012C" w:rsidRPr="00B05CDE" w:rsidRDefault="00B6012C" w:rsidP="00381C3D">
      <w:pPr>
        <w:jc w:val="center"/>
        <w:outlineLvl w:val="5"/>
        <w:rPr>
          <w:rFonts w:cs="Arial"/>
          <w:b/>
          <w:sz w:val="40"/>
          <w:szCs w:val="40"/>
        </w:rPr>
      </w:pPr>
      <w:r w:rsidRPr="00B05CDE">
        <w:rPr>
          <w:rFonts w:cs="Arial"/>
          <w:b/>
          <w:sz w:val="40"/>
          <w:szCs w:val="40"/>
        </w:rPr>
        <w:t>Assessment of the</w:t>
      </w:r>
    </w:p>
    <w:p w14:paraId="7CB94214" w14:textId="6A3EDDCF" w:rsidR="00B6012C" w:rsidRPr="00B05CDE" w:rsidRDefault="009A0CF9" w:rsidP="00381C3D">
      <w:pPr>
        <w:pStyle w:val="Heading6"/>
        <w:spacing w:before="120" w:after="120"/>
        <w:jc w:val="center"/>
        <w:rPr>
          <w:rFonts w:ascii="Arial" w:hAnsi="Arial" w:cs="Arial"/>
          <w:i/>
          <w:sz w:val="40"/>
          <w:szCs w:val="40"/>
        </w:rPr>
      </w:pPr>
      <w:r>
        <w:rPr>
          <w:rFonts w:ascii="Arial" w:hAnsi="Arial" w:cs="Arial"/>
          <w:sz w:val="40"/>
          <w:szCs w:val="40"/>
        </w:rPr>
        <w:t>Victorian PQ Aquatics Syngnathids Wildlife Trade Operation</w:t>
      </w:r>
    </w:p>
    <w:p w14:paraId="6A28F6C5" w14:textId="77777777" w:rsidR="00B6012C" w:rsidRPr="00B05CDE" w:rsidRDefault="00B6012C" w:rsidP="00381C3D">
      <w:pPr>
        <w:tabs>
          <w:tab w:val="left" w:pos="6700"/>
        </w:tabs>
        <w:jc w:val="center"/>
        <w:outlineLvl w:val="5"/>
        <w:rPr>
          <w:rFonts w:cs="Arial"/>
          <w:sz w:val="40"/>
          <w:szCs w:val="40"/>
        </w:rPr>
      </w:pPr>
    </w:p>
    <w:p w14:paraId="408FC6FF" w14:textId="77777777" w:rsidR="00B6012C" w:rsidRPr="00B05CDE" w:rsidRDefault="00B6012C" w:rsidP="00381C3D">
      <w:pPr>
        <w:tabs>
          <w:tab w:val="left" w:pos="6700"/>
        </w:tabs>
        <w:jc w:val="center"/>
        <w:outlineLvl w:val="5"/>
        <w:rPr>
          <w:rFonts w:cs="Arial"/>
          <w:sz w:val="40"/>
          <w:szCs w:val="40"/>
        </w:rPr>
      </w:pPr>
    </w:p>
    <w:p w14:paraId="09582250" w14:textId="77777777" w:rsidR="00B6012C" w:rsidRPr="00211477" w:rsidRDefault="00B6012C" w:rsidP="00211477"/>
    <w:p w14:paraId="6FDB88F3" w14:textId="77777777" w:rsidR="00B6012C" w:rsidRPr="00211477" w:rsidRDefault="00B6012C" w:rsidP="00211477"/>
    <w:p w14:paraId="5421CD4F" w14:textId="77777777" w:rsidR="00B6012C" w:rsidRPr="00211477" w:rsidRDefault="00B6012C" w:rsidP="00211477"/>
    <w:p w14:paraId="2FCE336E" w14:textId="77777777" w:rsidR="00B6012C" w:rsidRPr="00211477" w:rsidRDefault="00B6012C" w:rsidP="00211477"/>
    <w:p w14:paraId="615EED31" w14:textId="73FE4F2E" w:rsidR="00381C3D" w:rsidRPr="00211477" w:rsidRDefault="00381C3D" w:rsidP="00211477"/>
    <w:p w14:paraId="3380EC84" w14:textId="77777777" w:rsidR="00381C3D" w:rsidRPr="00211477" w:rsidRDefault="00381C3D" w:rsidP="00211477"/>
    <w:p w14:paraId="3360CB3D" w14:textId="77777777" w:rsidR="00381C3D" w:rsidRPr="00211477" w:rsidRDefault="00381C3D" w:rsidP="00211477"/>
    <w:p w14:paraId="45DC70E5" w14:textId="77777777" w:rsidR="00381C3D" w:rsidRPr="00211477" w:rsidRDefault="00381C3D" w:rsidP="00211477"/>
    <w:p w14:paraId="34CDA9D0" w14:textId="77777777" w:rsidR="00381C3D" w:rsidRPr="00211477" w:rsidRDefault="00381C3D" w:rsidP="00211477"/>
    <w:p w14:paraId="37A7CE58" w14:textId="77777777" w:rsidR="00E14167" w:rsidRDefault="00E14167" w:rsidP="00381C3D">
      <w:pPr>
        <w:pStyle w:val="Heading7"/>
        <w:keepNext w:val="0"/>
        <w:autoSpaceDE/>
        <w:autoSpaceDN/>
        <w:spacing w:after="120"/>
        <w:rPr>
          <w:rFonts w:ascii="Arial" w:hAnsi="Arial" w:cs="Arial"/>
          <w:lang w:val="en-AU"/>
        </w:rPr>
      </w:pPr>
    </w:p>
    <w:p w14:paraId="1A4948CD" w14:textId="77777777" w:rsidR="00E14167" w:rsidRDefault="00E14167" w:rsidP="00381C3D">
      <w:pPr>
        <w:pStyle w:val="Heading7"/>
        <w:keepNext w:val="0"/>
        <w:autoSpaceDE/>
        <w:autoSpaceDN/>
        <w:spacing w:after="120"/>
        <w:rPr>
          <w:rFonts w:ascii="Arial" w:hAnsi="Arial" w:cs="Arial"/>
          <w:lang w:val="en-AU"/>
        </w:rPr>
      </w:pPr>
    </w:p>
    <w:p w14:paraId="6630AD68" w14:textId="77777777" w:rsidR="00E14167" w:rsidRDefault="00E14167" w:rsidP="00381C3D">
      <w:pPr>
        <w:pStyle w:val="Heading7"/>
        <w:keepNext w:val="0"/>
        <w:autoSpaceDE/>
        <w:autoSpaceDN/>
        <w:spacing w:after="120"/>
        <w:rPr>
          <w:rFonts w:ascii="Arial" w:hAnsi="Arial" w:cs="Arial"/>
          <w:lang w:val="en-AU"/>
        </w:rPr>
      </w:pPr>
    </w:p>
    <w:p w14:paraId="6EDAAB4A" w14:textId="77777777" w:rsidR="00E14167" w:rsidRDefault="00E14167" w:rsidP="00381C3D">
      <w:pPr>
        <w:pStyle w:val="Heading7"/>
        <w:keepNext w:val="0"/>
        <w:autoSpaceDE/>
        <w:autoSpaceDN/>
        <w:spacing w:after="120"/>
        <w:rPr>
          <w:rFonts w:ascii="Arial" w:hAnsi="Arial" w:cs="Arial"/>
          <w:lang w:val="en-AU"/>
        </w:rPr>
      </w:pPr>
    </w:p>
    <w:p w14:paraId="1497D3BD" w14:textId="74795C66" w:rsidR="00B6012C" w:rsidRPr="00F6308F" w:rsidRDefault="0015081E" w:rsidP="00381C3D">
      <w:pPr>
        <w:pStyle w:val="Heading7"/>
        <w:keepNext w:val="0"/>
        <w:autoSpaceDE/>
        <w:autoSpaceDN/>
        <w:spacing w:after="120"/>
        <w:rPr>
          <w:rFonts w:ascii="Arial" w:hAnsi="Arial" w:cs="Arial"/>
          <w:lang w:val="en-AU"/>
        </w:rPr>
      </w:pPr>
      <w:r>
        <w:rPr>
          <w:rFonts w:ascii="Arial" w:hAnsi="Arial" w:cs="Arial"/>
          <w:lang w:val="en-AU"/>
        </w:rPr>
        <w:t>December 2021</w:t>
      </w:r>
    </w:p>
    <w:p w14:paraId="1FA2A5CC" w14:textId="77777777" w:rsidR="00B6012C" w:rsidRPr="00F6308F" w:rsidRDefault="00B6012C" w:rsidP="00381C3D">
      <w:pPr>
        <w:jc w:val="center"/>
        <w:outlineLvl w:val="5"/>
        <w:rPr>
          <w:rFonts w:cs="Arial"/>
        </w:rPr>
      </w:pPr>
    </w:p>
    <w:p w14:paraId="2040416A" w14:textId="77777777" w:rsidR="00B6012C" w:rsidRPr="00F6308F" w:rsidRDefault="00B6012C" w:rsidP="00381C3D">
      <w:pPr>
        <w:rPr>
          <w:rFonts w:cs="Arial"/>
        </w:rPr>
      </w:pPr>
    </w:p>
    <w:p w14:paraId="54B4FEE2" w14:textId="77777777" w:rsidR="00574DD7" w:rsidRDefault="00574DD7" w:rsidP="00381C3D">
      <w:pPr>
        <w:rPr>
          <w:rFonts w:cs="Arial"/>
        </w:rPr>
        <w:sectPr w:rsidR="00574DD7" w:rsidSect="001955CD">
          <w:footerReference w:type="default" r:id="rId14"/>
          <w:footerReference w:type="first" r:id="rId15"/>
          <w:pgSz w:w="11906" w:h="16838"/>
          <w:pgMar w:top="1418" w:right="1276" w:bottom="567" w:left="1418" w:header="425" w:footer="425" w:gutter="0"/>
          <w:pgNumType w:start="1"/>
          <w:cols w:space="708"/>
          <w:titlePg/>
          <w:docGrid w:linePitch="360"/>
        </w:sectPr>
      </w:pPr>
    </w:p>
    <w:p w14:paraId="5C1A4B42" w14:textId="5916A496" w:rsidR="00B6012C" w:rsidRPr="00574DD7" w:rsidRDefault="00B6012C" w:rsidP="00381C3D">
      <w:pPr>
        <w:rPr>
          <w:rFonts w:cs="Arial"/>
          <w:sz w:val="20"/>
          <w:szCs w:val="20"/>
        </w:rPr>
      </w:pPr>
    </w:p>
    <w:p w14:paraId="1AB4BB3C" w14:textId="4FFE5C06" w:rsidR="00134108" w:rsidRPr="00574DD7" w:rsidRDefault="00134108" w:rsidP="00381C3D">
      <w:pPr>
        <w:rPr>
          <w:rStyle w:val="Hyperlink"/>
          <w:rFonts w:eastAsia="Times New Roman" w:cs="Arial"/>
          <w:noProof/>
          <w:color w:val="auto"/>
          <w:sz w:val="20"/>
          <w:szCs w:val="20"/>
          <w:lang w:eastAsia="en-AU"/>
        </w:rPr>
      </w:pPr>
    </w:p>
    <w:p w14:paraId="02B38320" w14:textId="77777777" w:rsidR="00134108" w:rsidRPr="00574DD7" w:rsidRDefault="00134108" w:rsidP="00381C3D">
      <w:pPr>
        <w:rPr>
          <w:rStyle w:val="Hyperlink"/>
          <w:rFonts w:eastAsia="Times New Roman" w:cs="Arial"/>
          <w:noProof/>
          <w:color w:val="auto"/>
          <w:sz w:val="20"/>
          <w:szCs w:val="20"/>
          <w:lang w:eastAsia="en-AU"/>
        </w:rPr>
      </w:pPr>
    </w:p>
    <w:p w14:paraId="2C148F52" w14:textId="77777777" w:rsidR="00134108" w:rsidRPr="00574DD7" w:rsidRDefault="00134108" w:rsidP="00381C3D">
      <w:pPr>
        <w:rPr>
          <w:rStyle w:val="Hyperlink"/>
          <w:rFonts w:eastAsia="Times New Roman" w:cs="Arial"/>
          <w:noProof/>
          <w:color w:val="auto"/>
          <w:sz w:val="20"/>
          <w:szCs w:val="20"/>
          <w:lang w:eastAsia="en-AU"/>
        </w:rPr>
      </w:pPr>
    </w:p>
    <w:p w14:paraId="796DA257" w14:textId="77777777" w:rsidR="00134108" w:rsidRDefault="00134108" w:rsidP="00381C3D">
      <w:pPr>
        <w:rPr>
          <w:rStyle w:val="Hyperlink"/>
          <w:rFonts w:eastAsia="Times New Roman" w:cs="Arial"/>
          <w:noProof/>
          <w:color w:val="auto"/>
          <w:sz w:val="20"/>
          <w:szCs w:val="20"/>
          <w:lang w:eastAsia="en-AU"/>
        </w:rPr>
      </w:pPr>
    </w:p>
    <w:p w14:paraId="55A75FF0" w14:textId="5A9C8879" w:rsidR="00381C3D" w:rsidRDefault="00381C3D" w:rsidP="00381C3D">
      <w:pPr>
        <w:rPr>
          <w:rStyle w:val="Hyperlink"/>
          <w:rFonts w:eastAsia="Times New Roman" w:cs="Arial"/>
          <w:noProof/>
          <w:color w:val="auto"/>
          <w:sz w:val="20"/>
          <w:szCs w:val="20"/>
          <w:lang w:eastAsia="en-AU"/>
        </w:rPr>
      </w:pPr>
    </w:p>
    <w:p w14:paraId="6E33F720" w14:textId="77777777" w:rsidR="00381C3D" w:rsidRDefault="00381C3D" w:rsidP="00381C3D">
      <w:pPr>
        <w:rPr>
          <w:rStyle w:val="Hyperlink"/>
          <w:rFonts w:eastAsia="Times New Roman" w:cs="Arial"/>
          <w:noProof/>
          <w:color w:val="auto"/>
          <w:sz w:val="20"/>
          <w:szCs w:val="20"/>
          <w:lang w:eastAsia="en-AU"/>
        </w:rPr>
      </w:pPr>
    </w:p>
    <w:p w14:paraId="4DFC8019" w14:textId="77777777" w:rsidR="00381C3D" w:rsidRDefault="00381C3D" w:rsidP="00381C3D">
      <w:pPr>
        <w:rPr>
          <w:rStyle w:val="Hyperlink"/>
          <w:rFonts w:eastAsia="Times New Roman" w:cs="Arial"/>
          <w:noProof/>
          <w:color w:val="auto"/>
          <w:sz w:val="20"/>
          <w:szCs w:val="20"/>
          <w:lang w:eastAsia="en-AU"/>
        </w:rPr>
      </w:pPr>
    </w:p>
    <w:p w14:paraId="27F68273" w14:textId="77777777" w:rsidR="00381C3D" w:rsidRDefault="00381C3D" w:rsidP="00381C3D">
      <w:pPr>
        <w:rPr>
          <w:rStyle w:val="Hyperlink"/>
          <w:rFonts w:eastAsia="Times New Roman" w:cs="Arial"/>
          <w:noProof/>
          <w:color w:val="auto"/>
          <w:sz w:val="20"/>
          <w:szCs w:val="20"/>
          <w:lang w:eastAsia="en-AU"/>
        </w:rPr>
      </w:pPr>
    </w:p>
    <w:p w14:paraId="6B5E3DAC" w14:textId="77777777" w:rsidR="00381C3D" w:rsidRDefault="00381C3D" w:rsidP="00381C3D">
      <w:pPr>
        <w:rPr>
          <w:rStyle w:val="Hyperlink"/>
          <w:rFonts w:eastAsia="Times New Roman" w:cs="Arial"/>
          <w:noProof/>
          <w:color w:val="auto"/>
          <w:sz w:val="20"/>
          <w:szCs w:val="20"/>
          <w:lang w:eastAsia="en-AU"/>
        </w:rPr>
      </w:pPr>
    </w:p>
    <w:p w14:paraId="0BDF2950" w14:textId="77777777" w:rsidR="00381C3D" w:rsidRDefault="00381C3D" w:rsidP="00381C3D">
      <w:pPr>
        <w:rPr>
          <w:rStyle w:val="Hyperlink"/>
          <w:rFonts w:eastAsia="Times New Roman" w:cs="Arial"/>
          <w:noProof/>
          <w:color w:val="auto"/>
          <w:sz w:val="20"/>
          <w:szCs w:val="20"/>
          <w:lang w:eastAsia="en-AU"/>
        </w:rPr>
      </w:pPr>
    </w:p>
    <w:p w14:paraId="3278EA5D" w14:textId="77777777" w:rsidR="00381C3D" w:rsidRDefault="00381C3D" w:rsidP="00381C3D">
      <w:pPr>
        <w:rPr>
          <w:rStyle w:val="Hyperlink"/>
          <w:rFonts w:eastAsia="Times New Roman" w:cs="Arial"/>
          <w:noProof/>
          <w:color w:val="auto"/>
          <w:sz w:val="20"/>
          <w:szCs w:val="20"/>
          <w:lang w:eastAsia="en-AU"/>
        </w:rPr>
      </w:pPr>
    </w:p>
    <w:p w14:paraId="53DF490F" w14:textId="77777777" w:rsidR="00381C3D" w:rsidRDefault="00381C3D" w:rsidP="00381C3D">
      <w:pPr>
        <w:rPr>
          <w:rStyle w:val="Hyperlink"/>
          <w:rFonts w:eastAsia="Times New Roman" w:cs="Arial"/>
          <w:noProof/>
          <w:color w:val="auto"/>
          <w:sz w:val="20"/>
          <w:szCs w:val="20"/>
          <w:lang w:eastAsia="en-AU"/>
        </w:rPr>
      </w:pPr>
    </w:p>
    <w:p w14:paraId="53A8FDD9" w14:textId="77777777" w:rsidR="00381C3D" w:rsidRDefault="00381C3D" w:rsidP="00381C3D">
      <w:pPr>
        <w:rPr>
          <w:rStyle w:val="Hyperlink"/>
          <w:rFonts w:eastAsia="Times New Roman" w:cs="Arial"/>
          <w:noProof/>
          <w:color w:val="auto"/>
          <w:sz w:val="20"/>
          <w:szCs w:val="20"/>
          <w:lang w:eastAsia="en-AU"/>
        </w:rPr>
      </w:pPr>
    </w:p>
    <w:p w14:paraId="626ADEFF" w14:textId="77777777" w:rsidR="00381C3D" w:rsidRDefault="00381C3D" w:rsidP="00381C3D">
      <w:pPr>
        <w:rPr>
          <w:rStyle w:val="Hyperlink"/>
          <w:rFonts w:eastAsia="Times New Roman" w:cs="Arial"/>
          <w:noProof/>
          <w:color w:val="auto"/>
          <w:sz w:val="20"/>
          <w:szCs w:val="20"/>
          <w:lang w:eastAsia="en-AU"/>
        </w:rPr>
      </w:pPr>
    </w:p>
    <w:p w14:paraId="4C68D5AF" w14:textId="77777777" w:rsidR="00381C3D" w:rsidRDefault="00381C3D" w:rsidP="00381C3D">
      <w:pPr>
        <w:rPr>
          <w:rStyle w:val="Hyperlink"/>
          <w:rFonts w:eastAsia="Times New Roman" w:cs="Arial"/>
          <w:noProof/>
          <w:color w:val="auto"/>
          <w:sz w:val="20"/>
          <w:szCs w:val="20"/>
          <w:lang w:eastAsia="en-AU"/>
        </w:rPr>
      </w:pPr>
    </w:p>
    <w:p w14:paraId="4AF0A397" w14:textId="77777777" w:rsidR="00134108" w:rsidRPr="00574DD7" w:rsidRDefault="00134108" w:rsidP="00381C3D">
      <w:pPr>
        <w:rPr>
          <w:rStyle w:val="Hyperlink"/>
          <w:rFonts w:eastAsia="Times New Roman" w:cs="Arial"/>
          <w:noProof/>
          <w:color w:val="auto"/>
          <w:sz w:val="20"/>
          <w:szCs w:val="20"/>
          <w:lang w:eastAsia="en-AU"/>
        </w:rPr>
      </w:pPr>
    </w:p>
    <w:p w14:paraId="38149A8D" w14:textId="77777777" w:rsidR="00134108" w:rsidRPr="00574DD7" w:rsidRDefault="00134108" w:rsidP="00381C3D">
      <w:pPr>
        <w:rPr>
          <w:rStyle w:val="Hyperlink"/>
          <w:rFonts w:eastAsia="Times New Roman" w:cs="Arial"/>
          <w:noProof/>
          <w:color w:val="auto"/>
          <w:sz w:val="20"/>
          <w:szCs w:val="20"/>
          <w:lang w:eastAsia="en-AU"/>
        </w:rPr>
      </w:pPr>
    </w:p>
    <w:p w14:paraId="44147207" w14:textId="32DA7E53" w:rsidR="00216DC7" w:rsidRPr="00574DD7" w:rsidRDefault="00216DC7" w:rsidP="00381C3D">
      <w:pPr>
        <w:tabs>
          <w:tab w:val="right" w:leader="dot" w:pos="8302"/>
        </w:tabs>
        <w:rPr>
          <w:rFonts w:cs="Arial"/>
          <w:noProof/>
          <w:webHidden/>
          <w:sz w:val="20"/>
          <w:szCs w:val="20"/>
        </w:rPr>
      </w:pPr>
    </w:p>
    <w:p w14:paraId="7E323DD6" w14:textId="6550424C" w:rsidR="00056E19" w:rsidRPr="00574DD7" w:rsidRDefault="00056E19" w:rsidP="00381C3D">
      <w:pPr>
        <w:tabs>
          <w:tab w:val="right" w:leader="dot" w:pos="8302"/>
        </w:tabs>
        <w:rPr>
          <w:rFonts w:cs="Arial"/>
          <w:noProof/>
          <w:webHidden/>
          <w:sz w:val="20"/>
          <w:szCs w:val="20"/>
        </w:rPr>
      </w:pPr>
    </w:p>
    <w:p w14:paraId="79EBC778" w14:textId="77777777" w:rsidR="00056E19" w:rsidRPr="00574DD7" w:rsidRDefault="00056E19" w:rsidP="00381C3D">
      <w:pPr>
        <w:tabs>
          <w:tab w:val="right" w:leader="dot" w:pos="8302"/>
        </w:tabs>
        <w:rPr>
          <w:rFonts w:cs="Arial"/>
          <w:noProof/>
          <w:webHidden/>
          <w:sz w:val="20"/>
          <w:szCs w:val="20"/>
        </w:rPr>
      </w:pPr>
    </w:p>
    <w:p w14:paraId="7874054E" w14:textId="77777777" w:rsidR="00056E19" w:rsidRPr="00574DD7" w:rsidRDefault="00056E19" w:rsidP="00381C3D">
      <w:pPr>
        <w:tabs>
          <w:tab w:val="right" w:leader="dot" w:pos="8302"/>
        </w:tabs>
        <w:rPr>
          <w:rFonts w:cs="Arial"/>
          <w:noProof/>
          <w:webHidden/>
          <w:sz w:val="20"/>
          <w:szCs w:val="20"/>
        </w:rPr>
      </w:pPr>
    </w:p>
    <w:p w14:paraId="14434FC4" w14:textId="77777777" w:rsidR="00056E19" w:rsidRPr="00574DD7" w:rsidRDefault="00056E19" w:rsidP="00381C3D">
      <w:pPr>
        <w:tabs>
          <w:tab w:val="right" w:leader="dot" w:pos="8302"/>
        </w:tabs>
        <w:rPr>
          <w:rFonts w:cs="Arial"/>
          <w:noProof/>
          <w:webHidden/>
          <w:sz w:val="20"/>
          <w:szCs w:val="20"/>
        </w:rPr>
      </w:pPr>
    </w:p>
    <w:p w14:paraId="0640B96F" w14:textId="4B8E758E" w:rsidR="00C743A7" w:rsidRPr="00574DD7" w:rsidRDefault="00C743A7" w:rsidP="00381C3D">
      <w:pPr>
        <w:rPr>
          <w:rFonts w:cs="Arial"/>
          <w:sz w:val="20"/>
          <w:szCs w:val="20"/>
        </w:rPr>
      </w:pPr>
    </w:p>
    <w:p w14:paraId="7C167C8F" w14:textId="1495401D" w:rsidR="00C743A7" w:rsidRPr="00480A40" w:rsidRDefault="00C743A7" w:rsidP="00381C3D">
      <w:pPr>
        <w:pStyle w:val="NormalWeb"/>
        <w:spacing w:before="120" w:beforeAutospacing="0" w:after="120" w:afterAutospacing="0"/>
        <w:rPr>
          <w:rFonts w:ascii="Arial" w:hAnsi="Arial" w:cs="Arial"/>
          <w:sz w:val="16"/>
          <w:szCs w:val="16"/>
        </w:rPr>
      </w:pPr>
      <w:r w:rsidRPr="00480A40">
        <w:rPr>
          <w:rFonts w:ascii="Arial" w:hAnsi="Arial" w:cs="Arial"/>
          <w:sz w:val="16"/>
          <w:szCs w:val="16"/>
        </w:rPr>
        <w:t>© Copyright</w:t>
      </w:r>
      <w:r>
        <w:rPr>
          <w:rFonts w:ascii="Arial" w:hAnsi="Arial" w:cs="Arial"/>
          <w:sz w:val="16"/>
          <w:szCs w:val="16"/>
        </w:rPr>
        <w:t xml:space="preserve"> Commonwealth of Australia, </w:t>
      </w:r>
      <w:r w:rsidR="005E66F8">
        <w:rPr>
          <w:rFonts w:ascii="Arial" w:hAnsi="Arial" w:cs="Arial"/>
          <w:sz w:val="16"/>
          <w:szCs w:val="16"/>
        </w:rPr>
        <w:t>2021</w:t>
      </w:r>
      <w:r w:rsidRPr="00480A40">
        <w:rPr>
          <w:rFonts w:ascii="Arial" w:hAnsi="Arial" w:cs="Arial"/>
          <w:sz w:val="16"/>
          <w:szCs w:val="16"/>
        </w:rPr>
        <w:t>.</w:t>
      </w:r>
    </w:p>
    <w:p w14:paraId="05B584B8" w14:textId="77777777" w:rsidR="00C743A7" w:rsidRPr="00480A40" w:rsidRDefault="00C743A7" w:rsidP="00381C3D">
      <w:pPr>
        <w:pStyle w:val="NormalWeb"/>
        <w:spacing w:before="120" w:beforeAutospacing="0" w:after="120" w:afterAutospacing="0"/>
        <w:rPr>
          <w:rFonts w:ascii="Arial" w:hAnsi="Arial" w:cs="Arial"/>
          <w:i/>
          <w:sz w:val="16"/>
          <w:szCs w:val="16"/>
        </w:rPr>
      </w:pPr>
      <w:r>
        <w:rPr>
          <w:rFonts w:ascii="Arial" w:hAnsi="Arial" w:cs="Arial"/>
          <w:noProof/>
          <w:sz w:val="16"/>
          <w:szCs w:val="16"/>
          <w:lang w:val="en-AU" w:eastAsia="en-AU"/>
        </w:rPr>
        <w:drawing>
          <wp:inline distT="0" distB="0" distL="0" distR="0" wp14:anchorId="4697E7F7" wp14:editId="4CAAC379">
            <wp:extent cx="1809750" cy="457200"/>
            <wp:effectExtent l="19050" t="0" r="0" b="0"/>
            <wp:docPr id="1" name="Picture 1" descr="creative_commons_lic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_commons_licence.jpg"/>
                    <pic:cNvPicPr>
                      <a:picLocks noChangeAspect="1" noChangeArrowheads="1"/>
                    </pic:cNvPicPr>
                  </pic:nvPicPr>
                  <pic:blipFill>
                    <a:blip r:embed="rId16" cstate="print"/>
                    <a:srcRect/>
                    <a:stretch>
                      <a:fillRect/>
                    </a:stretch>
                  </pic:blipFill>
                  <pic:spPr bwMode="auto">
                    <a:xfrm>
                      <a:off x="0" y="0"/>
                      <a:ext cx="1809750" cy="457200"/>
                    </a:xfrm>
                    <a:prstGeom prst="rect">
                      <a:avLst/>
                    </a:prstGeom>
                    <a:noFill/>
                    <a:ln w="9525">
                      <a:noFill/>
                      <a:miter lim="800000"/>
                      <a:headEnd/>
                      <a:tailEnd/>
                    </a:ln>
                  </pic:spPr>
                </pic:pic>
              </a:graphicData>
            </a:graphic>
          </wp:inline>
        </w:drawing>
      </w:r>
    </w:p>
    <w:p w14:paraId="1FB1499B" w14:textId="2FBAE727" w:rsidR="00C743A7" w:rsidRPr="00480A40" w:rsidRDefault="00C743A7" w:rsidP="00381C3D">
      <w:pPr>
        <w:pStyle w:val="NormalWeb"/>
        <w:spacing w:before="120" w:beforeAutospacing="0" w:after="120" w:afterAutospacing="0"/>
        <w:rPr>
          <w:rFonts w:ascii="Arial" w:hAnsi="Arial" w:cs="Arial"/>
          <w:sz w:val="16"/>
          <w:szCs w:val="16"/>
        </w:rPr>
      </w:pPr>
      <w:r w:rsidRPr="005E66F8">
        <w:rPr>
          <w:rFonts w:ascii="Arial" w:hAnsi="Arial" w:cs="Arial"/>
          <w:i/>
          <w:sz w:val="16"/>
          <w:szCs w:val="16"/>
        </w:rPr>
        <w:t xml:space="preserve">Assessment of the </w:t>
      </w:r>
      <w:r w:rsidR="005E66F8" w:rsidRPr="005E66F8">
        <w:rPr>
          <w:rFonts w:ascii="Arial" w:hAnsi="Arial" w:cs="Arial"/>
          <w:i/>
          <w:sz w:val="16"/>
          <w:szCs w:val="16"/>
        </w:rPr>
        <w:t>Victorian PQ Aquatics Syngnathids Wildlife Trade Operation December 2021</w:t>
      </w:r>
      <w:r w:rsidRPr="005E66F8">
        <w:rPr>
          <w:rFonts w:ascii="Arial" w:hAnsi="Arial" w:cs="Arial"/>
          <w:i/>
          <w:sz w:val="16"/>
          <w:szCs w:val="16"/>
        </w:rPr>
        <w:t xml:space="preserve"> </w:t>
      </w:r>
      <w:r w:rsidRPr="00480A40">
        <w:rPr>
          <w:rFonts w:ascii="Arial" w:hAnsi="Arial" w:cs="Arial"/>
          <w:sz w:val="16"/>
          <w:szCs w:val="16"/>
        </w:rPr>
        <w:t>is licensed by the Commonwealth of Australia for use under a Creative Commons By Attribution 3.0 Australia licence with the exception of the Coat of Arms of the Commonwealth of Australia, the logo of the agency responsible for publishing the report, content supplied by third parties, and any images depicting people. For licence conditions see: http://creativecommons.org/licenses/by/3.0/au/.</w:t>
      </w:r>
    </w:p>
    <w:p w14:paraId="6F619313" w14:textId="445F8718" w:rsidR="00C743A7" w:rsidRPr="00480A40" w:rsidRDefault="00C743A7" w:rsidP="00381C3D">
      <w:pPr>
        <w:pStyle w:val="NormalWeb"/>
        <w:spacing w:before="120" w:beforeAutospacing="0" w:after="120" w:afterAutospacing="0"/>
        <w:rPr>
          <w:rFonts w:ascii="Arial" w:hAnsi="Arial" w:cs="Arial"/>
          <w:sz w:val="16"/>
          <w:szCs w:val="16"/>
        </w:rPr>
      </w:pPr>
      <w:r w:rsidRPr="00480A40">
        <w:rPr>
          <w:rFonts w:ascii="Arial" w:hAnsi="Arial" w:cs="Arial"/>
          <w:sz w:val="16"/>
          <w:szCs w:val="16"/>
        </w:rPr>
        <w:t>This report should be attributed as ‘</w:t>
      </w:r>
      <w:r w:rsidR="005E66F8" w:rsidRPr="005E66F8">
        <w:rPr>
          <w:rFonts w:ascii="Arial" w:hAnsi="Arial" w:cs="Arial"/>
          <w:i/>
          <w:sz w:val="16"/>
          <w:szCs w:val="16"/>
        </w:rPr>
        <w:t>Assessment of the Victorian PQ Aquatics Syngnathids Wildlife Trade Operation December 2021</w:t>
      </w:r>
      <w:r w:rsidRPr="00480A40">
        <w:rPr>
          <w:rFonts w:ascii="Arial" w:hAnsi="Arial" w:cs="Arial"/>
          <w:sz w:val="16"/>
          <w:szCs w:val="16"/>
        </w:rPr>
        <w:t xml:space="preserve">, Commonwealth of Australia </w:t>
      </w:r>
      <w:r w:rsidR="005E66F8">
        <w:rPr>
          <w:rFonts w:ascii="Arial" w:hAnsi="Arial" w:cs="Arial"/>
          <w:sz w:val="16"/>
          <w:szCs w:val="16"/>
        </w:rPr>
        <w:t>2021</w:t>
      </w:r>
      <w:r w:rsidR="004649FA">
        <w:rPr>
          <w:rFonts w:ascii="Arial" w:hAnsi="Arial" w:cs="Arial"/>
          <w:sz w:val="16"/>
          <w:szCs w:val="16"/>
        </w:rPr>
        <w:t>’</w:t>
      </w:r>
      <w:r w:rsidRPr="00480A40">
        <w:rPr>
          <w:rFonts w:ascii="Arial" w:hAnsi="Arial" w:cs="Arial"/>
          <w:sz w:val="16"/>
          <w:szCs w:val="16"/>
        </w:rPr>
        <w:t>.</w:t>
      </w:r>
    </w:p>
    <w:p w14:paraId="0D5442F5" w14:textId="77777777" w:rsidR="00C743A7" w:rsidRPr="00F6308F" w:rsidRDefault="00C743A7" w:rsidP="00381C3D">
      <w:pPr>
        <w:pStyle w:val="NormalWeb"/>
        <w:spacing w:before="120" w:beforeAutospacing="0" w:after="120" w:afterAutospacing="0"/>
        <w:rPr>
          <w:rFonts w:ascii="Arial" w:hAnsi="Arial" w:cs="Arial"/>
          <w:sz w:val="20"/>
          <w:szCs w:val="20"/>
          <w:lang w:val="en-AU"/>
        </w:rPr>
      </w:pPr>
      <w:r w:rsidRPr="00F6308F">
        <w:rPr>
          <w:rFonts w:ascii="Arial" w:hAnsi="Arial" w:cs="Arial"/>
          <w:sz w:val="20"/>
          <w:szCs w:val="20"/>
          <w:lang w:val="en-AU"/>
        </w:rPr>
        <w:t xml:space="preserve"> </w:t>
      </w:r>
    </w:p>
    <w:p w14:paraId="749958A3" w14:textId="77777777" w:rsidR="00C743A7" w:rsidRPr="00F6308F" w:rsidRDefault="00C743A7" w:rsidP="00381C3D">
      <w:pPr>
        <w:rPr>
          <w:rFonts w:cs="Arial"/>
          <w:b/>
          <w:sz w:val="16"/>
          <w:szCs w:val="16"/>
        </w:rPr>
      </w:pPr>
      <w:r w:rsidRPr="00F6308F">
        <w:rPr>
          <w:rFonts w:cs="Arial"/>
          <w:b/>
          <w:sz w:val="16"/>
          <w:szCs w:val="16"/>
        </w:rPr>
        <w:t>Disclaimer</w:t>
      </w:r>
    </w:p>
    <w:p w14:paraId="39EA68CA" w14:textId="3C110113" w:rsidR="00C743A7" w:rsidRPr="00F6308F" w:rsidRDefault="00C743A7" w:rsidP="00381C3D">
      <w:pPr>
        <w:pStyle w:val="NormalWeb"/>
        <w:spacing w:before="120" w:beforeAutospacing="0" w:after="120" w:afterAutospacing="0"/>
        <w:rPr>
          <w:rFonts w:ascii="Arial" w:hAnsi="Arial" w:cs="Arial"/>
          <w:sz w:val="16"/>
          <w:szCs w:val="16"/>
          <w:lang w:val="en-AU"/>
        </w:rPr>
      </w:pPr>
      <w:r w:rsidRPr="00F6308F">
        <w:rPr>
          <w:rFonts w:ascii="Arial" w:hAnsi="Arial" w:cs="Arial"/>
          <w:sz w:val="16"/>
          <w:szCs w:val="16"/>
          <w:lang w:val="en-AU"/>
        </w:rPr>
        <w:t xml:space="preserve">This document is an assessment carried out by the </w:t>
      </w:r>
      <w:r w:rsidRPr="00BA1859">
        <w:rPr>
          <w:rFonts w:ascii="Arial" w:hAnsi="Arial" w:cs="Arial"/>
          <w:sz w:val="16"/>
          <w:szCs w:val="16"/>
          <w:lang w:val="en-AU"/>
        </w:rPr>
        <w:t xml:space="preserve">Department of </w:t>
      </w:r>
      <w:r w:rsidR="00BA1859">
        <w:rPr>
          <w:rFonts w:ascii="Arial" w:hAnsi="Arial" w:cs="Arial"/>
          <w:sz w:val="16"/>
          <w:szCs w:val="16"/>
          <w:lang w:val="en-AU"/>
        </w:rPr>
        <w:t>Agriculture, Water and the Environment</w:t>
      </w:r>
      <w:r w:rsidRPr="00F6308F">
        <w:rPr>
          <w:rFonts w:ascii="Arial" w:hAnsi="Arial" w:cs="Arial"/>
          <w:sz w:val="16"/>
          <w:szCs w:val="16"/>
          <w:lang w:val="en-AU"/>
        </w:rPr>
        <w:t xml:space="preserve"> of a commercial fishery against the Australian Government </w:t>
      </w:r>
      <w:r w:rsidRPr="00F33231">
        <w:rPr>
          <w:rFonts w:ascii="Arial" w:hAnsi="Arial" w:cs="Arial"/>
          <w:i/>
          <w:iCs/>
          <w:sz w:val="16"/>
          <w:szCs w:val="16"/>
          <w:lang w:val="en-AU"/>
        </w:rPr>
        <w:t>Guidelines for the Ecologically Sustainable Management of Fisheries – 2nd Edition</w:t>
      </w:r>
      <w:r w:rsidRPr="00F6308F">
        <w:rPr>
          <w:rFonts w:ascii="Arial" w:hAnsi="Arial" w:cs="Arial"/>
          <w:sz w:val="16"/>
          <w:szCs w:val="16"/>
          <w:lang w:val="en-AU"/>
        </w:rPr>
        <w:t xml:space="preserve">. It forms part of the advice provided to the </w:t>
      </w:r>
      <w:r w:rsidRPr="00BA1859">
        <w:rPr>
          <w:rFonts w:ascii="Arial" w:hAnsi="Arial" w:cs="Arial"/>
          <w:sz w:val="16"/>
          <w:szCs w:val="16"/>
          <w:lang w:val="en-AU"/>
        </w:rPr>
        <w:t>Minister for the Environment</w:t>
      </w:r>
      <w:r>
        <w:rPr>
          <w:rFonts w:ascii="Arial" w:hAnsi="Arial" w:cs="Arial"/>
          <w:sz w:val="16"/>
          <w:szCs w:val="16"/>
          <w:lang w:val="en-AU"/>
        </w:rPr>
        <w:t xml:space="preserve"> </w:t>
      </w:r>
      <w:r w:rsidRPr="00F6308F">
        <w:rPr>
          <w:rFonts w:ascii="Arial" w:hAnsi="Arial" w:cs="Arial"/>
          <w:sz w:val="16"/>
          <w:szCs w:val="16"/>
          <w:lang w:val="en-AU"/>
        </w:rPr>
        <w:t xml:space="preserve">on the fishery in relation to decisions under </w:t>
      </w:r>
      <w:r w:rsidRPr="008E55E3">
        <w:rPr>
          <w:rFonts w:ascii="Arial" w:hAnsi="Arial" w:cs="Arial"/>
          <w:sz w:val="16"/>
          <w:szCs w:val="16"/>
          <w:lang w:val="en-AU"/>
        </w:rPr>
        <w:t>Parts 13 and 13A</w:t>
      </w:r>
      <w:r w:rsidRPr="00F6308F">
        <w:rPr>
          <w:rFonts w:ascii="Arial" w:hAnsi="Arial" w:cs="Arial"/>
          <w:sz w:val="16"/>
          <w:szCs w:val="16"/>
          <w:lang w:val="en-AU"/>
        </w:rPr>
        <w:t xml:space="preserve"> of the </w:t>
      </w:r>
      <w:r w:rsidRPr="00F6308F">
        <w:rPr>
          <w:rFonts w:ascii="Arial" w:hAnsi="Arial" w:cs="Arial"/>
          <w:i/>
          <w:iCs/>
          <w:sz w:val="16"/>
          <w:szCs w:val="16"/>
          <w:lang w:val="en-AU"/>
        </w:rPr>
        <w:t>Environment Protection and Biodiversity Conservation Act 1999</w:t>
      </w:r>
      <w:r w:rsidRPr="00F6308F">
        <w:rPr>
          <w:rFonts w:ascii="Arial" w:hAnsi="Arial" w:cs="Arial"/>
          <w:sz w:val="16"/>
          <w:szCs w:val="16"/>
          <w:lang w:val="en-AU"/>
        </w:rPr>
        <w:t xml:space="preserve">. The views expressed do not necessarily reflect those of the </w:t>
      </w:r>
      <w:r w:rsidRPr="00BA1859">
        <w:rPr>
          <w:rFonts w:ascii="Arial" w:hAnsi="Arial" w:cs="Arial"/>
          <w:sz w:val="16"/>
          <w:szCs w:val="16"/>
          <w:lang w:val="en-AU"/>
        </w:rPr>
        <w:t>Minister for the Environment</w:t>
      </w:r>
      <w:r>
        <w:rPr>
          <w:rFonts w:ascii="Arial" w:hAnsi="Arial" w:cs="Arial"/>
          <w:sz w:val="16"/>
          <w:szCs w:val="16"/>
          <w:lang w:val="en-AU"/>
        </w:rPr>
        <w:t xml:space="preserve"> </w:t>
      </w:r>
      <w:r w:rsidRPr="00F6308F">
        <w:rPr>
          <w:rFonts w:ascii="Arial" w:hAnsi="Arial" w:cs="Arial"/>
          <w:sz w:val="16"/>
          <w:szCs w:val="16"/>
          <w:lang w:val="en-AU"/>
        </w:rPr>
        <w:t>or the Australian Government.</w:t>
      </w:r>
    </w:p>
    <w:p w14:paraId="70C2E5B8" w14:textId="77777777" w:rsidR="00C743A7" w:rsidRDefault="00C743A7" w:rsidP="00381C3D">
      <w:pPr>
        <w:rPr>
          <w:rFonts w:cs="Arial"/>
          <w:color w:val="000000"/>
          <w:sz w:val="16"/>
          <w:szCs w:val="16"/>
        </w:rPr>
      </w:pPr>
      <w:r w:rsidRPr="00F6308F">
        <w:rPr>
          <w:rFonts w:cs="Arial"/>
          <w:color w:val="000000"/>
          <w:sz w:val="16"/>
          <w:szCs w:val="16"/>
        </w:rPr>
        <w:t>While reasonable efforts have been made to ensure that the contents of this report are factually correct, the Australian Government does not accept responsibility for the accuracy or completeness of the contents, and shall not be liable for any loss or damage that may be occasioned directly or indirectly through the use of, or reliance on, the contents of this report. You should not rely solely on the information presented in the report when making a commercial or other decision.</w:t>
      </w:r>
    </w:p>
    <w:p w14:paraId="30DF465A" w14:textId="77777777" w:rsidR="00574DD7" w:rsidRPr="00F6308F" w:rsidRDefault="00574DD7" w:rsidP="00381C3D">
      <w:pPr>
        <w:rPr>
          <w:rFonts w:cs="Arial"/>
          <w:sz w:val="16"/>
          <w:szCs w:val="16"/>
        </w:rPr>
      </w:pPr>
    </w:p>
    <w:p w14:paraId="7FF3C9F6" w14:textId="68EA5F38" w:rsidR="00C743A7" w:rsidRPr="00A14FF4" w:rsidRDefault="00C743A7" w:rsidP="00056E19">
      <w:pPr>
        <w:pStyle w:val="Heading1"/>
        <w:spacing w:after="0"/>
      </w:pPr>
    </w:p>
    <w:p w14:paraId="4546424F" w14:textId="77777777" w:rsidR="00134108" w:rsidRDefault="00134108" w:rsidP="001955CD">
      <w:pPr>
        <w:rPr>
          <w:rFonts w:cs="Arial"/>
          <w:b/>
        </w:rPr>
        <w:sectPr w:rsidR="00134108" w:rsidSect="001955CD">
          <w:pgSz w:w="11906" w:h="16838"/>
          <w:pgMar w:top="1418" w:right="1276" w:bottom="567" w:left="1418" w:header="425" w:footer="425" w:gutter="0"/>
          <w:pgNumType w:start="1"/>
          <w:cols w:space="708"/>
          <w:titlePg/>
          <w:docGrid w:linePitch="360"/>
        </w:sectPr>
      </w:pPr>
    </w:p>
    <w:sdt>
      <w:sdtPr>
        <w:rPr>
          <w:rFonts w:ascii="Arial" w:eastAsia="Calibri" w:hAnsi="Arial" w:cs="Arial"/>
          <w:b w:val="0"/>
          <w:bCs w:val="0"/>
          <w:sz w:val="22"/>
          <w:szCs w:val="22"/>
          <w:lang w:val="en-AU"/>
        </w:rPr>
        <w:id w:val="992149566"/>
        <w:docPartObj>
          <w:docPartGallery w:val="Table of Contents"/>
          <w:docPartUnique/>
        </w:docPartObj>
      </w:sdtPr>
      <w:sdtEndPr>
        <w:rPr>
          <w:noProof/>
        </w:rPr>
      </w:sdtEndPr>
      <w:sdtContent>
        <w:p w14:paraId="0DCB5FF7" w14:textId="015E5E94" w:rsidR="00134108" w:rsidRPr="00E14167" w:rsidRDefault="00134108" w:rsidP="00E14167">
          <w:pPr>
            <w:pStyle w:val="TOCHeading"/>
            <w:rPr>
              <w:rFonts w:ascii="Arial" w:hAnsi="Arial" w:cs="Arial"/>
              <w:sz w:val="22"/>
              <w:szCs w:val="22"/>
            </w:rPr>
          </w:pPr>
          <w:r w:rsidRPr="00433FCA">
            <w:rPr>
              <w:rFonts w:ascii="Arial" w:hAnsi="Arial" w:cs="Arial"/>
              <w:sz w:val="22"/>
              <w:szCs w:val="22"/>
            </w:rPr>
            <w:t>CONTENTS</w:t>
          </w:r>
        </w:p>
        <w:p w14:paraId="319AE4AB" w14:textId="60FA67B4" w:rsidR="004B77DE" w:rsidRPr="004B77DE" w:rsidRDefault="00134108">
          <w:pPr>
            <w:pStyle w:val="TOC1"/>
            <w:rPr>
              <w:rFonts w:ascii="Arial" w:eastAsiaTheme="minorEastAsia" w:hAnsi="Arial" w:cs="Arial"/>
              <w:sz w:val="22"/>
              <w:szCs w:val="22"/>
            </w:rPr>
          </w:pPr>
          <w:r w:rsidRPr="00433FCA">
            <w:rPr>
              <w:b/>
            </w:rPr>
            <w:fldChar w:fldCharType="begin"/>
          </w:r>
          <w:r w:rsidRPr="00433FCA">
            <w:rPr>
              <w:b/>
            </w:rPr>
            <w:instrText xml:space="preserve"> TOC \o "1-3" \h \z \u </w:instrText>
          </w:r>
          <w:r w:rsidRPr="00433FCA">
            <w:rPr>
              <w:b/>
            </w:rPr>
            <w:fldChar w:fldCharType="separate"/>
          </w:r>
          <w:hyperlink w:anchor="_Toc90501197" w:history="1">
            <w:r w:rsidR="004B77DE" w:rsidRPr="004B77DE">
              <w:rPr>
                <w:rStyle w:val="Hyperlink"/>
                <w:rFonts w:ascii="Arial" w:hAnsi="Arial" w:cs="Arial"/>
                <w:sz w:val="22"/>
                <w:szCs w:val="22"/>
              </w:rPr>
              <w:t>Executive summary</w:t>
            </w:r>
            <w:r w:rsidR="004B77DE" w:rsidRPr="004B77DE">
              <w:rPr>
                <w:rFonts w:ascii="Arial" w:hAnsi="Arial" w:cs="Arial"/>
                <w:webHidden/>
                <w:sz w:val="22"/>
                <w:szCs w:val="22"/>
              </w:rPr>
              <w:tab/>
            </w:r>
            <w:r w:rsidR="004B77DE" w:rsidRPr="004B77DE">
              <w:rPr>
                <w:rFonts w:ascii="Arial" w:hAnsi="Arial" w:cs="Arial"/>
                <w:webHidden/>
                <w:sz w:val="22"/>
                <w:szCs w:val="22"/>
              </w:rPr>
              <w:fldChar w:fldCharType="begin"/>
            </w:r>
            <w:r w:rsidR="004B77DE" w:rsidRPr="004B77DE">
              <w:rPr>
                <w:rFonts w:ascii="Arial" w:hAnsi="Arial" w:cs="Arial"/>
                <w:webHidden/>
                <w:sz w:val="22"/>
                <w:szCs w:val="22"/>
              </w:rPr>
              <w:instrText xml:space="preserve"> PAGEREF _Toc90501197 \h </w:instrText>
            </w:r>
            <w:r w:rsidR="004B77DE" w:rsidRPr="004B77DE">
              <w:rPr>
                <w:rFonts w:ascii="Arial" w:hAnsi="Arial" w:cs="Arial"/>
                <w:webHidden/>
                <w:sz w:val="22"/>
                <w:szCs w:val="22"/>
              </w:rPr>
            </w:r>
            <w:r w:rsidR="004B77DE" w:rsidRPr="004B77DE">
              <w:rPr>
                <w:rFonts w:ascii="Arial" w:hAnsi="Arial" w:cs="Arial"/>
                <w:webHidden/>
                <w:sz w:val="22"/>
                <w:szCs w:val="22"/>
              </w:rPr>
              <w:fldChar w:fldCharType="separate"/>
            </w:r>
            <w:r w:rsidR="004B77DE" w:rsidRPr="004B77DE">
              <w:rPr>
                <w:rFonts w:ascii="Arial" w:hAnsi="Arial" w:cs="Arial"/>
                <w:webHidden/>
                <w:sz w:val="22"/>
                <w:szCs w:val="22"/>
              </w:rPr>
              <w:t>2</w:t>
            </w:r>
            <w:r w:rsidR="004B77DE" w:rsidRPr="004B77DE">
              <w:rPr>
                <w:rFonts w:ascii="Arial" w:hAnsi="Arial" w:cs="Arial"/>
                <w:webHidden/>
                <w:sz w:val="22"/>
                <w:szCs w:val="22"/>
              </w:rPr>
              <w:fldChar w:fldCharType="end"/>
            </w:r>
          </w:hyperlink>
        </w:p>
        <w:p w14:paraId="1E433516" w14:textId="3C6B7EAF" w:rsidR="004B77DE" w:rsidRPr="004B77DE" w:rsidRDefault="008D48DF">
          <w:pPr>
            <w:pStyle w:val="TOC1"/>
            <w:rPr>
              <w:rFonts w:ascii="Arial" w:eastAsiaTheme="minorEastAsia" w:hAnsi="Arial" w:cs="Arial"/>
              <w:sz w:val="22"/>
              <w:szCs w:val="22"/>
            </w:rPr>
          </w:pPr>
          <w:hyperlink w:anchor="_Toc90501198" w:history="1">
            <w:r w:rsidR="004B77DE" w:rsidRPr="004B77DE">
              <w:rPr>
                <w:rStyle w:val="Hyperlink"/>
                <w:rFonts w:ascii="Arial" w:hAnsi="Arial" w:cs="Arial"/>
                <w:sz w:val="22"/>
                <w:szCs w:val="22"/>
              </w:rPr>
              <w:t>Section 1: Assessment Summary</w:t>
            </w:r>
            <w:r w:rsidR="004B77DE" w:rsidRPr="004B77DE">
              <w:rPr>
                <w:rFonts w:ascii="Arial" w:hAnsi="Arial" w:cs="Arial"/>
                <w:webHidden/>
                <w:sz w:val="22"/>
                <w:szCs w:val="22"/>
              </w:rPr>
              <w:tab/>
            </w:r>
            <w:r w:rsidR="004B77DE" w:rsidRPr="004B77DE">
              <w:rPr>
                <w:rFonts w:ascii="Arial" w:hAnsi="Arial" w:cs="Arial"/>
                <w:webHidden/>
                <w:sz w:val="22"/>
                <w:szCs w:val="22"/>
              </w:rPr>
              <w:fldChar w:fldCharType="begin"/>
            </w:r>
            <w:r w:rsidR="004B77DE" w:rsidRPr="004B77DE">
              <w:rPr>
                <w:rFonts w:ascii="Arial" w:hAnsi="Arial" w:cs="Arial"/>
                <w:webHidden/>
                <w:sz w:val="22"/>
                <w:szCs w:val="22"/>
              </w:rPr>
              <w:instrText xml:space="preserve"> PAGEREF _Toc90501198 \h </w:instrText>
            </w:r>
            <w:r w:rsidR="004B77DE" w:rsidRPr="004B77DE">
              <w:rPr>
                <w:rFonts w:ascii="Arial" w:hAnsi="Arial" w:cs="Arial"/>
                <w:webHidden/>
                <w:sz w:val="22"/>
                <w:szCs w:val="22"/>
              </w:rPr>
            </w:r>
            <w:r w:rsidR="004B77DE" w:rsidRPr="004B77DE">
              <w:rPr>
                <w:rFonts w:ascii="Arial" w:hAnsi="Arial" w:cs="Arial"/>
                <w:webHidden/>
                <w:sz w:val="22"/>
                <w:szCs w:val="22"/>
              </w:rPr>
              <w:fldChar w:fldCharType="separate"/>
            </w:r>
            <w:r w:rsidR="004B77DE" w:rsidRPr="004B77DE">
              <w:rPr>
                <w:rFonts w:ascii="Arial" w:hAnsi="Arial" w:cs="Arial"/>
                <w:webHidden/>
                <w:sz w:val="22"/>
                <w:szCs w:val="22"/>
              </w:rPr>
              <w:t>4</w:t>
            </w:r>
            <w:r w:rsidR="004B77DE" w:rsidRPr="004B77DE">
              <w:rPr>
                <w:rFonts w:ascii="Arial" w:hAnsi="Arial" w:cs="Arial"/>
                <w:webHidden/>
                <w:sz w:val="22"/>
                <w:szCs w:val="22"/>
              </w:rPr>
              <w:fldChar w:fldCharType="end"/>
            </w:r>
          </w:hyperlink>
        </w:p>
        <w:p w14:paraId="135852FA" w14:textId="2D6775A5" w:rsidR="004B77DE" w:rsidRPr="004B77DE" w:rsidRDefault="008D48DF">
          <w:pPr>
            <w:pStyle w:val="TOC1"/>
            <w:rPr>
              <w:rFonts w:ascii="Arial" w:eastAsiaTheme="minorEastAsia" w:hAnsi="Arial" w:cs="Arial"/>
              <w:sz w:val="22"/>
              <w:szCs w:val="22"/>
            </w:rPr>
          </w:pPr>
          <w:hyperlink w:anchor="_Toc90501199" w:history="1">
            <w:r w:rsidR="004B77DE" w:rsidRPr="004B77DE">
              <w:rPr>
                <w:rStyle w:val="Hyperlink"/>
                <w:rFonts w:ascii="Arial" w:hAnsi="Arial" w:cs="Arial"/>
                <w:sz w:val="22"/>
                <w:szCs w:val="22"/>
              </w:rPr>
              <w:t>Section 2: Summary of Issues Requiring Conditions</w:t>
            </w:r>
            <w:r w:rsidR="004B77DE" w:rsidRPr="004B77DE">
              <w:rPr>
                <w:rFonts w:ascii="Arial" w:hAnsi="Arial" w:cs="Arial"/>
                <w:webHidden/>
                <w:sz w:val="22"/>
                <w:szCs w:val="22"/>
              </w:rPr>
              <w:tab/>
            </w:r>
            <w:r w:rsidR="004B77DE" w:rsidRPr="004B77DE">
              <w:rPr>
                <w:rFonts w:ascii="Arial" w:hAnsi="Arial" w:cs="Arial"/>
                <w:webHidden/>
                <w:sz w:val="22"/>
                <w:szCs w:val="22"/>
              </w:rPr>
              <w:fldChar w:fldCharType="begin"/>
            </w:r>
            <w:r w:rsidR="004B77DE" w:rsidRPr="004B77DE">
              <w:rPr>
                <w:rFonts w:ascii="Arial" w:hAnsi="Arial" w:cs="Arial"/>
                <w:webHidden/>
                <w:sz w:val="22"/>
                <w:szCs w:val="22"/>
              </w:rPr>
              <w:instrText xml:space="preserve"> PAGEREF _Toc90501199 \h </w:instrText>
            </w:r>
            <w:r w:rsidR="004B77DE" w:rsidRPr="004B77DE">
              <w:rPr>
                <w:rFonts w:ascii="Arial" w:hAnsi="Arial" w:cs="Arial"/>
                <w:webHidden/>
                <w:sz w:val="22"/>
                <w:szCs w:val="22"/>
              </w:rPr>
            </w:r>
            <w:r w:rsidR="004B77DE" w:rsidRPr="004B77DE">
              <w:rPr>
                <w:rFonts w:ascii="Arial" w:hAnsi="Arial" w:cs="Arial"/>
                <w:webHidden/>
                <w:sz w:val="22"/>
                <w:szCs w:val="22"/>
              </w:rPr>
              <w:fldChar w:fldCharType="separate"/>
            </w:r>
            <w:r w:rsidR="004B77DE" w:rsidRPr="004B77DE">
              <w:rPr>
                <w:rFonts w:ascii="Arial" w:hAnsi="Arial" w:cs="Arial"/>
                <w:webHidden/>
                <w:sz w:val="22"/>
                <w:szCs w:val="22"/>
              </w:rPr>
              <w:t>6</w:t>
            </w:r>
            <w:r w:rsidR="004B77DE" w:rsidRPr="004B77DE">
              <w:rPr>
                <w:rFonts w:ascii="Arial" w:hAnsi="Arial" w:cs="Arial"/>
                <w:webHidden/>
                <w:sz w:val="22"/>
                <w:szCs w:val="22"/>
              </w:rPr>
              <w:fldChar w:fldCharType="end"/>
            </w:r>
          </w:hyperlink>
        </w:p>
        <w:p w14:paraId="3E740D53" w14:textId="5340CD71" w:rsidR="004B77DE" w:rsidRPr="004B77DE" w:rsidRDefault="008D48DF">
          <w:pPr>
            <w:pStyle w:val="TOC3"/>
            <w:tabs>
              <w:tab w:val="right" w:leader="dot" w:pos="9202"/>
            </w:tabs>
            <w:rPr>
              <w:rFonts w:eastAsiaTheme="minorEastAsia" w:cs="Arial"/>
              <w:noProof/>
              <w:lang w:eastAsia="en-AU"/>
            </w:rPr>
          </w:pPr>
          <w:hyperlink w:anchor="_Toc90501200" w:history="1">
            <w:r w:rsidR="004B77DE" w:rsidRPr="004B77DE">
              <w:rPr>
                <w:rStyle w:val="Hyperlink"/>
                <w:rFonts w:cs="Arial"/>
                <w:noProof/>
              </w:rPr>
              <w:t>Assessment history:</w:t>
            </w:r>
            <w:r w:rsidR="004B77DE" w:rsidRPr="004B77DE">
              <w:rPr>
                <w:rFonts w:cs="Arial"/>
                <w:noProof/>
                <w:webHidden/>
              </w:rPr>
              <w:tab/>
            </w:r>
            <w:r w:rsidR="004B77DE" w:rsidRPr="004B77DE">
              <w:rPr>
                <w:rFonts w:cs="Arial"/>
                <w:noProof/>
                <w:webHidden/>
              </w:rPr>
              <w:fldChar w:fldCharType="begin"/>
            </w:r>
            <w:r w:rsidR="004B77DE" w:rsidRPr="004B77DE">
              <w:rPr>
                <w:rFonts w:cs="Arial"/>
                <w:noProof/>
                <w:webHidden/>
              </w:rPr>
              <w:instrText xml:space="preserve"> PAGEREF _Toc90501200 \h </w:instrText>
            </w:r>
            <w:r w:rsidR="004B77DE" w:rsidRPr="004B77DE">
              <w:rPr>
                <w:rFonts w:cs="Arial"/>
                <w:noProof/>
                <w:webHidden/>
              </w:rPr>
            </w:r>
            <w:r w:rsidR="004B77DE" w:rsidRPr="004B77DE">
              <w:rPr>
                <w:rFonts w:cs="Arial"/>
                <w:noProof/>
                <w:webHidden/>
              </w:rPr>
              <w:fldChar w:fldCharType="separate"/>
            </w:r>
            <w:r w:rsidR="004B77DE" w:rsidRPr="004B77DE">
              <w:rPr>
                <w:rFonts w:cs="Arial"/>
                <w:noProof/>
                <w:webHidden/>
              </w:rPr>
              <w:t>8</w:t>
            </w:r>
            <w:r w:rsidR="004B77DE" w:rsidRPr="004B77DE">
              <w:rPr>
                <w:rFonts w:cs="Arial"/>
                <w:noProof/>
                <w:webHidden/>
              </w:rPr>
              <w:fldChar w:fldCharType="end"/>
            </w:r>
          </w:hyperlink>
        </w:p>
        <w:p w14:paraId="052FEE17" w14:textId="65234C30" w:rsidR="004B77DE" w:rsidRPr="004B77DE" w:rsidRDefault="008D48DF">
          <w:pPr>
            <w:pStyle w:val="TOC3"/>
            <w:tabs>
              <w:tab w:val="right" w:leader="dot" w:pos="9202"/>
            </w:tabs>
            <w:rPr>
              <w:rFonts w:eastAsiaTheme="minorEastAsia" w:cs="Arial"/>
              <w:noProof/>
              <w:lang w:eastAsia="en-AU"/>
            </w:rPr>
          </w:pPr>
          <w:hyperlink w:anchor="_Toc90501201" w:history="1">
            <w:r w:rsidR="004B77DE" w:rsidRPr="004B77DE">
              <w:rPr>
                <w:rStyle w:val="Hyperlink"/>
                <w:rFonts w:cs="Arial"/>
                <w:noProof/>
              </w:rPr>
              <w:t>Fishery reporting:</w:t>
            </w:r>
            <w:r w:rsidR="004B77DE" w:rsidRPr="004B77DE">
              <w:rPr>
                <w:rFonts w:cs="Arial"/>
                <w:noProof/>
                <w:webHidden/>
              </w:rPr>
              <w:tab/>
            </w:r>
            <w:r w:rsidR="004B77DE" w:rsidRPr="004B77DE">
              <w:rPr>
                <w:rFonts w:cs="Arial"/>
                <w:noProof/>
                <w:webHidden/>
              </w:rPr>
              <w:fldChar w:fldCharType="begin"/>
            </w:r>
            <w:r w:rsidR="004B77DE" w:rsidRPr="004B77DE">
              <w:rPr>
                <w:rFonts w:cs="Arial"/>
                <w:noProof/>
                <w:webHidden/>
              </w:rPr>
              <w:instrText xml:space="preserve"> PAGEREF _Toc90501201 \h </w:instrText>
            </w:r>
            <w:r w:rsidR="004B77DE" w:rsidRPr="004B77DE">
              <w:rPr>
                <w:rFonts w:cs="Arial"/>
                <w:noProof/>
                <w:webHidden/>
              </w:rPr>
            </w:r>
            <w:r w:rsidR="004B77DE" w:rsidRPr="004B77DE">
              <w:rPr>
                <w:rFonts w:cs="Arial"/>
                <w:noProof/>
                <w:webHidden/>
              </w:rPr>
              <w:fldChar w:fldCharType="separate"/>
            </w:r>
            <w:r w:rsidR="004B77DE" w:rsidRPr="004B77DE">
              <w:rPr>
                <w:rFonts w:cs="Arial"/>
                <w:noProof/>
                <w:webHidden/>
              </w:rPr>
              <w:t>8</w:t>
            </w:r>
            <w:r w:rsidR="004B77DE" w:rsidRPr="004B77DE">
              <w:rPr>
                <w:rFonts w:cs="Arial"/>
                <w:noProof/>
                <w:webHidden/>
              </w:rPr>
              <w:fldChar w:fldCharType="end"/>
            </w:r>
          </w:hyperlink>
        </w:p>
        <w:p w14:paraId="1ACDA008" w14:textId="07D68241" w:rsidR="004B77DE" w:rsidRPr="004B77DE" w:rsidRDefault="008D48DF">
          <w:pPr>
            <w:pStyle w:val="TOC3"/>
            <w:tabs>
              <w:tab w:val="right" w:leader="dot" w:pos="9202"/>
            </w:tabs>
            <w:rPr>
              <w:rFonts w:eastAsiaTheme="minorEastAsia" w:cs="Arial"/>
              <w:noProof/>
              <w:lang w:eastAsia="en-AU"/>
            </w:rPr>
          </w:pPr>
          <w:hyperlink w:anchor="_Toc90501202" w:history="1">
            <w:r w:rsidR="004B77DE" w:rsidRPr="004B77DE">
              <w:rPr>
                <w:rStyle w:val="Hyperlink"/>
                <w:rFonts w:cs="Arial"/>
                <w:noProof/>
              </w:rPr>
              <w:t>Key links:</w:t>
            </w:r>
            <w:r w:rsidR="004B77DE" w:rsidRPr="004B77DE">
              <w:rPr>
                <w:rFonts w:cs="Arial"/>
                <w:noProof/>
                <w:webHidden/>
              </w:rPr>
              <w:tab/>
            </w:r>
            <w:r w:rsidR="004B77DE" w:rsidRPr="004B77DE">
              <w:rPr>
                <w:rFonts w:cs="Arial"/>
                <w:noProof/>
                <w:webHidden/>
              </w:rPr>
              <w:fldChar w:fldCharType="begin"/>
            </w:r>
            <w:r w:rsidR="004B77DE" w:rsidRPr="004B77DE">
              <w:rPr>
                <w:rFonts w:cs="Arial"/>
                <w:noProof/>
                <w:webHidden/>
              </w:rPr>
              <w:instrText xml:space="preserve"> PAGEREF _Toc90501202 \h </w:instrText>
            </w:r>
            <w:r w:rsidR="004B77DE" w:rsidRPr="004B77DE">
              <w:rPr>
                <w:rFonts w:cs="Arial"/>
                <w:noProof/>
                <w:webHidden/>
              </w:rPr>
            </w:r>
            <w:r w:rsidR="004B77DE" w:rsidRPr="004B77DE">
              <w:rPr>
                <w:rFonts w:cs="Arial"/>
                <w:noProof/>
                <w:webHidden/>
              </w:rPr>
              <w:fldChar w:fldCharType="separate"/>
            </w:r>
            <w:r w:rsidR="004B77DE" w:rsidRPr="004B77DE">
              <w:rPr>
                <w:rFonts w:cs="Arial"/>
                <w:noProof/>
                <w:webHidden/>
              </w:rPr>
              <w:t>8</w:t>
            </w:r>
            <w:r w:rsidR="004B77DE" w:rsidRPr="004B77DE">
              <w:rPr>
                <w:rFonts w:cs="Arial"/>
                <w:noProof/>
                <w:webHidden/>
              </w:rPr>
              <w:fldChar w:fldCharType="end"/>
            </w:r>
          </w:hyperlink>
        </w:p>
        <w:p w14:paraId="5D8104CF" w14:textId="089CE7BC" w:rsidR="004B77DE" w:rsidRPr="004B77DE" w:rsidRDefault="008D48DF">
          <w:pPr>
            <w:pStyle w:val="TOC1"/>
            <w:rPr>
              <w:rFonts w:ascii="Arial" w:eastAsiaTheme="minorEastAsia" w:hAnsi="Arial" w:cs="Arial"/>
              <w:sz w:val="22"/>
              <w:szCs w:val="22"/>
            </w:rPr>
          </w:pPr>
          <w:hyperlink w:anchor="_Toc90501203" w:history="1">
            <w:r w:rsidR="004B77DE" w:rsidRPr="004B77DE">
              <w:rPr>
                <w:rStyle w:val="Hyperlink"/>
                <w:rFonts w:ascii="Arial" w:hAnsi="Arial" w:cs="Arial"/>
                <w:sz w:val="22"/>
                <w:szCs w:val="22"/>
              </w:rPr>
              <w:t>Section 3: Detailed Analysis Against the Guidelines</w:t>
            </w:r>
            <w:r w:rsidR="004B77DE" w:rsidRPr="004B77DE">
              <w:rPr>
                <w:rFonts w:ascii="Arial" w:hAnsi="Arial" w:cs="Arial"/>
                <w:webHidden/>
                <w:sz w:val="22"/>
                <w:szCs w:val="22"/>
              </w:rPr>
              <w:tab/>
            </w:r>
            <w:r w:rsidR="004B77DE" w:rsidRPr="004B77DE">
              <w:rPr>
                <w:rFonts w:ascii="Arial" w:hAnsi="Arial" w:cs="Arial"/>
                <w:webHidden/>
                <w:sz w:val="22"/>
                <w:szCs w:val="22"/>
              </w:rPr>
              <w:fldChar w:fldCharType="begin"/>
            </w:r>
            <w:r w:rsidR="004B77DE" w:rsidRPr="004B77DE">
              <w:rPr>
                <w:rFonts w:ascii="Arial" w:hAnsi="Arial" w:cs="Arial"/>
                <w:webHidden/>
                <w:sz w:val="22"/>
                <w:szCs w:val="22"/>
              </w:rPr>
              <w:instrText xml:space="preserve"> PAGEREF _Toc90501203 \h </w:instrText>
            </w:r>
            <w:r w:rsidR="004B77DE" w:rsidRPr="004B77DE">
              <w:rPr>
                <w:rFonts w:ascii="Arial" w:hAnsi="Arial" w:cs="Arial"/>
                <w:webHidden/>
                <w:sz w:val="22"/>
                <w:szCs w:val="22"/>
              </w:rPr>
            </w:r>
            <w:r w:rsidR="004B77DE" w:rsidRPr="004B77DE">
              <w:rPr>
                <w:rFonts w:ascii="Arial" w:hAnsi="Arial" w:cs="Arial"/>
                <w:webHidden/>
                <w:sz w:val="22"/>
                <w:szCs w:val="22"/>
              </w:rPr>
              <w:fldChar w:fldCharType="separate"/>
            </w:r>
            <w:r w:rsidR="004B77DE" w:rsidRPr="004B77DE">
              <w:rPr>
                <w:rFonts w:ascii="Arial" w:hAnsi="Arial" w:cs="Arial"/>
                <w:webHidden/>
                <w:sz w:val="22"/>
                <w:szCs w:val="22"/>
              </w:rPr>
              <w:t>10</w:t>
            </w:r>
            <w:r w:rsidR="004B77DE" w:rsidRPr="004B77DE">
              <w:rPr>
                <w:rFonts w:ascii="Arial" w:hAnsi="Arial" w:cs="Arial"/>
                <w:webHidden/>
                <w:sz w:val="22"/>
                <w:szCs w:val="22"/>
              </w:rPr>
              <w:fldChar w:fldCharType="end"/>
            </w:r>
          </w:hyperlink>
        </w:p>
        <w:p w14:paraId="39A251FD" w14:textId="56B388DC" w:rsidR="004B77DE" w:rsidRPr="004B77DE" w:rsidRDefault="008D48DF">
          <w:pPr>
            <w:pStyle w:val="TOC1"/>
            <w:rPr>
              <w:rFonts w:ascii="Arial" w:eastAsiaTheme="minorEastAsia" w:hAnsi="Arial" w:cs="Arial"/>
              <w:sz w:val="22"/>
              <w:szCs w:val="22"/>
            </w:rPr>
          </w:pPr>
          <w:hyperlink w:anchor="_Toc90501204" w:history="1">
            <w:r w:rsidR="004B77DE" w:rsidRPr="004B77DE">
              <w:rPr>
                <w:rStyle w:val="Hyperlink"/>
                <w:rFonts w:ascii="Arial" w:hAnsi="Arial" w:cs="Arial"/>
                <w:sz w:val="22"/>
                <w:szCs w:val="22"/>
              </w:rPr>
              <w:t>Section 4: Assessment Against the EPBC Act</w:t>
            </w:r>
            <w:r w:rsidR="004B77DE" w:rsidRPr="004B77DE">
              <w:rPr>
                <w:rFonts w:ascii="Arial" w:hAnsi="Arial" w:cs="Arial"/>
                <w:webHidden/>
                <w:sz w:val="22"/>
                <w:szCs w:val="22"/>
              </w:rPr>
              <w:tab/>
            </w:r>
            <w:r w:rsidR="004B77DE" w:rsidRPr="004B77DE">
              <w:rPr>
                <w:rFonts w:ascii="Arial" w:hAnsi="Arial" w:cs="Arial"/>
                <w:webHidden/>
                <w:sz w:val="22"/>
                <w:szCs w:val="22"/>
              </w:rPr>
              <w:fldChar w:fldCharType="begin"/>
            </w:r>
            <w:r w:rsidR="004B77DE" w:rsidRPr="004B77DE">
              <w:rPr>
                <w:rFonts w:ascii="Arial" w:hAnsi="Arial" w:cs="Arial"/>
                <w:webHidden/>
                <w:sz w:val="22"/>
                <w:szCs w:val="22"/>
              </w:rPr>
              <w:instrText xml:space="preserve"> PAGEREF _Toc90501204 \h </w:instrText>
            </w:r>
            <w:r w:rsidR="004B77DE" w:rsidRPr="004B77DE">
              <w:rPr>
                <w:rFonts w:ascii="Arial" w:hAnsi="Arial" w:cs="Arial"/>
                <w:webHidden/>
                <w:sz w:val="22"/>
                <w:szCs w:val="22"/>
              </w:rPr>
            </w:r>
            <w:r w:rsidR="004B77DE" w:rsidRPr="004B77DE">
              <w:rPr>
                <w:rFonts w:ascii="Arial" w:hAnsi="Arial" w:cs="Arial"/>
                <w:webHidden/>
                <w:sz w:val="22"/>
                <w:szCs w:val="22"/>
              </w:rPr>
              <w:fldChar w:fldCharType="separate"/>
            </w:r>
            <w:r w:rsidR="004B77DE" w:rsidRPr="004B77DE">
              <w:rPr>
                <w:rFonts w:ascii="Arial" w:hAnsi="Arial" w:cs="Arial"/>
                <w:webHidden/>
                <w:sz w:val="22"/>
                <w:szCs w:val="22"/>
              </w:rPr>
              <w:t>20</w:t>
            </w:r>
            <w:r w:rsidR="004B77DE" w:rsidRPr="004B77DE">
              <w:rPr>
                <w:rFonts w:ascii="Arial" w:hAnsi="Arial" w:cs="Arial"/>
                <w:webHidden/>
                <w:sz w:val="22"/>
                <w:szCs w:val="22"/>
              </w:rPr>
              <w:fldChar w:fldCharType="end"/>
            </w:r>
          </w:hyperlink>
        </w:p>
        <w:p w14:paraId="23303A1E" w14:textId="5E1C0811" w:rsidR="004B77DE" w:rsidRPr="004B77DE" w:rsidRDefault="008D48DF">
          <w:pPr>
            <w:pStyle w:val="TOC2"/>
            <w:rPr>
              <w:rFonts w:ascii="Arial" w:hAnsi="Arial" w:cs="Arial"/>
              <w:noProof/>
              <w:lang w:val="en-AU" w:eastAsia="en-AU"/>
            </w:rPr>
          </w:pPr>
          <w:hyperlink w:anchor="_Toc90501205" w:history="1">
            <w:r w:rsidR="004B77DE" w:rsidRPr="004B77DE">
              <w:rPr>
                <w:rStyle w:val="Hyperlink"/>
                <w:rFonts w:ascii="Arial" w:hAnsi="Arial" w:cs="Arial"/>
                <w:noProof/>
              </w:rPr>
              <w:t>Part 12 – Identifying and monitoring biodiversity and making bioregional plans</w:t>
            </w:r>
            <w:r w:rsidR="004B77DE" w:rsidRPr="004B77DE">
              <w:rPr>
                <w:rFonts w:ascii="Arial" w:hAnsi="Arial" w:cs="Arial"/>
                <w:noProof/>
                <w:webHidden/>
              </w:rPr>
              <w:tab/>
            </w:r>
            <w:r w:rsidR="004B77DE" w:rsidRPr="004B77DE">
              <w:rPr>
                <w:rFonts w:ascii="Arial" w:hAnsi="Arial" w:cs="Arial"/>
                <w:noProof/>
                <w:webHidden/>
              </w:rPr>
              <w:fldChar w:fldCharType="begin"/>
            </w:r>
            <w:r w:rsidR="004B77DE" w:rsidRPr="004B77DE">
              <w:rPr>
                <w:rFonts w:ascii="Arial" w:hAnsi="Arial" w:cs="Arial"/>
                <w:noProof/>
                <w:webHidden/>
              </w:rPr>
              <w:instrText xml:space="preserve"> PAGEREF _Toc90501205 \h </w:instrText>
            </w:r>
            <w:r w:rsidR="004B77DE" w:rsidRPr="004B77DE">
              <w:rPr>
                <w:rFonts w:ascii="Arial" w:hAnsi="Arial" w:cs="Arial"/>
                <w:noProof/>
                <w:webHidden/>
              </w:rPr>
            </w:r>
            <w:r w:rsidR="004B77DE" w:rsidRPr="004B77DE">
              <w:rPr>
                <w:rFonts w:ascii="Arial" w:hAnsi="Arial" w:cs="Arial"/>
                <w:noProof/>
                <w:webHidden/>
              </w:rPr>
              <w:fldChar w:fldCharType="separate"/>
            </w:r>
            <w:r w:rsidR="004B77DE" w:rsidRPr="004B77DE">
              <w:rPr>
                <w:rFonts w:ascii="Arial" w:hAnsi="Arial" w:cs="Arial"/>
                <w:noProof/>
                <w:webHidden/>
              </w:rPr>
              <w:t>20</w:t>
            </w:r>
            <w:r w:rsidR="004B77DE" w:rsidRPr="004B77DE">
              <w:rPr>
                <w:rFonts w:ascii="Arial" w:hAnsi="Arial" w:cs="Arial"/>
                <w:noProof/>
                <w:webHidden/>
              </w:rPr>
              <w:fldChar w:fldCharType="end"/>
            </w:r>
          </w:hyperlink>
        </w:p>
        <w:p w14:paraId="0C325742" w14:textId="4291D181" w:rsidR="004B77DE" w:rsidRPr="004B77DE" w:rsidRDefault="008D48DF">
          <w:pPr>
            <w:pStyle w:val="TOC2"/>
            <w:rPr>
              <w:rFonts w:ascii="Arial" w:hAnsi="Arial" w:cs="Arial"/>
              <w:noProof/>
              <w:lang w:val="en-AU" w:eastAsia="en-AU"/>
            </w:rPr>
          </w:pPr>
          <w:hyperlink w:anchor="_Toc90501206" w:history="1">
            <w:r w:rsidR="004B77DE" w:rsidRPr="004B77DE">
              <w:rPr>
                <w:rStyle w:val="Hyperlink"/>
                <w:rFonts w:ascii="Arial" w:hAnsi="Arial" w:cs="Arial"/>
                <w:noProof/>
              </w:rPr>
              <w:t>Part 13 – Species and communities</w:t>
            </w:r>
            <w:r w:rsidR="004B77DE" w:rsidRPr="004B77DE">
              <w:rPr>
                <w:rFonts w:ascii="Arial" w:hAnsi="Arial" w:cs="Arial"/>
                <w:noProof/>
                <w:webHidden/>
              </w:rPr>
              <w:tab/>
            </w:r>
            <w:r w:rsidR="004B77DE" w:rsidRPr="004B77DE">
              <w:rPr>
                <w:rFonts w:ascii="Arial" w:hAnsi="Arial" w:cs="Arial"/>
                <w:noProof/>
                <w:webHidden/>
              </w:rPr>
              <w:fldChar w:fldCharType="begin"/>
            </w:r>
            <w:r w:rsidR="004B77DE" w:rsidRPr="004B77DE">
              <w:rPr>
                <w:rFonts w:ascii="Arial" w:hAnsi="Arial" w:cs="Arial"/>
                <w:noProof/>
                <w:webHidden/>
              </w:rPr>
              <w:instrText xml:space="preserve"> PAGEREF _Toc90501206 \h </w:instrText>
            </w:r>
            <w:r w:rsidR="004B77DE" w:rsidRPr="004B77DE">
              <w:rPr>
                <w:rFonts w:ascii="Arial" w:hAnsi="Arial" w:cs="Arial"/>
                <w:noProof/>
                <w:webHidden/>
              </w:rPr>
            </w:r>
            <w:r w:rsidR="004B77DE" w:rsidRPr="004B77DE">
              <w:rPr>
                <w:rFonts w:ascii="Arial" w:hAnsi="Arial" w:cs="Arial"/>
                <w:noProof/>
                <w:webHidden/>
              </w:rPr>
              <w:fldChar w:fldCharType="separate"/>
            </w:r>
            <w:r w:rsidR="004B77DE" w:rsidRPr="004B77DE">
              <w:rPr>
                <w:rFonts w:ascii="Arial" w:hAnsi="Arial" w:cs="Arial"/>
                <w:noProof/>
                <w:webHidden/>
              </w:rPr>
              <w:t>20</w:t>
            </w:r>
            <w:r w:rsidR="004B77DE" w:rsidRPr="004B77DE">
              <w:rPr>
                <w:rFonts w:ascii="Arial" w:hAnsi="Arial" w:cs="Arial"/>
                <w:noProof/>
                <w:webHidden/>
              </w:rPr>
              <w:fldChar w:fldCharType="end"/>
            </w:r>
          </w:hyperlink>
        </w:p>
        <w:p w14:paraId="024A47F6" w14:textId="73B288F7" w:rsidR="004B77DE" w:rsidRPr="004B77DE" w:rsidRDefault="008D48DF">
          <w:pPr>
            <w:pStyle w:val="TOC2"/>
            <w:rPr>
              <w:rFonts w:ascii="Arial" w:hAnsi="Arial" w:cs="Arial"/>
              <w:noProof/>
              <w:lang w:val="en-AU" w:eastAsia="en-AU"/>
            </w:rPr>
          </w:pPr>
          <w:hyperlink w:anchor="_Toc90501207" w:history="1">
            <w:r w:rsidR="004B77DE" w:rsidRPr="004B77DE">
              <w:rPr>
                <w:rStyle w:val="Hyperlink"/>
                <w:rFonts w:ascii="Arial" w:hAnsi="Arial" w:cs="Arial"/>
                <w:noProof/>
              </w:rPr>
              <w:t>Part 13A – International movement of wildlife specimens</w:t>
            </w:r>
            <w:r w:rsidR="004B77DE" w:rsidRPr="004B77DE">
              <w:rPr>
                <w:rFonts w:ascii="Arial" w:hAnsi="Arial" w:cs="Arial"/>
                <w:noProof/>
                <w:webHidden/>
              </w:rPr>
              <w:tab/>
            </w:r>
            <w:r w:rsidR="004B77DE" w:rsidRPr="004B77DE">
              <w:rPr>
                <w:rFonts w:ascii="Arial" w:hAnsi="Arial" w:cs="Arial"/>
                <w:noProof/>
                <w:webHidden/>
              </w:rPr>
              <w:fldChar w:fldCharType="begin"/>
            </w:r>
            <w:r w:rsidR="004B77DE" w:rsidRPr="004B77DE">
              <w:rPr>
                <w:rFonts w:ascii="Arial" w:hAnsi="Arial" w:cs="Arial"/>
                <w:noProof/>
                <w:webHidden/>
              </w:rPr>
              <w:instrText xml:space="preserve"> PAGEREF _Toc90501207 \h </w:instrText>
            </w:r>
            <w:r w:rsidR="004B77DE" w:rsidRPr="004B77DE">
              <w:rPr>
                <w:rFonts w:ascii="Arial" w:hAnsi="Arial" w:cs="Arial"/>
                <w:noProof/>
                <w:webHidden/>
              </w:rPr>
            </w:r>
            <w:r w:rsidR="004B77DE" w:rsidRPr="004B77DE">
              <w:rPr>
                <w:rFonts w:ascii="Arial" w:hAnsi="Arial" w:cs="Arial"/>
                <w:noProof/>
                <w:webHidden/>
              </w:rPr>
              <w:fldChar w:fldCharType="separate"/>
            </w:r>
            <w:r w:rsidR="004B77DE" w:rsidRPr="004B77DE">
              <w:rPr>
                <w:rFonts w:ascii="Arial" w:hAnsi="Arial" w:cs="Arial"/>
                <w:noProof/>
                <w:webHidden/>
              </w:rPr>
              <w:t>21</w:t>
            </w:r>
            <w:r w:rsidR="004B77DE" w:rsidRPr="004B77DE">
              <w:rPr>
                <w:rFonts w:ascii="Arial" w:hAnsi="Arial" w:cs="Arial"/>
                <w:noProof/>
                <w:webHidden/>
              </w:rPr>
              <w:fldChar w:fldCharType="end"/>
            </w:r>
          </w:hyperlink>
        </w:p>
        <w:p w14:paraId="76B758B1" w14:textId="3C4CA14B" w:rsidR="004B77DE" w:rsidRPr="004B77DE" w:rsidRDefault="008D48DF">
          <w:pPr>
            <w:pStyle w:val="TOC2"/>
            <w:rPr>
              <w:rFonts w:ascii="Arial" w:hAnsi="Arial" w:cs="Arial"/>
              <w:noProof/>
              <w:lang w:val="en-AU" w:eastAsia="en-AU"/>
            </w:rPr>
          </w:pPr>
          <w:hyperlink w:anchor="_Toc90501208" w:history="1">
            <w:r w:rsidR="004B77DE" w:rsidRPr="004B77DE">
              <w:rPr>
                <w:rStyle w:val="Hyperlink"/>
                <w:rFonts w:ascii="Arial" w:hAnsi="Arial" w:cs="Arial"/>
                <w:noProof/>
              </w:rPr>
              <w:t>Part 16 – Precautionary principle and other considerations in making decisions</w:t>
            </w:r>
            <w:r w:rsidR="004B77DE" w:rsidRPr="004B77DE">
              <w:rPr>
                <w:rFonts w:ascii="Arial" w:hAnsi="Arial" w:cs="Arial"/>
                <w:noProof/>
                <w:webHidden/>
              </w:rPr>
              <w:tab/>
            </w:r>
            <w:r w:rsidR="004B77DE" w:rsidRPr="004B77DE">
              <w:rPr>
                <w:rFonts w:ascii="Arial" w:hAnsi="Arial" w:cs="Arial"/>
                <w:noProof/>
                <w:webHidden/>
              </w:rPr>
              <w:fldChar w:fldCharType="begin"/>
            </w:r>
            <w:r w:rsidR="004B77DE" w:rsidRPr="004B77DE">
              <w:rPr>
                <w:rFonts w:ascii="Arial" w:hAnsi="Arial" w:cs="Arial"/>
                <w:noProof/>
                <w:webHidden/>
              </w:rPr>
              <w:instrText xml:space="preserve"> PAGEREF _Toc90501208 \h </w:instrText>
            </w:r>
            <w:r w:rsidR="004B77DE" w:rsidRPr="004B77DE">
              <w:rPr>
                <w:rFonts w:ascii="Arial" w:hAnsi="Arial" w:cs="Arial"/>
                <w:noProof/>
                <w:webHidden/>
              </w:rPr>
            </w:r>
            <w:r w:rsidR="004B77DE" w:rsidRPr="004B77DE">
              <w:rPr>
                <w:rFonts w:ascii="Arial" w:hAnsi="Arial" w:cs="Arial"/>
                <w:noProof/>
                <w:webHidden/>
              </w:rPr>
              <w:fldChar w:fldCharType="separate"/>
            </w:r>
            <w:r w:rsidR="004B77DE" w:rsidRPr="004B77DE">
              <w:rPr>
                <w:rFonts w:ascii="Arial" w:hAnsi="Arial" w:cs="Arial"/>
                <w:noProof/>
                <w:webHidden/>
              </w:rPr>
              <w:t>27</w:t>
            </w:r>
            <w:r w:rsidR="004B77DE" w:rsidRPr="004B77DE">
              <w:rPr>
                <w:rFonts w:ascii="Arial" w:hAnsi="Arial" w:cs="Arial"/>
                <w:noProof/>
                <w:webHidden/>
              </w:rPr>
              <w:fldChar w:fldCharType="end"/>
            </w:r>
          </w:hyperlink>
        </w:p>
        <w:p w14:paraId="16AFA717" w14:textId="72D28492" w:rsidR="00134108" w:rsidRPr="00893305" w:rsidRDefault="00134108" w:rsidP="00134108">
          <w:pPr>
            <w:rPr>
              <w:rFonts w:cs="Arial"/>
            </w:rPr>
          </w:pPr>
          <w:r w:rsidRPr="00433FCA">
            <w:rPr>
              <w:rFonts w:cs="Arial"/>
              <w:b/>
              <w:bCs/>
              <w:noProof/>
            </w:rPr>
            <w:fldChar w:fldCharType="end"/>
          </w:r>
        </w:p>
      </w:sdtContent>
    </w:sdt>
    <w:p w14:paraId="6BA9C823" w14:textId="77777777" w:rsidR="00134108" w:rsidRDefault="00134108" w:rsidP="00134108">
      <w:pPr>
        <w:tabs>
          <w:tab w:val="right" w:leader="dot" w:pos="8302"/>
        </w:tabs>
        <w:ind w:left="1166" w:right="792" w:hanging="1166"/>
        <w:rPr>
          <w:rFonts w:cs="Arial"/>
          <w:b/>
          <w:noProof/>
          <w:webHidden/>
        </w:rPr>
      </w:pPr>
    </w:p>
    <w:p w14:paraId="03A653DE" w14:textId="77777777" w:rsidR="00134108" w:rsidRDefault="00134108" w:rsidP="001955CD">
      <w:pPr>
        <w:rPr>
          <w:rFonts w:cs="Arial"/>
          <w:b/>
        </w:rPr>
      </w:pPr>
    </w:p>
    <w:p w14:paraId="16191263" w14:textId="77777777" w:rsidR="00134108" w:rsidRDefault="00134108" w:rsidP="006E4EA3">
      <w:pPr>
        <w:pStyle w:val="Heading1"/>
        <w:sectPr w:rsidR="00134108" w:rsidSect="001955CD">
          <w:pgSz w:w="11906" w:h="16838"/>
          <w:pgMar w:top="1418" w:right="1276" w:bottom="567" w:left="1418" w:header="425" w:footer="425" w:gutter="0"/>
          <w:pgNumType w:start="1"/>
          <w:cols w:space="708"/>
          <w:titlePg/>
          <w:docGrid w:linePitch="360"/>
        </w:sectPr>
      </w:pPr>
    </w:p>
    <w:p w14:paraId="11C25075" w14:textId="2E7423E7" w:rsidR="005B3B60" w:rsidRDefault="005B3B60" w:rsidP="00433FCA">
      <w:pPr>
        <w:pStyle w:val="Heading1"/>
        <w:spacing w:before="120" w:after="120"/>
        <w:rPr>
          <w:rFonts w:ascii="Arial" w:hAnsi="Arial"/>
        </w:rPr>
      </w:pPr>
    </w:p>
    <w:p w14:paraId="3892337A" w14:textId="5BCDB200" w:rsidR="005B3B60" w:rsidRDefault="005B3B60" w:rsidP="005B3B60"/>
    <w:p w14:paraId="7D328C4D" w14:textId="173D722B" w:rsidR="005B3B60" w:rsidRDefault="005B3B60" w:rsidP="005B3B60"/>
    <w:p w14:paraId="2B518967" w14:textId="72110D94" w:rsidR="005B3B60" w:rsidRDefault="005B3B60" w:rsidP="005B3B60"/>
    <w:p w14:paraId="1342ECD1" w14:textId="0983BFC2" w:rsidR="005B3B60" w:rsidRDefault="005B3B60" w:rsidP="005B3B60"/>
    <w:p w14:paraId="1E6020F0" w14:textId="68DC5826" w:rsidR="005B3B60" w:rsidRDefault="005B3B60" w:rsidP="005B3B60"/>
    <w:p w14:paraId="682E9626" w14:textId="5E4322AB" w:rsidR="005B3B60" w:rsidRDefault="005B3B60" w:rsidP="005B3B60"/>
    <w:p w14:paraId="5095E56B" w14:textId="218F17E9" w:rsidR="005B3B60" w:rsidRDefault="005B3B60" w:rsidP="005B3B60"/>
    <w:p w14:paraId="0994F78D" w14:textId="32E98EA7" w:rsidR="005B3B60" w:rsidRDefault="005B3B60" w:rsidP="005B3B60"/>
    <w:p w14:paraId="45125982" w14:textId="77777777" w:rsidR="005B3B60" w:rsidRPr="005B3B60" w:rsidRDefault="005B3B60" w:rsidP="005B3B60"/>
    <w:p w14:paraId="794EDEF5" w14:textId="77777777" w:rsidR="00CD520F" w:rsidRDefault="00CD520F">
      <w:pPr>
        <w:spacing w:before="0" w:after="0"/>
        <w:rPr>
          <w:rFonts w:cs="Arial"/>
          <w:b/>
          <w:caps/>
          <w:sz w:val="24"/>
        </w:rPr>
      </w:pPr>
      <w:r>
        <w:br w:type="page"/>
      </w:r>
    </w:p>
    <w:p w14:paraId="4911004E" w14:textId="15265A0C" w:rsidR="00CF1DE5" w:rsidRPr="00433FCA" w:rsidRDefault="004B77DE" w:rsidP="00433FCA">
      <w:pPr>
        <w:pStyle w:val="Heading1"/>
        <w:spacing w:before="120" w:after="120"/>
        <w:rPr>
          <w:rFonts w:ascii="Arial" w:hAnsi="Arial"/>
        </w:rPr>
      </w:pPr>
      <w:bookmarkStart w:id="0" w:name="_Toc90501197"/>
      <w:r>
        <w:rPr>
          <w:rFonts w:ascii="Arial" w:hAnsi="Arial"/>
        </w:rPr>
        <w:t>Executive</w:t>
      </w:r>
      <w:r w:rsidR="00431843">
        <w:rPr>
          <w:rFonts w:ascii="Arial" w:hAnsi="Arial"/>
        </w:rPr>
        <w:t xml:space="preserve"> summary</w:t>
      </w:r>
      <w:bookmarkEnd w:id="0"/>
    </w:p>
    <w:p w14:paraId="348BA7B6" w14:textId="5A62F433" w:rsidR="001A34A7" w:rsidRDefault="001A34A7" w:rsidP="00433FCA">
      <w:pPr>
        <w:tabs>
          <w:tab w:val="left" w:pos="360"/>
        </w:tabs>
        <w:spacing w:line="276" w:lineRule="auto"/>
        <w:rPr>
          <w:rFonts w:cs="Arial"/>
          <w:noProof/>
        </w:rPr>
      </w:pPr>
      <w:r w:rsidRPr="00433FCA">
        <w:rPr>
          <w:rFonts w:cs="Arial"/>
          <w:noProof/>
        </w:rPr>
        <w:t xml:space="preserve">On </w:t>
      </w:r>
      <w:r w:rsidR="00D66BF1" w:rsidRPr="001E6FAC">
        <w:rPr>
          <w:rFonts w:cs="Arial"/>
          <w:noProof/>
        </w:rPr>
        <w:t>3</w:t>
      </w:r>
      <w:r w:rsidR="00DF25A8" w:rsidRPr="001E6FAC">
        <w:rPr>
          <w:rFonts w:cs="Arial"/>
          <w:noProof/>
        </w:rPr>
        <w:t> </w:t>
      </w:r>
      <w:r w:rsidR="00D66BF1" w:rsidRPr="001E6FAC">
        <w:rPr>
          <w:rFonts w:cs="Arial"/>
          <w:noProof/>
        </w:rPr>
        <w:t>April 2021</w:t>
      </w:r>
      <w:r w:rsidRPr="001E6FAC">
        <w:rPr>
          <w:rFonts w:cs="Arial"/>
          <w:noProof/>
        </w:rPr>
        <w:t xml:space="preserve">, </w:t>
      </w:r>
      <w:r w:rsidR="00AB3B13">
        <w:rPr>
          <w:rFonts w:cs="Arial"/>
          <w:noProof/>
        </w:rPr>
        <w:t>Mr Pang Quong</w:t>
      </w:r>
      <w:r w:rsidR="009056D8">
        <w:rPr>
          <w:rFonts w:cs="Arial"/>
          <w:noProof/>
        </w:rPr>
        <w:t xml:space="preserve"> from PQ Aquatics</w:t>
      </w:r>
      <w:r w:rsidRPr="001E6FAC">
        <w:rPr>
          <w:rFonts w:cs="Arial"/>
          <w:noProof/>
        </w:rPr>
        <w:t xml:space="preserve"> s</w:t>
      </w:r>
      <w:r w:rsidR="00E3768F" w:rsidRPr="001E6FAC">
        <w:rPr>
          <w:rFonts w:cs="Arial"/>
          <w:noProof/>
        </w:rPr>
        <w:t>ubmitted an application</w:t>
      </w:r>
      <w:r w:rsidRPr="001E6FAC">
        <w:rPr>
          <w:rFonts w:cs="Arial"/>
          <w:noProof/>
        </w:rPr>
        <w:t xml:space="preserve"> for </w:t>
      </w:r>
      <w:r w:rsidR="00933B8C" w:rsidRPr="001E6FAC">
        <w:rPr>
          <w:rFonts w:cs="Arial"/>
          <w:noProof/>
        </w:rPr>
        <w:t xml:space="preserve">the </w:t>
      </w:r>
      <w:r w:rsidR="00A44588" w:rsidRPr="001E6FAC">
        <w:rPr>
          <w:rFonts w:cs="Arial"/>
          <w:noProof/>
        </w:rPr>
        <w:t>PQ Aquatics Syngnathids Wildlife Trade Operation</w:t>
      </w:r>
      <w:r w:rsidR="00EB2C54">
        <w:rPr>
          <w:rFonts w:cs="Arial"/>
          <w:noProof/>
        </w:rPr>
        <w:t xml:space="preserve"> (WTO)</w:t>
      </w:r>
      <w:r w:rsidR="00A44588" w:rsidRPr="001E6FAC">
        <w:rPr>
          <w:rFonts w:cs="Arial"/>
          <w:noProof/>
        </w:rPr>
        <w:t xml:space="preserve"> </w:t>
      </w:r>
      <w:r w:rsidRPr="001E6FAC">
        <w:rPr>
          <w:rFonts w:cs="Arial"/>
          <w:noProof/>
        </w:rPr>
        <w:t xml:space="preserve">to the Department of </w:t>
      </w:r>
      <w:r w:rsidR="001E6FAC">
        <w:rPr>
          <w:rFonts w:cs="Arial"/>
          <w:noProof/>
        </w:rPr>
        <w:t xml:space="preserve">Agriculture, Water and the Environment (the </w:t>
      </w:r>
      <w:r w:rsidR="009056D8">
        <w:rPr>
          <w:rFonts w:cs="Arial"/>
          <w:noProof/>
        </w:rPr>
        <w:t>d</w:t>
      </w:r>
      <w:r w:rsidR="001E6FAC">
        <w:rPr>
          <w:rFonts w:cs="Arial"/>
          <w:noProof/>
        </w:rPr>
        <w:t>epartment)</w:t>
      </w:r>
      <w:r w:rsidRPr="00433FCA">
        <w:rPr>
          <w:rFonts w:cs="Arial"/>
          <w:noProof/>
        </w:rPr>
        <w:t xml:space="preserve"> for assessment</w:t>
      </w:r>
      <w:r w:rsidR="00E3768F" w:rsidRPr="00433FCA">
        <w:rPr>
          <w:rFonts w:cs="Arial"/>
          <w:noProof/>
        </w:rPr>
        <w:t xml:space="preserve"> under the</w:t>
      </w:r>
      <w:r w:rsidRPr="00433FCA">
        <w:rPr>
          <w:rFonts w:cs="Arial"/>
          <w:noProof/>
        </w:rPr>
        <w:t xml:space="preserve"> </w:t>
      </w:r>
      <w:r w:rsidR="00323CA8" w:rsidRPr="00433FCA">
        <w:rPr>
          <w:rFonts w:cs="Arial"/>
          <w:noProof/>
        </w:rPr>
        <w:t>provisions of Part 13 (protected species) and Part 13A (wildlife trade) of the</w:t>
      </w:r>
      <w:r w:rsidRPr="00433FCA">
        <w:rPr>
          <w:rFonts w:cs="Arial"/>
          <w:noProof/>
        </w:rPr>
        <w:t xml:space="preserve"> </w:t>
      </w:r>
      <w:r w:rsidR="001E6FAC" w:rsidRPr="001E6FAC">
        <w:rPr>
          <w:rFonts w:cs="Arial"/>
          <w:i/>
          <w:iCs/>
          <w:noProof/>
        </w:rPr>
        <w:t>Environment Protection and Biodiversity Conservation Act 1999</w:t>
      </w:r>
      <w:r w:rsidR="001E6FAC">
        <w:rPr>
          <w:rFonts w:cs="Arial"/>
          <w:noProof/>
        </w:rPr>
        <w:t xml:space="preserve"> (EPBC Act)</w:t>
      </w:r>
      <w:r w:rsidR="00E3768F" w:rsidRPr="00433FCA">
        <w:rPr>
          <w:rFonts w:cs="Arial"/>
          <w:noProof/>
        </w:rPr>
        <w:t xml:space="preserve">, </w:t>
      </w:r>
      <w:r w:rsidRPr="00433FCA">
        <w:rPr>
          <w:rFonts w:cs="Arial"/>
          <w:noProof/>
        </w:rPr>
        <w:t>against the Australian Government ‘</w:t>
      </w:r>
      <w:r w:rsidRPr="00F437C9">
        <w:rPr>
          <w:rFonts w:cs="Arial"/>
          <w:i/>
          <w:iCs/>
          <w:noProof/>
        </w:rPr>
        <w:t>Guidelines for the Ecologically Sustainable Management of Fisheries – 2nd Edition</w:t>
      </w:r>
      <w:r w:rsidR="00767FCD" w:rsidRPr="00767FCD">
        <w:rPr>
          <w:rFonts w:cs="Arial"/>
          <w:noProof/>
        </w:rPr>
        <w:t>’</w:t>
      </w:r>
      <w:r w:rsidRPr="00767FCD">
        <w:rPr>
          <w:rFonts w:cs="Arial"/>
          <w:noProof/>
        </w:rPr>
        <w:t xml:space="preserve">. </w:t>
      </w:r>
      <w:r w:rsidRPr="00433FCA">
        <w:rPr>
          <w:rFonts w:cs="Arial"/>
          <w:noProof/>
        </w:rPr>
        <w:t xml:space="preserve">A public comment period was open from </w:t>
      </w:r>
      <w:r w:rsidR="00F66417">
        <w:rPr>
          <w:rFonts w:cs="Arial"/>
          <w:noProof/>
        </w:rPr>
        <w:t xml:space="preserve">24 June 2021 to 23 July 2021. No </w:t>
      </w:r>
      <w:r w:rsidR="0066210D">
        <w:rPr>
          <w:rFonts w:cs="Arial"/>
          <w:noProof/>
        </w:rPr>
        <w:t xml:space="preserve">public </w:t>
      </w:r>
      <w:r w:rsidR="00F66417">
        <w:rPr>
          <w:rFonts w:cs="Arial"/>
          <w:noProof/>
        </w:rPr>
        <w:t>comments were received.</w:t>
      </w:r>
    </w:p>
    <w:p w14:paraId="45D0CB58" w14:textId="03F56267" w:rsidR="001F0CB0" w:rsidRPr="00EC07F5" w:rsidRDefault="001F0CB0" w:rsidP="00433FCA">
      <w:pPr>
        <w:tabs>
          <w:tab w:val="left" w:pos="360"/>
        </w:tabs>
        <w:spacing w:line="276" w:lineRule="auto"/>
        <w:rPr>
          <w:rFonts w:cs="Arial"/>
          <w:b/>
          <w:bCs/>
          <w:noProof/>
        </w:rPr>
      </w:pPr>
      <w:r w:rsidRPr="00EC07F5">
        <w:rPr>
          <w:rFonts w:cs="Arial"/>
          <w:b/>
          <w:bCs/>
          <w:noProof/>
        </w:rPr>
        <w:t>Wildlife Trade Operation</w:t>
      </w:r>
    </w:p>
    <w:p w14:paraId="7CB4A950" w14:textId="3FAADA10" w:rsidR="00F8472A" w:rsidRPr="006D1965" w:rsidRDefault="00095EBB" w:rsidP="00433FCA">
      <w:pPr>
        <w:tabs>
          <w:tab w:val="left" w:pos="360"/>
        </w:tabs>
        <w:spacing w:line="276" w:lineRule="auto"/>
        <w:rPr>
          <w:rFonts w:cs="Arial"/>
          <w:iCs/>
          <w:noProof/>
        </w:rPr>
      </w:pPr>
      <w:r w:rsidRPr="00433FCA">
        <w:rPr>
          <w:rFonts w:cs="Arial"/>
          <w:iCs/>
          <w:noProof/>
        </w:rPr>
        <w:t xml:space="preserve">The </w:t>
      </w:r>
      <w:r w:rsidR="00EB2C54">
        <w:rPr>
          <w:rFonts w:cs="Arial"/>
          <w:iCs/>
          <w:noProof/>
        </w:rPr>
        <w:t xml:space="preserve">PQ Aquatics </w:t>
      </w:r>
      <w:r w:rsidR="00AD1DD7">
        <w:rPr>
          <w:rFonts w:cs="Arial"/>
          <w:iCs/>
          <w:noProof/>
        </w:rPr>
        <w:t xml:space="preserve">Syngnathids </w:t>
      </w:r>
      <w:r w:rsidR="00EB2C54">
        <w:rPr>
          <w:rFonts w:cs="Arial"/>
          <w:iCs/>
          <w:noProof/>
        </w:rPr>
        <w:t xml:space="preserve">WTO </w:t>
      </w:r>
      <w:r w:rsidRPr="00433FCA">
        <w:rPr>
          <w:rFonts w:cs="Arial"/>
          <w:iCs/>
          <w:noProof/>
        </w:rPr>
        <w:t xml:space="preserve">operates in </w:t>
      </w:r>
      <w:r w:rsidR="00822B3B">
        <w:rPr>
          <w:rFonts w:cs="Arial"/>
          <w:iCs/>
          <w:noProof/>
        </w:rPr>
        <w:t>the Victorian coastal waters</w:t>
      </w:r>
      <w:r w:rsidRPr="00433FCA">
        <w:rPr>
          <w:rFonts w:cs="Arial"/>
          <w:iCs/>
          <w:noProof/>
        </w:rPr>
        <w:t xml:space="preserve"> </w:t>
      </w:r>
      <w:r w:rsidR="00822B3B">
        <w:rPr>
          <w:rFonts w:cs="Arial"/>
          <w:iCs/>
          <w:noProof/>
        </w:rPr>
        <w:t>of Western Port Bay</w:t>
      </w:r>
      <w:r w:rsidR="00487030">
        <w:rPr>
          <w:rFonts w:cs="Arial"/>
          <w:iCs/>
          <w:noProof/>
        </w:rPr>
        <w:t xml:space="preserve"> and primarily, Port Phillip Bay</w:t>
      </w:r>
      <w:r w:rsidR="00822B3B">
        <w:rPr>
          <w:rFonts w:cs="Arial"/>
          <w:iCs/>
          <w:noProof/>
        </w:rPr>
        <w:t xml:space="preserve">. </w:t>
      </w:r>
      <w:r w:rsidR="00761EAB">
        <w:rPr>
          <w:rFonts w:cs="Arial"/>
          <w:iCs/>
          <w:noProof/>
        </w:rPr>
        <w:t xml:space="preserve">The commercial operation is </w:t>
      </w:r>
      <w:r w:rsidR="00FB150F">
        <w:rPr>
          <w:rFonts w:cs="Arial"/>
          <w:iCs/>
          <w:noProof/>
        </w:rPr>
        <w:t>regulated</w:t>
      </w:r>
      <w:r w:rsidR="00761EAB">
        <w:rPr>
          <w:rFonts w:cs="Arial"/>
          <w:iCs/>
          <w:noProof/>
        </w:rPr>
        <w:t xml:space="preserve"> through </w:t>
      </w:r>
      <w:r w:rsidR="00551621">
        <w:rPr>
          <w:rFonts w:cs="Arial"/>
          <w:iCs/>
          <w:noProof/>
        </w:rPr>
        <w:t>permit conditions pres</w:t>
      </w:r>
      <w:r w:rsidR="00107684">
        <w:rPr>
          <w:rFonts w:cs="Arial"/>
          <w:iCs/>
          <w:noProof/>
        </w:rPr>
        <w:t>c</w:t>
      </w:r>
      <w:r w:rsidR="00551621">
        <w:rPr>
          <w:rFonts w:cs="Arial"/>
          <w:iCs/>
          <w:noProof/>
        </w:rPr>
        <w:t>ribed by the Victorian Fisheries Authority (VFA)</w:t>
      </w:r>
      <w:r w:rsidR="00FB150F">
        <w:rPr>
          <w:rFonts w:cs="Arial"/>
          <w:iCs/>
          <w:noProof/>
        </w:rPr>
        <w:t>. Such conditions impose restrictions on wh</w:t>
      </w:r>
      <w:r w:rsidR="002F514A">
        <w:rPr>
          <w:rFonts w:cs="Arial"/>
          <w:iCs/>
          <w:noProof/>
        </w:rPr>
        <w:t xml:space="preserve">ich syngnathid </w:t>
      </w:r>
      <w:r w:rsidR="00FB150F">
        <w:rPr>
          <w:rFonts w:cs="Arial"/>
          <w:iCs/>
          <w:noProof/>
        </w:rPr>
        <w:t>species can be harvested</w:t>
      </w:r>
      <w:r w:rsidR="009233DA">
        <w:rPr>
          <w:rFonts w:cs="Arial"/>
          <w:iCs/>
          <w:noProof/>
        </w:rPr>
        <w:t xml:space="preserve">, </w:t>
      </w:r>
      <w:r w:rsidR="002F514A">
        <w:rPr>
          <w:rFonts w:cs="Arial"/>
          <w:iCs/>
          <w:noProof/>
        </w:rPr>
        <w:t xml:space="preserve">the level of annual harvest, which </w:t>
      </w:r>
      <w:r w:rsidR="00AF4920">
        <w:rPr>
          <w:rFonts w:cs="Arial"/>
          <w:iCs/>
          <w:noProof/>
        </w:rPr>
        <w:t>state waters</w:t>
      </w:r>
      <w:r w:rsidR="002F514A">
        <w:rPr>
          <w:rFonts w:cs="Arial"/>
          <w:iCs/>
          <w:noProof/>
        </w:rPr>
        <w:t xml:space="preserve"> </w:t>
      </w:r>
      <w:r w:rsidR="007841D3">
        <w:rPr>
          <w:rFonts w:cs="Arial"/>
          <w:iCs/>
          <w:noProof/>
        </w:rPr>
        <w:t>can be accessed</w:t>
      </w:r>
      <w:r w:rsidR="002F514A">
        <w:rPr>
          <w:rFonts w:cs="Arial"/>
          <w:iCs/>
          <w:noProof/>
        </w:rPr>
        <w:t xml:space="preserve">, </w:t>
      </w:r>
      <w:r w:rsidR="005636B8">
        <w:rPr>
          <w:rFonts w:cs="Arial"/>
          <w:iCs/>
          <w:noProof/>
        </w:rPr>
        <w:t>and which</w:t>
      </w:r>
      <w:r w:rsidR="007841D3">
        <w:rPr>
          <w:rFonts w:cs="Arial"/>
          <w:iCs/>
          <w:noProof/>
        </w:rPr>
        <w:t xml:space="preserve"> captive facilities can be used to hold</w:t>
      </w:r>
      <w:r w:rsidR="002F514A">
        <w:rPr>
          <w:rFonts w:cs="Arial"/>
          <w:iCs/>
          <w:noProof/>
        </w:rPr>
        <w:t xml:space="preserve"> </w:t>
      </w:r>
      <w:r w:rsidR="005F73B5">
        <w:rPr>
          <w:rFonts w:cs="Arial"/>
          <w:iCs/>
          <w:noProof/>
        </w:rPr>
        <w:t>wild broodstock</w:t>
      </w:r>
      <w:r w:rsidR="00965417">
        <w:rPr>
          <w:rFonts w:cs="Arial"/>
          <w:iCs/>
          <w:noProof/>
        </w:rPr>
        <w:t xml:space="preserve">. </w:t>
      </w:r>
      <w:r w:rsidR="006001D0">
        <w:rPr>
          <w:rFonts w:cs="Arial"/>
          <w:iCs/>
          <w:noProof/>
        </w:rPr>
        <w:t>T</w:t>
      </w:r>
      <w:r w:rsidR="00965417">
        <w:rPr>
          <w:rFonts w:cs="Arial"/>
          <w:iCs/>
          <w:noProof/>
        </w:rPr>
        <w:t xml:space="preserve">he operation is required to keep accurate records of </w:t>
      </w:r>
      <w:r w:rsidR="00A74538">
        <w:rPr>
          <w:rFonts w:cs="Arial"/>
          <w:iCs/>
          <w:noProof/>
        </w:rPr>
        <w:t>wild harvest</w:t>
      </w:r>
      <w:r w:rsidR="006001D0">
        <w:rPr>
          <w:rFonts w:cs="Arial"/>
          <w:iCs/>
          <w:noProof/>
        </w:rPr>
        <w:t>ing and operational activities</w:t>
      </w:r>
      <w:r w:rsidR="00BB2172">
        <w:rPr>
          <w:rFonts w:cs="Arial"/>
          <w:iCs/>
          <w:noProof/>
        </w:rPr>
        <w:t>,</w:t>
      </w:r>
      <w:r w:rsidR="00D03A4D">
        <w:rPr>
          <w:rFonts w:cs="Arial"/>
          <w:iCs/>
          <w:noProof/>
        </w:rPr>
        <w:t xml:space="preserve"> </w:t>
      </w:r>
      <w:r w:rsidR="00B71F08">
        <w:rPr>
          <w:rFonts w:cs="Arial"/>
          <w:iCs/>
          <w:noProof/>
        </w:rPr>
        <w:t xml:space="preserve">and </w:t>
      </w:r>
      <w:r w:rsidR="00BB2172" w:rsidRPr="00664463">
        <w:rPr>
          <w:rFonts w:cs="Arial"/>
          <w:iCs/>
          <w:noProof/>
        </w:rPr>
        <w:t>frequently</w:t>
      </w:r>
      <w:r w:rsidR="00BB2172">
        <w:rPr>
          <w:rFonts w:cs="Arial"/>
          <w:iCs/>
          <w:noProof/>
        </w:rPr>
        <w:t xml:space="preserve"> report</w:t>
      </w:r>
      <w:r w:rsidR="005B3B60">
        <w:rPr>
          <w:rFonts w:cs="Arial"/>
          <w:iCs/>
          <w:noProof/>
        </w:rPr>
        <w:t xml:space="preserve"> to the VFA.</w:t>
      </w:r>
    </w:p>
    <w:p w14:paraId="5AFA040D" w14:textId="77777777" w:rsidR="00937DA0" w:rsidRPr="00433FCA" w:rsidRDefault="00937DA0" w:rsidP="00433FCA">
      <w:pPr>
        <w:spacing w:line="276" w:lineRule="auto"/>
        <w:rPr>
          <w:rFonts w:cs="Arial"/>
          <w:b/>
        </w:rPr>
      </w:pPr>
      <w:r w:rsidRPr="00433FCA">
        <w:rPr>
          <w:rFonts w:cs="Arial"/>
          <w:b/>
        </w:rPr>
        <w:t>Target stocks</w:t>
      </w:r>
    </w:p>
    <w:p w14:paraId="22B30CAF" w14:textId="6C843770" w:rsidR="006C2E03" w:rsidRPr="006C2E03" w:rsidRDefault="002F2E2F" w:rsidP="00433FCA">
      <w:pPr>
        <w:tabs>
          <w:tab w:val="left" w:pos="360"/>
        </w:tabs>
        <w:spacing w:line="276" w:lineRule="auto"/>
        <w:rPr>
          <w:rFonts w:cs="Arial"/>
          <w:noProof/>
        </w:rPr>
      </w:pPr>
      <w:r>
        <w:rPr>
          <w:rFonts w:cs="Arial"/>
          <w:noProof/>
        </w:rPr>
        <w:t xml:space="preserve">The Syngnathidae family consists of bony fishes </w:t>
      </w:r>
      <w:r w:rsidR="00247868">
        <w:rPr>
          <w:rFonts w:cs="Arial"/>
          <w:noProof/>
        </w:rPr>
        <w:t xml:space="preserve">such as </w:t>
      </w:r>
      <w:r>
        <w:rPr>
          <w:rFonts w:cs="Arial"/>
          <w:noProof/>
        </w:rPr>
        <w:t>seahorse</w:t>
      </w:r>
      <w:r w:rsidR="00107684">
        <w:rPr>
          <w:rFonts w:cs="Arial"/>
          <w:noProof/>
        </w:rPr>
        <w:t>s</w:t>
      </w:r>
      <w:r>
        <w:rPr>
          <w:rFonts w:cs="Arial"/>
          <w:noProof/>
        </w:rPr>
        <w:t>, pipefish</w:t>
      </w:r>
      <w:r w:rsidR="00107684">
        <w:rPr>
          <w:rFonts w:cs="Arial"/>
          <w:noProof/>
        </w:rPr>
        <w:t xml:space="preserve">es </w:t>
      </w:r>
      <w:r>
        <w:rPr>
          <w:rFonts w:cs="Arial"/>
          <w:noProof/>
        </w:rPr>
        <w:t>and seadragon</w:t>
      </w:r>
      <w:r w:rsidR="00107684">
        <w:rPr>
          <w:rFonts w:cs="Arial"/>
          <w:noProof/>
        </w:rPr>
        <w:t>s</w:t>
      </w:r>
      <w:r>
        <w:rPr>
          <w:rFonts w:cs="Arial"/>
          <w:noProof/>
        </w:rPr>
        <w:t xml:space="preserve">. </w:t>
      </w:r>
      <w:r w:rsidR="009E649B" w:rsidRPr="009E649B">
        <w:rPr>
          <w:rFonts w:cs="Arial"/>
          <w:noProof/>
        </w:rPr>
        <w:t>The operation uses hand collection while diving to selectively target three syngnathid species in the wild</w:t>
      </w:r>
      <w:r w:rsidR="00107684">
        <w:rPr>
          <w:rFonts w:cs="Arial"/>
          <w:noProof/>
        </w:rPr>
        <w:t xml:space="preserve">: </w:t>
      </w:r>
      <w:r w:rsidR="005E6362">
        <w:rPr>
          <w:rFonts w:cs="Arial"/>
          <w:noProof/>
        </w:rPr>
        <w:t>the Weedy Seadragon (</w:t>
      </w:r>
      <w:r w:rsidR="005E6362" w:rsidRPr="00D2663A">
        <w:rPr>
          <w:rFonts w:cs="Arial"/>
          <w:i/>
          <w:iCs/>
          <w:noProof/>
        </w:rPr>
        <w:t>Phyllopteryx taeniolatus</w:t>
      </w:r>
      <w:r w:rsidR="005E6362">
        <w:rPr>
          <w:rFonts w:cs="Arial"/>
          <w:noProof/>
        </w:rPr>
        <w:t>), Short-headed</w:t>
      </w:r>
      <w:r w:rsidR="001904ED">
        <w:rPr>
          <w:rFonts w:cs="Arial"/>
          <w:noProof/>
        </w:rPr>
        <w:t xml:space="preserve"> Seahorse (</w:t>
      </w:r>
      <w:r w:rsidR="001904ED" w:rsidRPr="00D2663A">
        <w:rPr>
          <w:rFonts w:cs="Arial"/>
          <w:i/>
          <w:iCs/>
          <w:noProof/>
        </w:rPr>
        <w:t>Hippocampus breviceps</w:t>
      </w:r>
      <w:r w:rsidR="001904ED">
        <w:rPr>
          <w:rFonts w:cs="Arial"/>
          <w:noProof/>
        </w:rPr>
        <w:t>) and Pot-bellied Seahorse (</w:t>
      </w:r>
      <w:r w:rsidR="00103CA8" w:rsidRPr="00D2663A">
        <w:rPr>
          <w:rFonts w:cs="Arial"/>
          <w:i/>
          <w:iCs/>
          <w:noProof/>
        </w:rPr>
        <w:t>Hippocampus abdominalis</w:t>
      </w:r>
      <w:r w:rsidR="00103CA8">
        <w:rPr>
          <w:rFonts w:cs="Arial"/>
          <w:noProof/>
        </w:rPr>
        <w:t xml:space="preserve">). </w:t>
      </w:r>
      <w:r w:rsidR="00973B60">
        <w:rPr>
          <w:rFonts w:cs="Arial"/>
          <w:noProof/>
        </w:rPr>
        <w:t xml:space="preserve">The target species </w:t>
      </w:r>
      <w:r w:rsidR="001F62DA">
        <w:rPr>
          <w:rFonts w:cs="Arial"/>
          <w:noProof/>
        </w:rPr>
        <w:t>naturally</w:t>
      </w:r>
      <w:r w:rsidR="00EE2FCA">
        <w:rPr>
          <w:rFonts w:cs="Arial"/>
          <w:noProof/>
        </w:rPr>
        <w:t xml:space="preserve"> occur</w:t>
      </w:r>
      <w:r w:rsidR="001F62DA">
        <w:rPr>
          <w:rFonts w:cs="Arial"/>
          <w:noProof/>
        </w:rPr>
        <w:t xml:space="preserve"> across southern Australia, with the</w:t>
      </w:r>
      <w:r w:rsidR="00EE2FCA">
        <w:rPr>
          <w:rFonts w:cs="Arial"/>
          <w:noProof/>
        </w:rPr>
        <w:t xml:space="preserve"> distribution of the</w:t>
      </w:r>
      <w:r w:rsidR="001F62DA">
        <w:rPr>
          <w:rFonts w:cs="Arial"/>
          <w:noProof/>
        </w:rPr>
        <w:t xml:space="preserve"> Pot-bellied Seahorse</w:t>
      </w:r>
      <w:r w:rsidR="00DF1D17">
        <w:rPr>
          <w:rFonts w:cs="Arial"/>
          <w:noProof/>
        </w:rPr>
        <w:t xml:space="preserve"> extending</w:t>
      </w:r>
      <w:r w:rsidR="00EE2FCA">
        <w:rPr>
          <w:rFonts w:cs="Arial"/>
          <w:noProof/>
        </w:rPr>
        <w:t xml:space="preserve"> to New Zealand. </w:t>
      </w:r>
      <w:r w:rsidR="00CD069A">
        <w:rPr>
          <w:rFonts w:cs="Arial"/>
          <w:noProof/>
        </w:rPr>
        <w:t>While a</w:t>
      </w:r>
      <w:r w:rsidR="0040055E">
        <w:rPr>
          <w:rFonts w:cs="Arial"/>
          <w:noProof/>
        </w:rPr>
        <w:t xml:space="preserve"> stock assessment has not been undertaken for </w:t>
      </w:r>
      <w:r w:rsidR="000E4015">
        <w:rPr>
          <w:rFonts w:cs="Arial"/>
          <w:noProof/>
        </w:rPr>
        <w:t>PQ Aquatics</w:t>
      </w:r>
      <w:r w:rsidR="00CD069A">
        <w:rPr>
          <w:rFonts w:cs="Arial"/>
          <w:noProof/>
        </w:rPr>
        <w:t xml:space="preserve">, it is unlikely the targeted species are being overharvested due to the </w:t>
      </w:r>
      <w:r w:rsidR="00115652">
        <w:rPr>
          <w:rFonts w:cs="Arial"/>
          <w:noProof/>
        </w:rPr>
        <w:t>small scale of the operation.</w:t>
      </w:r>
      <w:r w:rsidR="00EC544B">
        <w:rPr>
          <w:rFonts w:cs="Arial"/>
          <w:noProof/>
        </w:rPr>
        <w:t xml:space="preserve"> </w:t>
      </w:r>
    </w:p>
    <w:p w14:paraId="23646AF5" w14:textId="77777777" w:rsidR="00937DA0" w:rsidRPr="00433FCA" w:rsidRDefault="00937DA0" w:rsidP="00433FCA">
      <w:pPr>
        <w:spacing w:line="276" w:lineRule="auto"/>
        <w:rPr>
          <w:rFonts w:cs="Arial"/>
          <w:b/>
          <w:noProof/>
        </w:rPr>
      </w:pPr>
      <w:r w:rsidRPr="00433FCA">
        <w:rPr>
          <w:rFonts w:cs="Arial"/>
          <w:b/>
          <w:noProof/>
        </w:rPr>
        <w:t>Protected species and threatened ecological communities</w:t>
      </w:r>
    </w:p>
    <w:p w14:paraId="794E9F6D" w14:textId="2E1BBEC4" w:rsidR="00C341A6" w:rsidRPr="006D1965" w:rsidRDefault="00BF4453" w:rsidP="00433FCA">
      <w:pPr>
        <w:spacing w:line="276" w:lineRule="auto"/>
        <w:rPr>
          <w:rFonts w:cs="Arial"/>
          <w:iCs/>
          <w:noProof/>
        </w:rPr>
      </w:pPr>
      <w:r>
        <w:rPr>
          <w:rFonts w:cs="Arial"/>
          <w:iCs/>
          <w:noProof/>
        </w:rPr>
        <w:t>The impact of this operation on protected</w:t>
      </w:r>
      <w:r w:rsidR="007A543A">
        <w:rPr>
          <w:rFonts w:cs="Arial"/>
          <w:iCs/>
          <w:noProof/>
        </w:rPr>
        <w:t xml:space="preserve"> marine</w:t>
      </w:r>
      <w:r>
        <w:rPr>
          <w:rFonts w:cs="Arial"/>
          <w:iCs/>
          <w:noProof/>
        </w:rPr>
        <w:t xml:space="preserve"> species and ecological communities</w:t>
      </w:r>
      <w:r w:rsidR="007A543A">
        <w:rPr>
          <w:rFonts w:cs="Arial"/>
          <w:iCs/>
          <w:noProof/>
        </w:rPr>
        <w:t xml:space="preserve"> is</w:t>
      </w:r>
      <w:r w:rsidR="005D5963">
        <w:rPr>
          <w:rFonts w:cs="Arial"/>
          <w:iCs/>
          <w:noProof/>
        </w:rPr>
        <w:t xml:space="preserve"> considered negligible. </w:t>
      </w:r>
      <w:r w:rsidR="00B133C2">
        <w:rPr>
          <w:rFonts w:cs="Arial"/>
          <w:iCs/>
          <w:noProof/>
        </w:rPr>
        <w:t>PQ Aquatics implements a low-impact and highly selective fishing method</w:t>
      </w:r>
      <w:r w:rsidR="006D147B">
        <w:rPr>
          <w:rFonts w:cs="Arial"/>
          <w:iCs/>
          <w:noProof/>
        </w:rPr>
        <w:t xml:space="preserve"> (hand collection)</w:t>
      </w:r>
      <w:r w:rsidR="00377F4F">
        <w:rPr>
          <w:rFonts w:cs="Arial"/>
          <w:iCs/>
          <w:noProof/>
        </w:rPr>
        <w:t>, and removes only a small number of syngnathids each year</w:t>
      </w:r>
      <w:r w:rsidR="006D147B">
        <w:rPr>
          <w:rFonts w:cs="Arial"/>
          <w:iCs/>
          <w:noProof/>
        </w:rPr>
        <w:t xml:space="preserve"> (</w:t>
      </w:r>
      <w:r w:rsidR="00D26188">
        <w:rPr>
          <w:rFonts w:cs="Arial"/>
          <w:iCs/>
          <w:noProof/>
        </w:rPr>
        <w:t>four</w:t>
      </w:r>
      <w:r w:rsidR="006D147B">
        <w:rPr>
          <w:rFonts w:cs="Arial"/>
          <w:iCs/>
          <w:noProof/>
        </w:rPr>
        <w:t xml:space="preserve"> specimens </w:t>
      </w:r>
      <w:r w:rsidR="00717D5E">
        <w:rPr>
          <w:rFonts w:cs="Arial"/>
          <w:iCs/>
          <w:noProof/>
        </w:rPr>
        <w:t>of</w:t>
      </w:r>
      <w:r w:rsidR="006D147B">
        <w:rPr>
          <w:rFonts w:cs="Arial"/>
          <w:iCs/>
          <w:noProof/>
        </w:rPr>
        <w:t xml:space="preserve"> each species</w:t>
      </w:r>
      <w:r w:rsidR="00717D5E">
        <w:rPr>
          <w:rFonts w:cs="Arial"/>
          <w:iCs/>
          <w:noProof/>
        </w:rPr>
        <w:t>, including gravid specimens</w:t>
      </w:r>
      <w:r w:rsidR="006D147B">
        <w:rPr>
          <w:rFonts w:cs="Arial"/>
          <w:iCs/>
          <w:noProof/>
        </w:rPr>
        <w:t>)</w:t>
      </w:r>
      <w:r w:rsidR="00377F4F">
        <w:rPr>
          <w:rFonts w:cs="Arial"/>
          <w:iCs/>
          <w:noProof/>
        </w:rPr>
        <w:t xml:space="preserve">. </w:t>
      </w:r>
      <w:r w:rsidR="00C13873" w:rsidRPr="00C13873">
        <w:rPr>
          <w:rFonts w:cs="Arial"/>
          <w:iCs/>
          <w:noProof/>
        </w:rPr>
        <w:t>Syngnathids</w:t>
      </w:r>
      <w:r w:rsidR="00C13873">
        <w:rPr>
          <w:rFonts w:cs="Arial"/>
          <w:iCs/>
          <w:noProof/>
        </w:rPr>
        <w:t xml:space="preserve"> are listed as</w:t>
      </w:r>
      <w:r w:rsidR="00041ADA">
        <w:rPr>
          <w:rFonts w:cs="Arial"/>
          <w:iCs/>
          <w:noProof/>
        </w:rPr>
        <w:t xml:space="preserve"> protected</w:t>
      </w:r>
      <w:r w:rsidR="00C13873">
        <w:rPr>
          <w:rFonts w:cs="Arial"/>
          <w:iCs/>
          <w:noProof/>
        </w:rPr>
        <w:t xml:space="preserve"> </w:t>
      </w:r>
      <w:r w:rsidR="00041ADA">
        <w:rPr>
          <w:rFonts w:cs="Arial"/>
          <w:iCs/>
          <w:noProof/>
        </w:rPr>
        <w:t>m</w:t>
      </w:r>
      <w:r w:rsidR="00C13873">
        <w:rPr>
          <w:rFonts w:cs="Arial"/>
          <w:iCs/>
          <w:noProof/>
        </w:rPr>
        <w:t xml:space="preserve">arine species under Part 13 of the EPBC Act. </w:t>
      </w:r>
      <w:r w:rsidR="005812CA">
        <w:rPr>
          <w:rFonts w:cs="Arial"/>
          <w:iCs/>
          <w:noProof/>
        </w:rPr>
        <w:t>I</w:t>
      </w:r>
      <w:r w:rsidR="004F3FFF">
        <w:rPr>
          <w:rFonts w:cs="Arial"/>
          <w:iCs/>
          <w:noProof/>
        </w:rPr>
        <w:t xml:space="preserve">nteractions </w:t>
      </w:r>
      <w:r w:rsidR="00063FCB">
        <w:rPr>
          <w:rFonts w:cs="Arial"/>
          <w:iCs/>
          <w:noProof/>
        </w:rPr>
        <w:t>with species protected under Commonwealth legislation</w:t>
      </w:r>
      <w:r w:rsidR="00880681">
        <w:rPr>
          <w:rFonts w:cs="Arial"/>
          <w:iCs/>
          <w:noProof/>
        </w:rPr>
        <w:t xml:space="preserve"> is </w:t>
      </w:r>
      <w:r w:rsidR="009E3CD1">
        <w:rPr>
          <w:rFonts w:cs="Arial"/>
          <w:iCs/>
          <w:noProof/>
        </w:rPr>
        <w:t>unlikely</w:t>
      </w:r>
      <w:r w:rsidR="003D2205">
        <w:rPr>
          <w:rFonts w:cs="Arial"/>
          <w:iCs/>
          <w:noProof/>
        </w:rPr>
        <w:t>, given that specimens are not harvested from Commonwealth waters</w:t>
      </w:r>
      <w:r w:rsidR="009E3CD1">
        <w:rPr>
          <w:rFonts w:cs="Arial"/>
          <w:iCs/>
          <w:noProof/>
        </w:rPr>
        <w:t>.</w:t>
      </w:r>
      <w:r w:rsidR="00880681">
        <w:rPr>
          <w:rFonts w:cs="Arial"/>
          <w:iCs/>
          <w:noProof/>
        </w:rPr>
        <w:t xml:space="preserve"> </w:t>
      </w:r>
      <w:r w:rsidR="0094662B">
        <w:rPr>
          <w:rFonts w:cs="Arial"/>
          <w:iCs/>
          <w:noProof/>
        </w:rPr>
        <w:t xml:space="preserve">Species belonging to the </w:t>
      </w:r>
      <w:r w:rsidR="0094662B" w:rsidRPr="00D614D0">
        <w:rPr>
          <w:rFonts w:cs="Arial"/>
          <w:i/>
          <w:noProof/>
        </w:rPr>
        <w:t>Hippocampus</w:t>
      </w:r>
      <w:r w:rsidR="0094662B">
        <w:rPr>
          <w:rFonts w:cs="Arial"/>
          <w:iCs/>
          <w:noProof/>
        </w:rPr>
        <w:t xml:space="preserve"> genus are listed under </w:t>
      </w:r>
      <w:r w:rsidR="0094662B" w:rsidRPr="00D26188">
        <w:rPr>
          <w:rFonts w:cs="Arial"/>
          <w:iCs/>
          <w:noProof/>
        </w:rPr>
        <w:t>Appendix II of the Convention on International Trade in Endangered Species of Wild Fauna and Flora</w:t>
      </w:r>
      <w:r w:rsidR="0094662B">
        <w:rPr>
          <w:rFonts w:cs="Arial"/>
          <w:iCs/>
          <w:noProof/>
        </w:rPr>
        <w:t xml:space="preserve"> (CITES). </w:t>
      </w:r>
      <w:r w:rsidR="00A539B6">
        <w:rPr>
          <w:rFonts w:cs="Arial"/>
          <w:iCs/>
          <w:noProof/>
        </w:rPr>
        <w:t xml:space="preserve">A </w:t>
      </w:r>
      <w:r w:rsidR="007A392D">
        <w:rPr>
          <w:rFonts w:cs="Arial"/>
          <w:iCs/>
          <w:noProof/>
        </w:rPr>
        <w:t xml:space="preserve">2015 </w:t>
      </w:r>
      <w:r w:rsidR="00A539B6">
        <w:rPr>
          <w:rFonts w:cs="Arial"/>
          <w:iCs/>
          <w:noProof/>
        </w:rPr>
        <w:t xml:space="preserve">Non-Detriment Finding </w:t>
      </w:r>
      <w:r w:rsidR="0074027F">
        <w:rPr>
          <w:rFonts w:cs="Arial"/>
          <w:iCs/>
          <w:noProof/>
        </w:rPr>
        <w:t xml:space="preserve">(NDF) </w:t>
      </w:r>
      <w:r w:rsidR="0094662B">
        <w:rPr>
          <w:rFonts w:cs="Arial"/>
          <w:iCs/>
          <w:noProof/>
        </w:rPr>
        <w:t>for the CITES</w:t>
      </w:r>
      <w:r w:rsidR="00E121E4">
        <w:rPr>
          <w:rFonts w:cs="Arial"/>
          <w:iCs/>
          <w:noProof/>
        </w:rPr>
        <w:t>-listed species</w:t>
      </w:r>
      <w:r w:rsidR="00C638B0">
        <w:rPr>
          <w:rFonts w:cs="Arial"/>
          <w:iCs/>
          <w:noProof/>
        </w:rPr>
        <w:t xml:space="preserve"> determined that </w:t>
      </w:r>
      <w:r w:rsidR="00E121E4">
        <w:rPr>
          <w:rFonts w:cs="Arial"/>
          <w:iCs/>
          <w:noProof/>
        </w:rPr>
        <w:t xml:space="preserve">their </w:t>
      </w:r>
      <w:r w:rsidR="00D17ED6">
        <w:rPr>
          <w:rFonts w:cs="Arial"/>
          <w:iCs/>
          <w:noProof/>
        </w:rPr>
        <w:t>wild</w:t>
      </w:r>
      <w:r w:rsidR="00E121E4">
        <w:rPr>
          <w:rFonts w:cs="Arial"/>
          <w:iCs/>
          <w:noProof/>
        </w:rPr>
        <w:t xml:space="preserve"> harvest</w:t>
      </w:r>
      <w:r w:rsidR="004F1FFA" w:rsidRPr="000E6218">
        <w:rPr>
          <w:rFonts w:cs="Arial"/>
          <w:i/>
          <w:noProof/>
        </w:rPr>
        <w:t xml:space="preserve"> </w:t>
      </w:r>
      <w:r w:rsidR="00E121E4">
        <w:rPr>
          <w:rFonts w:cs="Arial"/>
          <w:iCs/>
          <w:noProof/>
        </w:rPr>
        <w:t xml:space="preserve">and retainment as </w:t>
      </w:r>
      <w:r w:rsidR="003D2205">
        <w:rPr>
          <w:rFonts w:cs="Arial"/>
          <w:iCs/>
          <w:noProof/>
        </w:rPr>
        <w:t xml:space="preserve">broodstock was unlikely to be detrimental </w:t>
      </w:r>
      <w:r w:rsidR="009E28F5">
        <w:rPr>
          <w:rFonts w:cs="Arial"/>
          <w:iCs/>
          <w:noProof/>
        </w:rPr>
        <w:t xml:space="preserve">to </w:t>
      </w:r>
      <w:r w:rsidR="003E1722">
        <w:rPr>
          <w:rFonts w:cs="Arial"/>
          <w:iCs/>
          <w:noProof/>
        </w:rPr>
        <w:t xml:space="preserve">the survival of </w:t>
      </w:r>
      <w:r w:rsidR="003E1722" w:rsidRPr="0095745B">
        <w:rPr>
          <w:rFonts w:cs="Arial"/>
          <w:iCs/>
          <w:noProof/>
        </w:rPr>
        <w:t>either</w:t>
      </w:r>
      <w:r w:rsidR="009E28F5">
        <w:rPr>
          <w:rFonts w:cs="Arial"/>
          <w:iCs/>
          <w:noProof/>
        </w:rPr>
        <w:t xml:space="preserve"> species</w:t>
      </w:r>
      <w:r w:rsidR="007A392D">
        <w:rPr>
          <w:rFonts w:cs="Arial"/>
          <w:iCs/>
          <w:noProof/>
        </w:rPr>
        <w:t xml:space="preserve"> in Victoria</w:t>
      </w:r>
      <w:r w:rsidR="008E790E">
        <w:rPr>
          <w:rFonts w:cs="Arial"/>
          <w:iCs/>
          <w:noProof/>
        </w:rPr>
        <w:t>.</w:t>
      </w:r>
    </w:p>
    <w:p w14:paraId="56FE78CA" w14:textId="7089F157" w:rsidR="00937DA0" w:rsidRPr="00433FCA" w:rsidRDefault="00937DA0" w:rsidP="00433FCA">
      <w:pPr>
        <w:spacing w:line="276" w:lineRule="auto"/>
        <w:rPr>
          <w:rFonts w:cs="Arial"/>
          <w:b/>
        </w:rPr>
      </w:pPr>
      <w:r w:rsidRPr="00433FCA">
        <w:rPr>
          <w:rFonts w:cs="Arial"/>
          <w:b/>
        </w:rPr>
        <w:t>Ecosystem impacts</w:t>
      </w:r>
    </w:p>
    <w:p w14:paraId="7BE5FE8D" w14:textId="0FB02622" w:rsidR="00A97DF8" w:rsidRPr="004456F1" w:rsidRDefault="0084607D" w:rsidP="004456F1">
      <w:pPr>
        <w:adjustRightInd w:val="0"/>
        <w:spacing w:line="276" w:lineRule="auto"/>
        <w:rPr>
          <w:rFonts w:cs="Arial"/>
          <w:iCs/>
          <w:noProof/>
        </w:rPr>
      </w:pPr>
      <w:r w:rsidRPr="0084607D">
        <w:rPr>
          <w:rFonts w:cs="Arial"/>
          <w:iCs/>
          <w:noProof/>
        </w:rPr>
        <w:t>The Port</w:t>
      </w:r>
      <w:r w:rsidR="00DA2A1D">
        <w:rPr>
          <w:rFonts w:cs="Arial"/>
          <w:iCs/>
          <w:noProof/>
        </w:rPr>
        <w:t xml:space="preserve"> Phillip Bay</w:t>
      </w:r>
      <w:r w:rsidR="00BC47B8">
        <w:rPr>
          <w:rFonts w:cs="Arial"/>
          <w:iCs/>
          <w:noProof/>
        </w:rPr>
        <w:t xml:space="preserve"> (Western Shoreline) and Bellarine Peninsula is a </w:t>
      </w:r>
      <w:r w:rsidR="00856267">
        <w:rPr>
          <w:rFonts w:cs="Arial"/>
          <w:iCs/>
          <w:noProof/>
        </w:rPr>
        <w:t>significant</w:t>
      </w:r>
      <w:r w:rsidR="00BC47B8">
        <w:rPr>
          <w:rFonts w:cs="Arial"/>
          <w:iCs/>
          <w:noProof/>
        </w:rPr>
        <w:t xml:space="preserve"> Ramsar site within the Port Phillip Bay region. </w:t>
      </w:r>
      <w:r w:rsidR="00B77326">
        <w:rPr>
          <w:rFonts w:cs="Arial"/>
          <w:iCs/>
          <w:noProof/>
        </w:rPr>
        <w:t>The</w:t>
      </w:r>
      <w:r w:rsidR="00CD3A31">
        <w:rPr>
          <w:rFonts w:cs="Arial"/>
          <w:iCs/>
          <w:noProof/>
        </w:rPr>
        <w:t xml:space="preserve"> site supports and provides</w:t>
      </w:r>
      <w:r w:rsidR="00285512">
        <w:rPr>
          <w:rFonts w:cs="Arial"/>
          <w:iCs/>
          <w:noProof/>
        </w:rPr>
        <w:t xml:space="preserve"> vital</w:t>
      </w:r>
      <w:r w:rsidR="00CD3A31">
        <w:rPr>
          <w:rFonts w:cs="Arial"/>
          <w:iCs/>
          <w:noProof/>
        </w:rPr>
        <w:t xml:space="preserve"> refuge to</w:t>
      </w:r>
      <w:r w:rsidR="00536133">
        <w:rPr>
          <w:rFonts w:cs="Arial"/>
          <w:iCs/>
          <w:noProof/>
        </w:rPr>
        <w:t xml:space="preserve"> </w:t>
      </w:r>
      <w:r w:rsidR="000F3E19">
        <w:rPr>
          <w:rFonts w:cs="Arial"/>
          <w:iCs/>
          <w:noProof/>
        </w:rPr>
        <w:t xml:space="preserve">a variety of </w:t>
      </w:r>
      <w:r w:rsidR="00285512">
        <w:rPr>
          <w:rFonts w:cs="Arial"/>
          <w:iCs/>
          <w:noProof/>
        </w:rPr>
        <w:t xml:space="preserve">animal species, </w:t>
      </w:r>
      <w:r w:rsidR="008E3CA6">
        <w:rPr>
          <w:rFonts w:cs="Arial"/>
          <w:iCs/>
          <w:noProof/>
        </w:rPr>
        <w:t>including</w:t>
      </w:r>
      <w:r w:rsidR="004F5E93">
        <w:rPr>
          <w:rFonts w:cs="Arial"/>
          <w:iCs/>
          <w:noProof/>
        </w:rPr>
        <w:t xml:space="preserve"> </w:t>
      </w:r>
      <w:r w:rsidR="00811165">
        <w:rPr>
          <w:rFonts w:cs="Arial"/>
          <w:iCs/>
          <w:noProof/>
        </w:rPr>
        <w:t xml:space="preserve">rare </w:t>
      </w:r>
      <w:r w:rsidR="00803281">
        <w:rPr>
          <w:rFonts w:cs="Arial"/>
          <w:iCs/>
          <w:noProof/>
        </w:rPr>
        <w:t xml:space="preserve">migratory </w:t>
      </w:r>
      <w:r w:rsidR="0074027F">
        <w:rPr>
          <w:rFonts w:cs="Arial"/>
          <w:iCs/>
          <w:noProof/>
        </w:rPr>
        <w:t>shore</w:t>
      </w:r>
      <w:r w:rsidR="00803281">
        <w:rPr>
          <w:rFonts w:cs="Arial"/>
          <w:iCs/>
          <w:noProof/>
        </w:rPr>
        <w:t>birds</w:t>
      </w:r>
      <w:r w:rsidR="004F5E93">
        <w:rPr>
          <w:rFonts w:cs="Arial"/>
          <w:iCs/>
          <w:noProof/>
        </w:rPr>
        <w:t>.</w:t>
      </w:r>
      <w:r w:rsidR="004456F1">
        <w:rPr>
          <w:rFonts w:cs="Arial"/>
          <w:iCs/>
          <w:noProof/>
        </w:rPr>
        <w:t xml:space="preserve"> </w:t>
      </w:r>
      <w:r w:rsidR="00126033" w:rsidRPr="00D82E43">
        <w:rPr>
          <w:rFonts w:cs="Arial"/>
          <w:iCs/>
          <w:noProof/>
        </w:rPr>
        <w:t xml:space="preserve">Harvesting activities are not </w:t>
      </w:r>
      <w:r w:rsidR="007F6029" w:rsidRPr="00D82E43">
        <w:rPr>
          <w:rFonts w:cs="Arial"/>
          <w:iCs/>
          <w:noProof/>
        </w:rPr>
        <w:t>undertaken</w:t>
      </w:r>
      <w:r w:rsidR="00C25D47" w:rsidRPr="00D82E43">
        <w:rPr>
          <w:rFonts w:cs="Arial"/>
          <w:iCs/>
          <w:noProof/>
        </w:rPr>
        <w:t xml:space="preserve"> within or near the Ramsar s</w:t>
      </w:r>
      <w:r w:rsidR="00062923" w:rsidRPr="00D82E43">
        <w:rPr>
          <w:rFonts w:cs="Arial"/>
          <w:iCs/>
          <w:noProof/>
        </w:rPr>
        <w:t>ite</w:t>
      </w:r>
      <w:r w:rsidR="004456F1" w:rsidRPr="00D82E43">
        <w:rPr>
          <w:rFonts w:cs="Arial"/>
          <w:iCs/>
          <w:noProof/>
        </w:rPr>
        <w:t>,</w:t>
      </w:r>
      <w:r w:rsidR="004456F1" w:rsidRPr="008150B7">
        <w:rPr>
          <w:rFonts w:cs="Arial"/>
          <w:iCs/>
          <w:noProof/>
        </w:rPr>
        <w:t xml:space="preserve"> </w:t>
      </w:r>
      <w:r w:rsidR="000B492A">
        <w:rPr>
          <w:rFonts w:cs="Arial"/>
          <w:iCs/>
          <w:noProof/>
        </w:rPr>
        <w:t xml:space="preserve">retaining </w:t>
      </w:r>
      <w:r w:rsidR="00F66924">
        <w:rPr>
          <w:rFonts w:cs="Arial"/>
          <w:iCs/>
          <w:noProof/>
        </w:rPr>
        <w:t>the</w:t>
      </w:r>
      <w:r w:rsidR="00CD19E2">
        <w:rPr>
          <w:rFonts w:cs="Arial"/>
          <w:iCs/>
          <w:noProof/>
        </w:rPr>
        <w:t xml:space="preserve"> </w:t>
      </w:r>
      <w:r w:rsidR="004456F1">
        <w:rPr>
          <w:rFonts w:cs="Arial"/>
          <w:iCs/>
          <w:noProof/>
        </w:rPr>
        <w:t>ecological value</w:t>
      </w:r>
      <w:r w:rsidR="00A82383">
        <w:rPr>
          <w:rFonts w:cs="Arial"/>
          <w:iCs/>
          <w:noProof/>
        </w:rPr>
        <w:t xml:space="preserve"> of the </w:t>
      </w:r>
      <w:r w:rsidR="000B492A">
        <w:rPr>
          <w:rFonts w:cs="Arial"/>
          <w:iCs/>
          <w:noProof/>
        </w:rPr>
        <w:t>area</w:t>
      </w:r>
      <w:r w:rsidR="00A82383">
        <w:rPr>
          <w:rFonts w:cs="Arial"/>
          <w:iCs/>
          <w:noProof/>
        </w:rPr>
        <w:t>.</w:t>
      </w:r>
      <w:r w:rsidR="00CD19E2">
        <w:rPr>
          <w:rFonts w:cs="Arial"/>
          <w:iCs/>
          <w:noProof/>
        </w:rPr>
        <w:t xml:space="preserve"> Given </w:t>
      </w:r>
      <w:r w:rsidR="00CC0D84">
        <w:rPr>
          <w:rFonts w:cs="Arial"/>
          <w:iCs/>
          <w:noProof/>
        </w:rPr>
        <w:t xml:space="preserve">the </w:t>
      </w:r>
      <w:r w:rsidR="00B4094E">
        <w:rPr>
          <w:rFonts w:cs="Arial"/>
          <w:iCs/>
          <w:noProof/>
        </w:rPr>
        <w:t>selective</w:t>
      </w:r>
      <w:r w:rsidR="00CC0D84">
        <w:rPr>
          <w:rFonts w:cs="Arial"/>
          <w:iCs/>
          <w:noProof/>
        </w:rPr>
        <w:t xml:space="preserve"> fishing method</w:t>
      </w:r>
      <w:r w:rsidR="006C68F3">
        <w:rPr>
          <w:rFonts w:cs="Arial"/>
          <w:iCs/>
          <w:noProof/>
        </w:rPr>
        <w:t xml:space="preserve"> and </w:t>
      </w:r>
      <w:r w:rsidR="000233AC">
        <w:rPr>
          <w:rFonts w:cs="Arial"/>
          <w:iCs/>
          <w:noProof/>
        </w:rPr>
        <w:t>harvest</w:t>
      </w:r>
      <w:r w:rsidR="00035760">
        <w:rPr>
          <w:rFonts w:cs="Arial"/>
          <w:iCs/>
          <w:noProof/>
        </w:rPr>
        <w:t xml:space="preserve"> restrictions in place</w:t>
      </w:r>
      <w:r w:rsidR="00B4094E">
        <w:rPr>
          <w:rFonts w:cs="Arial"/>
          <w:iCs/>
          <w:noProof/>
        </w:rPr>
        <w:t>, the physical environment and foodweb will remain largely unaffected by th</w:t>
      </w:r>
      <w:r w:rsidR="00202884">
        <w:rPr>
          <w:rFonts w:cs="Arial"/>
          <w:iCs/>
          <w:noProof/>
        </w:rPr>
        <w:t xml:space="preserve">is </w:t>
      </w:r>
      <w:r w:rsidR="00B4094E">
        <w:rPr>
          <w:rFonts w:cs="Arial"/>
          <w:iCs/>
          <w:noProof/>
        </w:rPr>
        <w:t>operation.</w:t>
      </w:r>
      <w:r w:rsidR="00A82383">
        <w:rPr>
          <w:rFonts w:cs="Arial"/>
          <w:iCs/>
          <w:noProof/>
        </w:rPr>
        <w:t xml:space="preserve"> </w:t>
      </w:r>
      <w:r w:rsidR="004456F1">
        <w:rPr>
          <w:rFonts w:cs="Arial"/>
          <w:iCs/>
          <w:noProof/>
        </w:rPr>
        <w:t xml:space="preserve"> </w:t>
      </w:r>
    </w:p>
    <w:p w14:paraId="2E8CE7D5" w14:textId="77777777" w:rsidR="00CC5130" w:rsidRDefault="00937DA0" w:rsidP="00C0514E">
      <w:pPr>
        <w:keepNext/>
        <w:adjustRightInd w:val="0"/>
        <w:spacing w:line="276" w:lineRule="auto"/>
        <w:rPr>
          <w:rFonts w:cs="Arial"/>
          <w:b/>
        </w:rPr>
      </w:pPr>
      <w:r w:rsidRPr="00306F3F">
        <w:rPr>
          <w:rFonts w:cs="Arial"/>
          <w:b/>
        </w:rPr>
        <w:t>Conclusion</w:t>
      </w:r>
    </w:p>
    <w:p w14:paraId="45F42017" w14:textId="4ED0A9E9" w:rsidR="00885298" w:rsidRPr="00CC5130" w:rsidRDefault="00F62416" w:rsidP="00CC5130">
      <w:pPr>
        <w:adjustRightInd w:val="0"/>
        <w:spacing w:line="276" w:lineRule="auto"/>
        <w:rPr>
          <w:rFonts w:cs="Arial"/>
          <w:b/>
        </w:rPr>
      </w:pPr>
      <w:r w:rsidRPr="00433FCA">
        <w:rPr>
          <w:rFonts w:cs="Arial"/>
        </w:rPr>
        <w:t>On this basis, t</w:t>
      </w:r>
      <w:r w:rsidR="00CF1DE5" w:rsidRPr="00433FCA">
        <w:rPr>
          <w:rFonts w:cs="Arial"/>
        </w:rPr>
        <w:t xml:space="preserve">he </w:t>
      </w:r>
      <w:r w:rsidR="00703776">
        <w:rPr>
          <w:rFonts w:cs="Arial"/>
        </w:rPr>
        <w:t>d</w:t>
      </w:r>
      <w:r w:rsidR="00CF1DE5" w:rsidRPr="00433FCA">
        <w:rPr>
          <w:rFonts w:cs="Arial"/>
        </w:rPr>
        <w:t xml:space="preserve">epartment considers </w:t>
      </w:r>
      <w:r w:rsidR="004B72A3">
        <w:rPr>
          <w:rFonts w:cs="Arial"/>
        </w:rPr>
        <w:t>that</w:t>
      </w:r>
      <w:r w:rsidR="00CF1DE5" w:rsidRPr="00433FCA">
        <w:rPr>
          <w:rFonts w:cs="Arial"/>
        </w:rPr>
        <w:t xml:space="preserve"> declaration of </w:t>
      </w:r>
      <w:r w:rsidR="00446D32">
        <w:rPr>
          <w:rFonts w:cs="Arial"/>
        </w:rPr>
        <w:t xml:space="preserve">Victorian </w:t>
      </w:r>
      <w:r w:rsidR="00643FD5">
        <w:rPr>
          <w:rFonts w:cs="Arial"/>
        </w:rPr>
        <w:t xml:space="preserve">PQ Aquatics </w:t>
      </w:r>
      <w:r w:rsidR="00727D3B">
        <w:rPr>
          <w:rFonts w:cs="Arial"/>
        </w:rPr>
        <w:t>S</w:t>
      </w:r>
      <w:r w:rsidR="00CC5130">
        <w:rPr>
          <w:rFonts w:cs="Arial"/>
        </w:rPr>
        <w:t>yngnathids</w:t>
      </w:r>
      <w:r w:rsidR="005B4F0C">
        <w:rPr>
          <w:rFonts w:cs="Arial"/>
        </w:rPr>
        <w:t xml:space="preserve"> </w:t>
      </w:r>
      <w:r w:rsidR="00CF1DE5" w:rsidRPr="00433FCA">
        <w:rPr>
          <w:rFonts w:cs="Arial"/>
        </w:rPr>
        <w:t xml:space="preserve">as approved </w:t>
      </w:r>
      <w:r w:rsidR="00560100">
        <w:rPr>
          <w:rFonts w:cs="Arial"/>
        </w:rPr>
        <w:t>W</w:t>
      </w:r>
      <w:r w:rsidR="00CF1DE5" w:rsidRPr="00433FCA">
        <w:rPr>
          <w:rFonts w:cs="Arial"/>
        </w:rPr>
        <w:t xml:space="preserve">ildlife </w:t>
      </w:r>
      <w:r w:rsidR="00560100">
        <w:rPr>
          <w:rFonts w:cs="Arial"/>
        </w:rPr>
        <w:t>T</w:t>
      </w:r>
      <w:r w:rsidR="00CF1DE5" w:rsidRPr="00433FCA">
        <w:rPr>
          <w:rFonts w:cs="Arial"/>
        </w:rPr>
        <w:t xml:space="preserve">rade </w:t>
      </w:r>
      <w:r w:rsidR="00560100">
        <w:rPr>
          <w:rFonts w:cs="Arial"/>
        </w:rPr>
        <w:t>O</w:t>
      </w:r>
      <w:r w:rsidR="00CF1DE5" w:rsidRPr="00433FCA">
        <w:rPr>
          <w:rFonts w:cs="Arial"/>
        </w:rPr>
        <w:t xml:space="preserve">peration for </w:t>
      </w:r>
      <w:r w:rsidR="00643FD5">
        <w:rPr>
          <w:rFonts w:cs="Arial"/>
        </w:rPr>
        <w:t>three</w:t>
      </w:r>
      <w:r w:rsidR="00CF1DE5" w:rsidRPr="00433FCA">
        <w:rPr>
          <w:rFonts w:cs="Arial"/>
        </w:rPr>
        <w:t xml:space="preserve"> years, until </w:t>
      </w:r>
      <w:r w:rsidR="00643FD5">
        <w:rPr>
          <w:rFonts w:cs="Arial"/>
        </w:rPr>
        <w:t>December 2024</w:t>
      </w:r>
      <w:r w:rsidR="00CF1DE5" w:rsidRPr="00433FCA">
        <w:rPr>
          <w:rFonts w:cs="Arial"/>
        </w:rPr>
        <w:t xml:space="preserve">, is appropriate. </w:t>
      </w:r>
      <w:r w:rsidR="00AB62F4">
        <w:rPr>
          <w:rFonts w:cs="Arial"/>
        </w:rPr>
        <w:t>Unless a speci</w:t>
      </w:r>
      <w:r w:rsidR="00502572">
        <w:rPr>
          <w:rFonts w:cs="Arial"/>
        </w:rPr>
        <w:t>fied time frame is provided, each condition must be addressed within the period of the approved Wildlife Trade Operation.</w:t>
      </w:r>
    </w:p>
    <w:p w14:paraId="7795D446" w14:textId="77777777" w:rsidR="00F8472A" w:rsidRPr="00433FCA" w:rsidRDefault="00F8472A" w:rsidP="00433FCA">
      <w:pPr>
        <w:tabs>
          <w:tab w:val="left" w:pos="360"/>
        </w:tabs>
        <w:spacing w:line="276" w:lineRule="auto"/>
        <w:rPr>
          <w:rFonts w:cs="Arial"/>
        </w:rPr>
      </w:pPr>
    </w:p>
    <w:p w14:paraId="5B299803" w14:textId="77777777" w:rsidR="00937DA0" w:rsidRPr="00433FCA" w:rsidRDefault="00937DA0" w:rsidP="00433FCA">
      <w:pPr>
        <w:tabs>
          <w:tab w:val="left" w:pos="360"/>
        </w:tabs>
        <w:spacing w:line="276" w:lineRule="auto"/>
        <w:rPr>
          <w:rFonts w:cs="Arial"/>
        </w:rPr>
        <w:sectPr w:rsidR="00937DA0" w:rsidRPr="00433FCA" w:rsidSect="00937DA0">
          <w:type w:val="continuous"/>
          <w:pgSz w:w="11906" w:h="16838"/>
          <w:pgMar w:top="1418" w:right="1276" w:bottom="567" w:left="1418" w:header="425" w:footer="425" w:gutter="0"/>
          <w:pgNumType w:start="1"/>
          <w:cols w:space="708"/>
          <w:titlePg/>
          <w:docGrid w:linePitch="360"/>
        </w:sectPr>
      </w:pPr>
    </w:p>
    <w:p w14:paraId="048F6092" w14:textId="5012C679" w:rsidR="00AB194A" w:rsidRPr="006C28AD" w:rsidRDefault="00134108" w:rsidP="006C28AD">
      <w:pPr>
        <w:pStyle w:val="Heading1"/>
        <w:rPr>
          <w:rFonts w:ascii="Arial" w:hAnsi="Arial"/>
          <w:u w:val="single"/>
        </w:rPr>
      </w:pPr>
      <w:bookmarkStart w:id="1" w:name="_Toc90501198"/>
      <w:bookmarkStart w:id="2" w:name="_Toc316301050"/>
      <w:r w:rsidRPr="00433FCA">
        <w:rPr>
          <w:rFonts w:ascii="Arial" w:hAnsi="Arial"/>
        </w:rPr>
        <w:t>Section</w:t>
      </w:r>
      <w:r w:rsidR="00885298" w:rsidRPr="00433FCA">
        <w:rPr>
          <w:rStyle w:val="Emphasis"/>
          <w:rFonts w:ascii="Arial" w:hAnsi="Arial"/>
          <w:i w:val="0"/>
          <w:iCs w:val="0"/>
        </w:rPr>
        <w:t xml:space="preserve"> </w:t>
      </w:r>
      <w:r w:rsidR="00BC5432" w:rsidRPr="00433FCA">
        <w:rPr>
          <w:rStyle w:val="Emphasis"/>
          <w:rFonts w:ascii="Arial" w:hAnsi="Arial"/>
          <w:i w:val="0"/>
          <w:iCs w:val="0"/>
        </w:rPr>
        <w:t>1</w:t>
      </w:r>
      <w:r w:rsidR="00885298" w:rsidRPr="00433FCA">
        <w:rPr>
          <w:rStyle w:val="Emphasis"/>
          <w:rFonts w:ascii="Arial" w:hAnsi="Arial"/>
          <w:i w:val="0"/>
          <w:iCs w:val="0"/>
        </w:rPr>
        <w:t xml:space="preserve">: </w:t>
      </w:r>
      <w:r w:rsidR="0080417B" w:rsidRPr="00433FCA">
        <w:rPr>
          <w:rStyle w:val="Emphasis"/>
          <w:rFonts w:ascii="Arial" w:hAnsi="Arial"/>
          <w:i w:val="0"/>
          <w:iCs w:val="0"/>
        </w:rPr>
        <w:t>A</w:t>
      </w:r>
      <w:r w:rsidRPr="00433FCA">
        <w:rPr>
          <w:rStyle w:val="Emphasis"/>
          <w:rFonts w:ascii="Arial" w:hAnsi="Arial"/>
          <w:i w:val="0"/>
          <w:iCs w:val="0"/>
        </w:rPr>
        <w:t>ssessment Summary</w:t>
      </w:r>
      <w:bookmarkEnd w:id="1"/>
      <w:r w:rsidRPr="00433FCA">
        <w:rPr>
          <w:rStyle w:val="Emphasis"/>
          <w:rFonts w:ascii="Arial" w:hAnsi="Arial"/>
          <w:i w:val="0"/>
          <w:iCs w:val="0"/>
        </w:rPr>
        <w:t xml:space="preserve"> </w:t>
      </w:r>
    </w:p>
    <w:tbl>
      <w:tblPr>
        <w:tblStyle w:val="TableGrid"/>
        <w:tblW w:w="5000" w:type="pct"/>
        <w:tblLook w:val="04A0" w:firstRow="1" w:lastRow="0" w:firstColumn="1" w:lastColumn="0" w:noHBand="0" w:noVBand="1"/>
      </w:tblPr>
      <w:tblGrid>
        <w:gridCol w:w="3115"/>
        <w:gridCol w:w="1556"/>
        <w:gridCol w:w="1556"/>
        <w:gridCol w:w="1556"/>
        <w:gridCol w:w="7003"/>
      </w:tblGrid>
      <w:tr w:rsidR="00AB194A" w:rsidRPr="00433FCA" w14:paraId="5241E59E" w14:textId="77777777" w:rsidTr="002F0C8B">
        <w:trPr>
          <w:cnfStyle w:val="100000000000" w:firstRow="1" w:lastRow="0" w:firstColumn="0" w:lastColumn="0" w:oddVBand="0" w:evenVBand="0" w:oddHBand="0" w:evenHBand="0" w:firstRowFirstColumn="0" w:firstRowLastColumn="0" w:lastRowFirstColumn="0" w:lastRowLastColumn="0"/>
        </w:trPr>
        <w:tc>
          <w:tcPr>
            <w:tcW w:w="1000" w:type="pct"/>
            <w:vAlign w:val="center"/>
          </w:tcPr>
          <w:p w14:paraId="0B78829B" w14:textId="0ED9E9F2" w:rsidR="00AB194A" w:rsidRPr="00433FCA" w:rsidRDefault="00B97B40" w:rsidP="00FC2EBF">
            <w:pPr>
              <w:spacing w:before="60" w:after="60" w:line="276" w:lineRule="auto"/>
              <w:contextualSpacing/>
              <w:jc w:val="center"/>
              <w:rPr>
                <w:rFonts w:cs="Arial"/>
                <w:b/>
                <w:sz w:val="20"/>
                <w:szCs w:val="20"/>
              </w:rPr>
            </w:pPr>
            <w:r w:rsidRPr="00433FCA">
              <w:rPr>
                <w:rFonts w:cs="Arial"/>
                <w:b/>
                <w:sz w:val="20"/>
                <w:szCs w:val="20"/>
              </w:rPr>
              <w:t xml:space="preserve">Guidelines assessment </w:t>
            </w:r>
          </w:p>
        </w:tc>
        <w:tc>
          <w:tcPr>
            <w:tcW w:w="500" w:type="pct"/>
            <w:shd w:val="clear" w:color="auto" w:fill="92D050"/>
            <w:vAlign w:val="center"/>
          </w:tcPr>
          <w:p w14:paraId="29372550" w14:textId="77777777" w:rsidR="00AB194A" w:rsidRPr="00433FCA" w:rsidRDefault="00AB194A" w:rsidP="00FC2EBF">
            <w:pPr>
              <w:spacing w:before="60" w:after="60" w:line="276" w:lineRule="auto"/>
              <w:contextualSpacing/>
              <w:jc w:val="center"/>
              <w:rPr>
                <w:rFonts w:cs="Arial"/>
                <w:b/>
                <w:sz w:val="20"/>
                <w:szCs w:val="20"/>
              </w:rPr>
            </w:pPr>
            <w:r w:rsidRPr="00433FCA">
              <w:rPr>
                <w:rFonts w:cs="Arial"/>
                <w:b/>
                <w:sz w:val="20"/>
                <w:szCs w:val="20"/>
              </w:rPr>
              <w:t>Meets</w:t>
            </w:r>
          </w:p>
        </w:tc>
        <w:tc>
          <w:tcPr>
            <w:tcW w:w="500" w:type="pct"/>
            <w:shd w:val="clear" w:color="auto" w:fill="FFC000"/>
            <w:vAlign w:val="center"/>
          </w:tcPr>
          <w:p w14:paraId="439F3FF6" w14:textId="77777777" w:rsidR="00AB194A" w:rsidRPr="00433FCA" w:rsidRDefault="00AB194A" w:rsidP="00FC2EBF">
            <w:pPr>
              <w:spacing w:before="60" w:after="60" w:line="276" w:lineRule="auto"/>
              <w:contextualSpacing/>
              <w:jc w:val="center"/>
              <w:rPr>
                <w:rFonts w:cs="Arial"/>
                <w:b/>
                <w:sz w:val="20"/>
                <w:szCs w:val="20"/>
              </w:rPr>
            </w:pPr>
            <w:r w:rsidRPr="00433FCA">
              <w:rPr>
                <w:rFonts w:cs="Arial"/>
                <w:b/>
                <w:sz w:val="20"/>
                <w:szCs w:val="20"/>
              </w:rPr>
              <w:t>Partially meets</w:t>
            </w:r>
          </w:p>
        </w:tc>
        <w:tc>
          <w:tcPr>
            <w:tcW w:w="500" w:type="pct"/>
            <w:shd w:val="clear" w:color="auto" w:fill="FF0000"/>
            <w:vAlign w:val="center"/>
          </w:tcPr>
          <w:p w14:paraId="4F65884C" w14:textId="77777777" w:rsidR="00AB194A" w:rsidRPr="00433FCA" w:rsidRDefault="00AB194A" w:rsidP="00FC2EBF">
            <w:pPr>
              <w:spacing w:before="60" w:after="60" w:line="276" w:lineRule="auto"/>
              <w:contextualSpacing/>
              <w:jc w:val="center"/>
              <w:rPr>
                <w:rFonts w:cs="Arial"/>
                <w:b/>
                <w:sz w:val="20"/>
                <w:szCs w:val="20"/>
              </w:rPr>
            </w:pPr>
            <w:r w:rsidRPr="00433FCA">
              <w:rPr>
                <w:rFonts w:cs="Arial"/>
                <w:b/>
                <w:sz w:val="20"/>
                <w:szCs w:val="20"/>
              </w:rPr>
              <w:t>Does not meet</w:t>
            </w:r>
          </w:p>
        </w:tc>
        <w:tc>
          <w:tcPr>
            <w:tcW w:w="2250" w:type="pct"/>
            <w:vAlign w:val="center"/>
          </w:tcPr>
          <w:p w14:paraId="052AB3D7" w14:textId="77777777" w:rsidR="00AB194A" w:rsidRPr="00433FCA" w:rsidRDefault="00AB194A" w:rsidP="00FC2EBF">
            <w:pPr>
              <w:spacing w:before="60" w:after="60" w:line="276" w:lineRule="auto"/>
              <w:contextualSpacing/>
              <w:jc w:val="center"/>
              <w:rPr>
                <w:rFonts w:cs="Arial"/>
                <w:b/>
                <w:sz w:val="20"/>
                <w:szCs w:val="20"/>
              </w:rPr>
            </w:pPr>
            <w:r w:rsidRPr="00433FCA">
              <w:rPr>
                <w:rFonts w:cs="Arial"/>
                <w:b/>
                <w:sz w:val="20"/>
                <w:szCs w:val="20"/>
              </w:rPr>
              <w:t>Details</w:t>
            </w:r>
          </w:p>
        </w:tc>
      </w:tr>
      <w:tr w:rsidR="00AB194A" w:rsidRPr="00433FCA" w14:paraId="1B656C43" w14:textId="77777777" w:rsidTr="002C0D5F">
        <w:trPr>
          <w:cnfStyle w:val="000000100000" w:firstRow="0" w:lastRow="0" w:firstColumn="0" w:lastColumn="0" w:oddVBand="0" w:evenVBand="0" w:oddHBand="1" w:evenHBand="0" w:firstRowFirstColumn="0" w:firstRowLastColumn="0" w:lastRowFirstColumn="0" w:lastRowLastColumn="0"/>
        </w:trPr>
        <w:tc>
          <w:tcPr>
            <w:tcW w:w="1000" w:type="pct"/>
          </w:tcPr>
          <w:p w14:paraId="29382D6F" w14:textId="77777777" w:rsidR="00AB194A" w:rsidRPr="00433FCA" w:rsidRDefault="00AB194A" w:rsidP="00FC2EBF">
            <w:pPr>
              <w:spacing w:before="60" w:after="60" w:line="276" w:lineRule="auto"/>
              <w:contextualSpacing/>
              <w:rPr>
                <w:rFonts w:cs="Arial"/>
                <w:sz w:val="20"/>
                <w:szCs w:val="20"/>
              </w:rPr>
            </w:pPr>
            <w:r w:rsidRPr="00433FCA">
              <w:rPr>
                <w:rFonts w:cs="Arial"/>
                <w:sz w:val="20"/>
                <w:szCs w:val="20"/>
              </w:rPr>
              <w:t>Management regime</w:t>
            </w:r>
          </w:p>
        </w:tc>
        <w:tc>
          <w:tcPr>
            <w:tcW w:w="500" w:type="pct"/>
            <w:shd w:val="clear" w:color="auto" w:fill="92D050"/>
          </w:tcPr>
          <w:p w14:paraId="6B33C294" w14:textId="290A40F1" w:rsidR="00AB194A" w:rsidRPr="00505919" w:rsidRDefault="00505919" w:rsidP="00E556A9">
            <w:pPr>
              <w:spacing w:before="60" w:after="60" w:line="276" w:lineRule="auto"/>
              <w:ind w:left="360" w:right="156"/>
              <w:contextualSpacing/>
              <w:rPr>
                <w:rFonts w:cs="Arial"/>
                <w:sz w:val="20"/>
                <w:szCs w:val="20"/>
              </w:rPr>
            </w:pPr>
            <w:r>
              <w:rPr>
                <w:rFonts w:cs="Arial"/>
                <w:sz w:val="20"/>
                <w:szCs w:val="20"/>
              </w:rPr>
              <w:t xml:space="preserve">8 </w:t>
            </w:r>
            <w:r w:rsidR="000C741A" w:rsidRPr="00505919">
              <w:rPr>
                <w:rFonts w:cs="Arial"/>
                <w:sz w:val="20"/>
                <w:szCs w:val="20"/>
              </w:rPr>
              <w:t>of 9</w:t>
            </w:r>
          </w:p>
        </w:tc>
        <w:tc>
          <w:tcPr>
            <w:tcW w:w="500" w:type="pct"/>
            <w:shd w:val="clear" w:color="auto" w:fill="auto"/>
          </w:tcPr>
          <w:p w14:paraId="3BBC9E01" w14:textId="3E63052D" w:rsidR="00AB194A" w:rsidRPr="00505919" w:rsidRDefault="007678A4" w:rsidP="00E556A9">
            <w:pPr>
              <w:spacing w:before="60" w:after="60" w:line="276" w:lineRule="auto"/>
              <w:ind w:left="360" w:right="156"/>
              <w:contextualSpacing/>
              <w:rPr>
                <w:rFonts w:cs="Arial"/>
                <w:sz w:val="20"/>
                <w:szCs w:val="20"/>
              </w:rPr>
            </w:pPr>
            <w:r w:rsidRPr="00505919">
              <w:rPr>
                <w:rFonts w:cs="Arial"/>
                <w:sz w:val="20"/>
                <w:szCs w:val="20"/>
              </w:rPr>
              <w:t>1</w:t>
            </w:r>
            <w:r w:rsidR="00505919">
              <w:rPr>
                <w:rFonts w:cs="Arial"/>
                <w:sz w:val="20"/>
                <w:szCs w:val="20"/>
              </w:rPr>
              <w:t xml:space="preserve"> </w:t>
            </w:r>
            <w:r w:rsidR="000C741A" w:rsidRPr="00505919">
              <w:rPr>
                <w:rFonts w:cs="Arial"/>
                <w:sz w:val="20"/>
                <w:szCs w:val="20"/>
              </w:rPr>
              <w:t>of 9</w:t>
            </w:r>
          </w:p>
        </w:tc>
        <w:tc>
          <w:tcPr>
            <w:tcW w:w="500" w:type="pct"/>
            <w:shd w:val="clear" w:color="auto" w:fill="auto"/>
          </w:tcPr>
          <w:p w14:paraId="4E06581E" w14:textId="1FFE0623" w:rsidR="00AB194A" w:rsidRPr="00505919" w:rsidRDefault="007678A4" w:rsidP="00E04E83">
            <w:pPr>
              <w:tabs>
                <w:tab w:val="left" w:pos="603"/>
              </w:tabs>
              <w:spacing w:before="60" w:after="60" w:line="276" w:lineRule="auto"/>
              <w:ind w:left="360" w:right="167"/>
              <w:contextualSpacing/>
              <w:rPr>
                <w:rFonts w:cs="Arial"/>
                <w:sz w:val="20"/>
                <w:szCs w:val="20"/>
              </w:rPr>
            </w:pPr>
            <w:r w:rsidRPr="00505919">
              <w:rPr>
                <w:rFonts w:cs="Arial"/>
                <w:sz w:val="20"/>
                <w:szCs w:val="20"/>
              </w:rPr>
              <w:t xml:space="preserve">0 </w:t>
            </w:r>
            <w:r w:rsidR="000C741A" w:rsidRPr="00505919">
              <w:rPr>
                <w:rFonts w:cs="Arial"/>
                <w:sz w:val="20"/>
                <w:szCs w:val="20"/>
              </w:rPr>
              <w:t>of 9</w:t>
            </w:r>
          </w:p>
        </w:tc>
        <w:tc>
          <w:tcPr>
            <w:tcW w:w="2250" w:type="pct"/>
          </w:tcPr>
          <w:p w14:paraId="646F42E0" w14:textId="5C7B5AD3" w:rsidR="00EA6C4E" w:rsidRPr="005768F3" w:rsidRDefault="00BF2837" w:rsidP="005768F3">
            <w:pPr>
              <w:spacing w:before="60" w:after="60" w:line="276" w:lineRule="auto"/>
              <w:contextualSpacing/>
              <w:rPr>
                <w:rFonts w:cs="Arial"/>
                <w:sz w:val="20"/>
                <w:szCs w:val="20"/>
              </w:rPr>
            </w:pPr>
            <w:r w:rsidRPr="00651111">
              <w:rPr>
                <w:rFonts w:cs="Arial"/>
                <w:sz w:val="20"/>
                <w:szCs w:val="20"/>
              </w:rPr>
              <w:t xml:space="preserve">The management arrangements </w:t>
            </w:r>
            <w:r w:rsidR="00353F5A" w:rsidRPr="00651111">
              <w:rPr>
                <w:rFonts w:cs="Arial"/>
                <w:sz w:val="20"/>
                <w:szCs w:val="20"/>
              </w:rPr>
              <w:t xml:space="preserve">of PQ Aquatics </w:t>
            </w:r>
            <w:r w:rsidR="00C22A88" w:rsidRPr="00651111">
              <w:rPr>
                <w:rFonts w:cs="Arial"/>
                <w:sz w:val="20"/>
                <w:szCs w:val="20"/>
              </w:rPr>
              <w:t>are</w:t>
            </w:r>
            <w:r w:rsidRPr="00651111">
              <w:rPr>
                <w:rFonts w:cs="Arial"/>
                <w:sz w:val="20"/>
                <w:szCs w:val="20"/>
              </w:rPr>
              <w:t xml:space="preserve"> documented, publicly available and </w:t>
            </w:r>
            <w:r w:rsidR="00CE4B1E" w:rsidRPr="00651111">
              <w:rPr>
                <w:rFonts w:cs="Arial"/>
                <w:sz w:val="20"/>
                <w:szCs w:val="20"/>
              </w:rPr>
              <w:t>transparent.</w:t>
            </w:r>
            <w:r w:rsidR="00F84A21" w:rsidRPr="00651111">
              <w:rPr>
                <w:rFonts w:cs="Arial"/>
                <w:sz w:val="20"/>
                <w:szCs w:val="20"/>
              </w:rPr>
              <w:t xml:space="preserve"> The oper</w:t>
            </w:r>
            <w:r w:rsidR="007678A4" w:rsidRPr="00651111">
              <w:rPr>
                <w:rFonts w:cs="Arial"/>
                <w:sz w:val="20"/>
                <w:szCs w:val="20"/>
              </w:rPr>
              <w:t>ation</w:t>
            </w:r>
            <w:r w:rsidR="00044DF6" w:rsidRPr="00651111">
              <w:rPr>
                <w:rFonts w:cs="Arial"/>
                <w:sz w:val="20"/>
                <w:szCs w:val="20"/>
              </w:rPr>
              <w:t xml:space="preserve"> occurs in accordance with</w:t>
            </w:r>
            <w:r w:rsidR="00E503AF" w:rsidRPr="00651111">
              <w:rPr>
                <w:rFonts w:cs="Arial"/>
                <w:sz w:val="20"/>
                <w:szCs w:val="20"/>
              </w:rPr>
              <w:t xml:space="preserve"> </w:t>
            </w:r>
            <w:r w:rsidR="00353F5A" w:rsidRPr="00651111">
              <w:rPr>
                <w:rFonts w:cs="Arial"/>
                <w:sz w:val="20"/>
                <w:szCs w:val="20"/>
              </w:rPr>
              <w:t xml:space="preserve">Commercial </w:t>
            </w:r>
            <w:r w:rsidR="00E217C2" w:rsidRPr="00651111">
              <w:rPr>
                <w:rFonts w:cs="Arial"/>
                <w:sz w:val="20"/>
                <w:szCs w:val="20"/>
              </w:rPr>
              <w:t xml:space="preserve">Fishing </w:t>
            </w:r>
            <w:r w:rsidR="00353F5A" w:rsidRPr="00651111">
              <w:rPr>
                <w:rFonts w:cs="Arial"/>
                <w:sz w:val="20"/>
                <w:szCs w:val="20"/>
              </w:rPr>
              <w:t xml:space="preserve">and Protected Aquatic Biota </w:t>
            </w:r>
            <w:r w:rsidR="00E217C2" w:rsidRPr="00651111">
              <w:rPr>
                <w:rFonts w:cs="Arial"/>
                <w:sz w:val="20"/>
                <w:szCs w:val="20"/>
              </w:rPr>
              <w:t xml:space="preserve">Permits, issued by the </w:t>
            </w:r>
            <w:r w:rsidR="00B310B5">
              <w:rPr>
                <w:rFonts w:cs="Arial"/>
                <w:sz w:val="20"/>
                <w:szCs w:val="20"/>
              </w:rPr>
              <w:t xml:space="preserve">responsible </w:t>
            </w:r>
            <w:r w:rsidR="00E217C2" w:rsidRPr="00651111">
              <w:rPr>
                <w:rFonts w:cs="Arial"/>
                <w:sz w:val="20"/>
                <w:szCs w:val="20"/>
              </w:rPr>
              <w:t>Victorian Government</w:t>
            </w:r>
            <w:r w:rsidR="00B310B5">
              <w:rPr>
                <w:rFonts w:cs="Arial"/>
                <w:sz w:val="20"/>
                <w:szCs w:val="20"/>
              </w:rPr>
              <w:t xml:space="preserve"> agency</w:t>
            </w:r>
            <w:r w:rsidR="00E217C2" w:rsidRPr="00651111">
              <w:rPr>
                <w:rFonts w:cs="Arial"/>
                <w:sz w:val="20"/>
                <w:szCs w:val="20"/>
              </w:rPr>
              <w:t xml:space="preserve">. </w:t>
            </w:r>
            <w:r w:rsidR="00651111" w:rsidRPr="00651111">
              <w:rPr>
                <w:rFonts w:cs="Arial"/>
                <w:sz w:val="20"/>
                <w:szCs w:val="20"/>
              </w:rPr>
              <w:t>Accurate reports of h</w:t>
            </w:r>
            <w:r w:rsidR="002C08B8" w:rsidRPr="00651111">
              <w:rPr>
                <w:rFonts w:cs="Arial"/>
                <w:sz w:val="20"/>
                <w:szCs w:val="20"/>
              </w:rPr>
              <w:t xml:space="preserve">arvesting and operational activities are </w:t>
            </w:r>
            <w:r w:rsidR="00651111" w:rsidRPr="00651111">
              <w:rPr>
                <w:rFonts w:cs="Arial"/>
                <w:sz w:val="20"/>
                <w:szCs w:val="20"/>
              </w:rPr>
              <w:t>delivered</w:t>
            </w:r>
            <w:r w:rsidR="002C08B8" w:rsidRPr="00651111">
              <w:rPr>
                <w:rFonts w:cs="Arial"/>
                <w:sz w:val="20"/>
                <w:szCs w:val="20"/>
              </w:rPr>
              <w:t xml:space="preserve"> </w:t>
            </w:r>
            <w:r w:rsidR="00073430" w:rsidRPr="00651111">
              <w:rPr>
                <w:rFonts w:cs="Arial"/>
                <w:sz w:val="20"/>
                <w:szCs w:val="20"/>
              </w:rPr>
              <w:t>to the Victorian Fisheries Authority and Department of Agriculture, Water and the Environment</w:t>
            </w:r>
            <w:r w:rsidR="007642F1" w:rsidRPr="00651111">
              <w:rPr>
                <w:rFonts w:cs="Arial"/>
                <w:sz w:val="20"/>
                <w:szCs w:val="20"/>
              </w:rPr>
              <w:t xml:space="preserve"> </w:t>
            </w:r>
            <w:r w:rsidR="00651111" w:rsidRPr="00651111">
              <w:rPr>
                <w:rFonts w:cs="Arial"/>
                <w:sz w:val="20"/>
                <w:szCs w:val="20"/>
              </w:rPr>
              <w:t>on a</w:t>
            </w:r>
            <w:r w:rsidR="007642F1" w:rsidRPr="00651111">
              <w:rPr>
                <w:rFonts w:cs="Arial"/>
                <w:sz w:val="20"/>
                <w:szCs w:val="20"/>
              </w:rPr>
              <w:t xml:space="preserve"> monthly and annual</w:t>
            </w:r>
            <w:r w:rsidR="00651111" w:rsidRPr="00651111">
              <w:rPr>
                <w:rFonts w:cs="Arial"/>
                <w:sz w:val="20"/>
                <w:szCs w:val="20"/>
              </w:rPr>
              <w:t xml:space="preserve"> basis, respectively.</w:t>
            </w:r>
            <w:r w:rsidR="007642F1" w:rsidRPr="00651111">
              <w:rPr>
                <w:rFonts w:cs="Arial"/>
                <w:sz w:val="20"/>
                <w:szCs w:val="20"/>
              </w:rPr>
              <w:t xml:space="preserve"> </w:t>
            </w:r>
            <w:r w:rsidR="00651111">
              <w:rPr>
                <w:rFonts w:cs="Arial"/>
                <w:sz w:val="20"/>
                <w:szCs w:val="20"/>
              </w:rPr>
              <w:t>Given the management arrangements in place</w:t>
            </w:r>
            <w:r w:rsidR="000722CC">
              <w:rPr>
                <w:rFonts w:cs="Arial"/>
                <w:sz w:val="20"/>
                <w:szCs w:val="20"/>
              </w:rPr>
              <w:t xml:space="preserve"> and the low level of syngnathid harvest</w:t>
            </w:r>
            <w:r w:rsidR="005768F3">
              <w:rPr>
                <w:rFonts w:cs="Arial"/>
                <w:sz w:val="20"/>
                <w:szCs w:val="20"/>
              </w:rPr>
              <w:t xml:space="preserve">, the risk of adverse impacts on </w:t>
            </w:r>
            <w:r w:rsidR="00203238">
              <w:rPr>
                <w:rFonts w:cs="Arial"/>
                <w:sz w:val="20"/>
                <w:szCs w:val="20"/>
              </w:rPr>
              <w:t xml:space="preserve">the </w:t>
            </w:r>
            <w:r w:rsidR="005768F3">
              <w:rPr>
                <w:rFonts w:cs="Arial"/>
                <w:sz w:val="20"/>
                <w:szCs w:val="20"/>
              </w:rPr>
              <w:t>target species</w:t>
            </w:r>
            <w:r w:rsidR="00576EA7">
              <w:rPr>
                <w:rFonts w:cs="Arial"/>
                <w:sz w:val="20"/>
                <w:szCs w:val="20"/>
              </w:rPr>
              <w:t xml:space="preserve"> </w:t>
            </w:r>
            <w:r w:rsidR="005768F3">
              <w:rPr>
                <w:rFonts w:cs="Arial"/>
                <w:sz w:val="20"/>
                <w:szCs w:val="20"/>
              </w:rPr>
              <w:t xml:space="preserve">and local marine ecosystems is considered negligible. </w:t>
            </w:r>
          </w:p>
        </w:tc>
      </w:tr>
      <w:tr w:rsidR="00AB194A" w:rsidRPr="00433FCA" w14:paraId="56282922" w14:textId="77777777" w:rsidTr="000E537E">
        <w:trPr>
          <w:cnfStyle w:val="000000010000" w:firstRow="0" w:lastRow="0" w:firstColumn="0" w:lastColumn="0" w:oddVBand="0" w:evenVBand="0" w:oddHBand="0" w:evenHBand="1" w:firstRowFirstColumn="0" w:firstRowLastColumn="0" w:lastRowFirstColumn="0" w:lastRowLastColumn="0"/>
        </w:trPr>
        <w:tc>
          <w:tcPr>
            <w:tcW w:w="1000" w:type="pct"/>
          </w:tcPr>
          <w:p w14:paraId="1CF6F480" w14:textId="77777777" w:rsidR="00AB194A" w:rsidRPr="00433FCA" w:rsidRDefault="00AB194A" w:rsidP="00FC2EBF">
            <w:pPr>
              <w:spacing w:before="60" w:after="60" w:line="276" w:lineRule="auto"/>
              <w:contextualSpacing/>
              <w:rPr>
                <w:rFonts w:cs="Arial"/>
                <w:sz w:val="20"/>
                <w:szCs w:val="20"/>
              </w:rPr>
            </w:pPr>
            <w:r w:rsidRPr="00433FCA">
              <w:rPr>
                <w:rFonts w:cs="Arial"/>
                <w:sz w:val="20"/>
                <w:szCs w:val="20"/>
              </w:rPr>
              <w:t>Principle 1 (target stocks)</w:t>
            </w:r>
          </w:p>
        </w:tc>
        <w:tc>
          <w:tcPr>
            <w:tcW w:w="500" w:type="pct"/>
            <w:shd w:val="clear" w:color="auto" w:fill="92D050"/>
          </w:tcPr>
          <w:p w14:paraId="490E81C8" w14:textId="2AEE1AF6" w:rsidR="00AB194A" w:rsidRPr="00433FCA" w:rsidRDefault="0019163B" w:rsidP="00E556A9">
            <w:pPr>
              <w:spacing w:before="60" w:after="60" w:line="276" w:lineRule="auto"/>
              <w:ind w:right="156"/>
              <w:contextualSpacing/>
              <w:jc w:val="center"/>
              <w:rPr>
                <w:rFonts w:cs="Arial"/>
                <w:sz w:val="20"/>
                <w:szCs w:val="20"/>
              </w:rPr>
            </w:pPr>
            <w:r>
              <w:rPr>
                <w:rFonts w:cs="Arial"/>
                <w:sz w:val="20"/>
                <w:szCs w:val="20"/>
              </w:rPr>
              <w:t>7 of 9</w:t>
            </w:r>
          </w:p>
        </w:tc>
        <w:tc>
          <w:tcPr>
            <w:tcW w:w="500" w:type="pct"/>
            <w:shd w:val="clear" w:color="auto" w:fill="auto"/>
          </w:tcPr>
          <w:p w14:paraId="4C95A0BC" w14:textId="5D020479" w:rsidR="00AB194A" w:rsidRPr="00433FCA" w:rsidRDefault="0019163B" w:rsidP="00E556A9">
            <w:pPr>
              <w:spacing w:before="60" w:after="60" w:line="276" w:lineRule="auto"/>
              <w:ind w:right="156"/>
              <w:contextualSpacing/>
              <w:jc w:val="center"/>
              <w:rPr>
                <w:rFonts w:cs="Arial"/>
                <w:sz w:val="20"/>
                <w:szCs w:val="20"/>
              </w:rPr>
            </w:pPr>
            <w:r>
              <w:rPr>
                <w:rFonts w:cs="Arial"/>
                <w:sz w:val="20"/>
                <w:szCs w:val="20"/>
              </w:rPr>
              <w:t>1 of 9</w:t>
            </w:r>
          </w:p>
        </w:tc>
        <w:tc>
          <w:tcPr>
            <w:tcW w:w="500" w:type="pct"/>
            <w:shd w:val="clear" w:color="auto" w:fill="auto"/>
          </w:tcPr>
          <w:p w14:paraId="2FCEEEC6" w14:textId="3495F0AF" w:rsidR="00AB194A" w:rsidRPr="00E04E83" w:rsidRDefault="00E04E83" w:rsidP="00E04E83">
            <w:pPr>
              <w:tabs>
                <w:tab w:val="left" w:pos="603"/>
              </w:tabs>
              <w:spacing w:before="60" w:after="60" w:line="276" w:lineRule="auto"/>
              <w:ind w:left="369" w:right="167" w:hanging="369"/>
              <w:contextualSpacing/>
              <w:jc w:val="center"/>
              <w:rPr>
                <w:rFonts w:cs="Arial"/>
                <w:sz w:val="20"/>
                <w:szCs w:val="20"/>
              </w:rPr>
            </w:pPr>
            <w:r w:rsidRPr="00E04E83">
              <w:rPr>
                <w:rFonts w:cs="Arial"/>
                <w:sz w:val="20"/>
                <w:szCs w:val="20"/>
              </w:rPr>
              <w:t xml:space="preserve">0 </w:t>
            </w:r>
            <w:r w:rsidR="0019163B" w:rsidRPr="00E04E83">
              <w:rPr>
                <w:rFonts w:cs="Arial"/>
                <w:sz w:val="20"/>
                <w:szCs w:val="20"/>
              </w:rPr>
              <w:t>of 9</w:t>
            </w:r>
          </w:p>
          <w:p w14:paraId="2344264A" w14:textId="1DC92443" w:rsidR="0097167A" w:rsidRPr="00203238" w:rsidRDefault="0097167A" w:rsidP="00E04E83">
            <w:pPr>
              <w:pStyle w:val="ListParagraph"/>
              <w:numPr>
                <w:ilvl w:val="0"/>
                <w:numId w:val="30"/>
              </w:numPr>
              <w:tabs>
                <w:tab w:val="left" w:pos="603"/>
              </w:tabs>
              <w:spacing w:before="60" w:after="60" w:line="276" w:lineRule="auto"/>
              <w:ind w:right="167"/>
              <w:contextualSpacing/>
              <w:jc w:val="center"/>
              <w:rPr>
                <w:rFonts w:cs="Arial"/>
                <w:sz w:val="20"/>
                <w:szCs w:val="20"/>
              </w:rPr>
            </w:pPr>
            <w:r w:rsidRPr="00203238">
              <w:rPr>
                <w:rFonts w:cs="Arial"/>
                <w:sz w:val="20"/>
                <w:szCs w:val="20"/>
              </w:rPr>
              <w:t>N/A</w:t>
            </w:r>
          </w:p>
        </w:tc>
        <w:tc>
          <w:tcPr>
            <w:tcW w:w="2250" w:type="pct"/>
            <w:shd w:val="clear" w:color="auto" w:fill="auto"/>
          </w:tcPr>
          <w:p w14:paraId="087D9E22" w14:textId="09E0B1F8" w:rsidR="00350E43" w:rsidRPr="00544EA2" w:rsidRDefault="00E605A4" w:rsidP="00544EA2">
            <w:pPr>
              <w:spacing w:before="60" w:after="60" w:line="276" w:lineRule="auto"/>
              <w:ind w:left="38"/>
              <w:contextualSpacing/>
              <w:rPr>
                <w:rFonts w:cs="Arial"/>
                <w:sz w:val="20"/>
                <w:szCs w:val="20"/>
                <w:highlight w:val="yellow"/>
              </w:rPr>
            </w:pPr>
            <w:r w:rsidRPr="000E537E">
              <w:rPr>
                <w:rFonts w:cs="Arial"/>
                <w:sz w:val="20"/>
                <w:szCs w:val="20"/>
              </w:rPr>
              <w:t>A stock assessment has not been underta</w:t>
            </w:r>
            <w:r w:rsidR="00DD1D7E" w:rsidRPr="000E537E">
              <w:rPr>
                <w:rFonts w:cs="Arial"/>
                <w:sz w:val="20"/>
                <w:szCs w:val="20"/>
              </w:rPr>
              <w:t>ken for this operation. Similarly, there are no reference</w:t>
            </w:r>
            <w:r w:rsidR="00FB6218" w:rsidRPr="000E537E">
              <w:rPr>
                <w:rFonts w:cs="Arial"/>
                <w:sz w:val="20"/>
                <w:szCs w:val="20"/>
              </w:rPr>
              <w:t xml:space="preserve"> points which trigger</w:t>
            </w:r>
            <w:r w:rsidR="00ED258E" w:rsidRPr="000E537E">
              <w:rPr>
                <w:rFonts w:cs="Arial"/>
                <w:sz w:val="20"/>
                <w:szCs w:val="20"/>
              </w:rPr>
              <w:t xml:space="preserve"> further management actions to recover target stocks. </w:t>
            </w:r>
            <w:r w:rsidR="00A404A9" w:rsidRPr="000E537E">
              <w:rPr>
                <w:rFonts w:cs="Arial"/>
                <w:sz w:val="20"/>
                <w:szCs w:val="20"/>
              </w:rPr>
              <w:t xml:space="preserve">Despite limited population data for the </w:t>
            </w:r>
            <w:r w:rsidR="00E2344C">
              <w:rPr>
                <w:rFonts w:cs="Arial"/>
                <w:sz w:val="20"/>
                <w:szCs w:val="20"/>
              </w:rPr>
              <w:t>target</w:t>
            </w:r>
            <w:r w:rsidR="00A404A9" w:rsidRPr="000E537E">
              <w:rPr>
                <w:rFonts w:cs="Arial"/>
                <w:sz w:val="20"/>
                <w:szCs w:val="20"/>
              </w:rPr>
              <w:t xml:space="preserve"> species</w:t>
            </w:r>
            <w:r w:rsidR="00E66944" w:rsidRPr="000E537E">
              <w:rPr>
                <w:rFonts w:cs="Arial"/>
                <w:sz w:val="20"/>
                <w:szCs w:val="20"/>
              </w:rPr>
              <w:t xml:space="preserve"> in Victoria</w:t>
            </w:r>
            <w:r w:rsidR="00993E9E" w:rsidRPr="000E537E">
              <w:rPr>
                <w:rFonts w:cs="Arial"/>
                <w:sz w:val="20"/>
                <w:szCs w:val="20"/>
              </w:rPr>
              <w:t xml:space="preserve">, </w:t>
            </w:r>
            <w:r w:rsidR="00E66944" w:rsidRPr="000E537E">
              <w:rPr>
                <w:rFonts w:cs="Arial"/>
                <w:sz w:val="20"/>
                <w:szCs w:val="20"/>
              </w:rPr>
              <w:t>there are reliable data collection systems in place for</w:t>
            </w:r>
            <w:r w:rsidR="00C7581D" w:rsidRPr="000E537E">
              <w:rPr>
                <w:rFonts w:cs="Arial"/>
                <w:sz w:val="20"/>
                <w:szCs w:val="20"/>
              </w:rPr>
              <w:t xml:space="preserve"> the harvesting activities conducted by</w:t>
            </w:r>
            <w:r w:rsidR="00E66944" w:rsidRPr="000E537E">
              <w:rPr>
                <w:rFonts w:cs="Arial"/>
                <w:sz w:val="20"/>
                <w:szCs w:val="20"/>
              </w:rPr>
              <w:t xml:space="preserve"> PQ Aquatics.</w:t>
            </w:r>
            <w:r w:rsidR="00B4272F" w:rsidRPr="000E537E">
              <w:rPr>
                <w:rFonts w:cs="Arial"/>
                <w:sz w:val="20"/>
                <w:szCs w:val="20"/>
              </w:rPr>
              <w:t xml:space="preserve"> Target stocks of syngnathid species are not considered to be overharvested due</w:t>
            </w:r>
            <w:r w:rsidR="00544EA2" w:rsidRPr="000E537E">
              <w:rPr>
                <w:rFonts w:cs="Arial"/>
                <w:sz w:val="20"/>
                <w:szCs w:val="20"/>
              </w:rPr>
              <w:t xml:space="preserve"> to the </w:t>
            </w:r>
            <w:r w:rsidR="00472F8C" w:rsidRPr="000E537E">
              <w:rPr>
                <w:rFonts w:cs="Arial"/>
                <w:sz w:val="20"/>
                <w:szCs w:val="20"/>
              </w:rPr>
              <w:t xml:space="preserve">low level of harvest, where </w:t>
            </w:r>
            <w:r w:rsidR="00510FDC">
              <w:rPr>
                <w:rFonts w:cs="Arial"/>
                <w:sz w:val="20"/>
                <w:szCs w:val="20"/>
              </w:rPr>
              <w:t>a maximum of</w:t>
            </w:r>
            <w:r w:rsidR="00472F8C" w:rsidRPr="000E537E">
              <w:rPr>
                <w:rFonts w:cs="Arial"/>
                <w:sz w:val="20"/>
                <w:szCs w:val="20"/>
              </w:rPr>
              <w:t xml:space="preserve"> 4 specimens </w:t>
            </w:r>
            <w:r w:rsidR="00F507F5" w:rsidRPr="000E537E">
              <w:rPr>
                <w:rFonts w:cs="Arial"/>
                <w:sz w:val="20"/>
                <w:szCs w:val="20"/>
              </w:rPr>
              <w:t>from 3 syngnathid species</w:t>
            </w:r>
            <w:r w:rsidR="000E537E" w:rsidRPr="000E537E">
              <w:rPr>
                <w:rFonts w:cs="Arial"/>
                <w:sz w:val="20"/>
                <w:szCs w:val="20"/>
              </w:rPr>
              <w:t xml:space="preserve"> can be collected annually.</w:t>
            </w:r>
          </w:p>
        </w:tc>
      </w:tr>
      <w:tr w:rsidR="00AB194A" w:rsidRPr="00433FCA" w14:paraId="4DB69FFC" w14:textId="77777777" w:rsidTr="00572D2D">
        <w:trPr>
          <w:cnfStyle w:val="000000100000" w:firstRow="0" w:lastRow="0" w:firstColumn="0" w:lastColumn="0" w:oddVBand="0" w:evenVBand="0" w:oddHBand="1" w:evenHBand="0" w:firstRowFirstColumn="0" w:firstRowLastColumn="0" w:lastRowFirstColumn="0" w:lastRowLastColumn="0"/>
        </w:trPr>
        <w:tc>
          <w:tcPr>
            <w:tcW w:w="1000" w:type="pct"/>
          </w:tcPr>
          <w:p w14:paraId="5DBEF2B0" w14:textId="77777777" w:rsidR="00AB194A" w:rsidRPr="00433FCA" w:rsidRDefault="00AB194A" w:rsidP="00FC2EBF">
            <w:pPr>
              <w:spacing w:before="60" w:after="60" w:line="276" w:lineRule="auto"/>
              <w:contextualSpacing/>
              <w:rPr>
                <w:rFonts w:cs="Arial"/>
                <w:sz w:val="20"/>
                <w:szCs w:val="20"/>
              </w:rPr>
            </w:pPr>
            <w:r w:rsidRPr="00433FCA">
              <w:rPr>
                <w:rFonts w:cs="Arial"/>
                <w:sz w:val="20"/>
                <w:szCs w:val="20"/>
              </w:rPr>
              <w:t>Principle 2 (bycatch and TEPS)</w:t>
            </w:r>
          </w:p>
        </w:tc>
        <w:tc>
          <w:tcPr>
            <w:tcW w:w="500" w:type="pct"/>
            <w:shd w:val="clear" w:color="auto" w:fill="92D050"/>
          </w:tcPr>
          <w:p w14:paraId="01713504" w14:textId="6ABAF20B" w:rsidR="00AB194A" w:rsidRPr="00433FCA" w:rsidRDefault="0019163B" w:rsidP="00E556A9">
            <w:pPr>
              <w:spacing w:before="60" w:after="60" w:line="276" w:lineRule="auto"/>
              <w:ind w:right="156"/>
              <w:contextualSpacing/>
              <w:jc w:val="center"/>
              <w:rPr>
                <w:rFonts w:cs="Arial"/>
                <w:sz w:val="20"/>
                <w:szCs w:val="20"/>
              </w:rPr>
            </w:pPr>
            <w:r>
              <w:rPr>
                <w:rFonts w:cs="Arial"/>
                <w:sz w:val="20"/>
                <w:szCs w:val="20"/>
              </w:rPr>
              <w:t>2 of 6</w:t>
            </w:r>
          </w:p>
        </w:tc>
        <w:tc>
          <w:tcPr>
            <w:tcW w:w="500" w:type="pct"/>
            <w:shd w:val="clear" w:color="auto" w:fill="FFFFFF" w:themeFill="background1"/>
          </w:tcPr>
          <w:p w14:paraId="6F0B7D38" w14:textId="4744A800" w:rsidR="00AB194A" w:rsidRPr="00433FCA" w:rsidRDefault="0019163B" w:rsidP="00E556A9">
            <w:pPr>
              <w:spacing w:before="60" w:after="60" w:line="276" w:lineRule="auto"/>
              <w:ind w:right="156"/>
              <w:contextualSpacing/>
              <w:jc w:val="center"/>
              <w:rPr>
                <w:rFonts w:cs="Arial"/>
                <w:sz w:val="20"/>
                <w:szCs w:val="20"/>
              </w:rPr>
            </w:pPr>
            <w:r>
              <w:rPr>
                <w:rFonts w:cs="Arial"/>
                <w:sz w:val="20"/>
                <w:szCs w:val="20"/>
              </w:rPr>
              <w:t>0 of 6</w:t>
            </w:r>
          </w:p>
        </w:tc>
        <w:tc>
          <w:tcPr>
            <w:tcW w:w="500" w:type="pct"/>
            <w:shd w:val="clear" w:color="auto" w:fill="FFFFFF" w:themeFill="background1"/>
          </w:tcPr>
          <w:p w14:paraId="68EC8C9E" w14:textId="1A09CBCD" w:rsidR="00AB194A" w:rsidRDefault="0019163B" w:rsidP="00E04E83">
            <w:pPr>
              <w:tabs>
                <w:tab w:val="left" w:pos="603"/>
              </w:tabs>
              <w:spacing w:before="60" w:after="60" w:line="276" w:lineRule="auto"/>
              <w:ind w:right="167"/>
              <w:contextualSpacing/>
              <w:jc w:val="center"/>
              <w:rPr>
                <w:rFonts w:cs="Arial"/>
                <w:sz w:val="20"/>
                <w:szCs w:val="20"/>
              </w:rPr>
            </w:pPr>
            <w:r>
              <w:rPr>
                <w:rFonts w:cs="Arial"/>
                <w:sz w:val="20"/>
                <w:szCs w:val="20"/>
              </w:rPr>
              <w:t>0 of 6</w:t>
            </w:r>
          </w:p>
          <w:p w14:paraId="26CFB1FA" w14:textId="3B04EF0F" w:rsidR="00925F5A" w:rsidRPr="00B64513" w:rsidRDefault="00925F5A" w:rsidP="00E04E83">
            <w:pPr>
              <w:pStyle w:val="ListParagraph"/>
              <w:numPr>
                <w:ilvl w:val="0"/>
                <w:numId w:val="29"/>
              </w:numPr>
              <w:tabs>
                <w:tab w:val="left" w:pos="603"/>
              </w:tabs>
              <w:spacing w:before="60" w:after="60" w:line="276" w:lineRule="auto"/>
              <w:ind w:right="167"/>
              <w:contextualSpacing/>
              <w:jc w:val="center"/>
              <w:rPr>
                <w:rFonts w:cs="Arial"/>
                <w:sz w:val="20"/>
                <w:szCs w:val="20"/>
              </w:rPr>
            </w:pPr>
            <w:r w:rsidRPr="00B64513">
              <w:rPr>
                <w:rFonts w:cs="Arial"/>
                <w:sz w:val="20"/>
                <w:szCs w:val="20"/>
              </w:rPr>
              <w:t>N/A</w:t>
            </w:r>
          </w:p>
        </w:tc>
        <w:tc>
          <w:tcPr>
            <w:tcW w:w="2250" w:type="pct"/>
          </w:tcPr>
          <w:p w14:paraId="08EB80BE" w14:textId="4AADB92D" w:rsidR="00406554" w:rsidRPr="00B64513" w:rsidRDefault="00D5754F" w:rsidP="006455F0">
            <w:pPr>
              <w:spacing w:before="60" w:after="60" w:line="276" w:lineRule="auto"/>
              <w:contextualSpacing/>
              <w:rPr>
                <w:rFonts w:cs="Arial"/>
                <w:sz w:val="20"/>
                <w:szCs w:val="20"/>
                <w:highlight w:val="yellow"/>
              </w:rPr>
            </w:pPr>
            <w:r w:rsidRPr="00D5754F">
              <w:rPr>
                <w:rFonts w:cs="Arial"/>
                <w:sz w:val="20"/>
                <w:szCs w:val="20"/>
              </w:rPr>
              <w:t>The operation applies a selective fishing method (hand collection</w:t>
            </w:r>
            <w:r w:rsidR="00CB0C97">
              <w:rPr>
                <w:rFonts w:cs="Arial"/>
                <w:sz w:val="20"/>
                <w:szCs w:val="20"/>
              </w:rPr>
              <w:t xml:space="preserve"> while diving</w:t>
            </w:r>
            <w:r w:rsidRPr="00D5754F">
              <w:rPr>
                <w:rFonts w:cs="Arial"/>
                <w:sz w:val="20"/>
                <w:szCs w:val="20"/>
              </w:rPr>
              <w:t xml:space="preserve">) in state waters to </w:t>
            </w:r>
            <w:r w:rsidR="00CB0C97">
              <w:rPr>
                <w:rFonts w:cs="Arial"/>
                <w:sz w:val="20"/>
                <w:szCs w:val="20"/>
              </w:rPr>
              <w:t>prevent</w:t>
            </w:r>
            <w:r w:rsidRPr="00D5754F">
              <w:rPr>
                <w:rFonts w:cs="Arial"/>
                <w:sz w:val="20"/>
                <w:szCs w:val="20"/>
              </w:rPr>
              <w:t xml:space="preserve"> contact with other marine species.</w:t>
            </w:r>
            <w:r w:rsidR="003101FF" w:rsidRPr="00D5754F">
              <w:rPr>
                <w:rFonts w:cs="Arial"/>
                <w:sz w:val="20"/>
                <w:szCs w:val="20"/>
              </w:rPr>
              <w:t xml:space="preserve"> </w:t>
            </w:r>
            <w:r w:rsidR="00353F40">
              <w:rPr>
                <w:rFonts w:cs="Arial"/>
                <w:sz w:val="20"/>
                <w:szCs w:val="20"/>
              </w:rPr>
              <w:t>There are no i</w:t>
            </w:r>
            <w:r w:rsidR="003101FF" w:rsidRPr="00D5754F">
              <w:rPr>
                <w:rFonts w:cs="Arial"/>
                <w:sz w:val="20"/>
                <w:szCs w:val="20"/>
              </w:rPr>
              <w:t>nteract</w:t>
            </w:r>
            <w:r w:rsidR="00353F40">
              <w:rPr>
                <w:rFonts w:cs="Arial"/>
                <w:sz w:val="20"/>
                <w:szCs w:val="20"/>
              </w:rPr>
              <w:t>ions</w:t>
            </w:r>
            <w:r w:rsidR="003101FF" w:rsidRPr="00D5754F">
              <w:rPr>
                <w:rFonts w:cs="Arial"/>
                <w:sz w:val="20"/>
                <w:szCs w:val="20"/>
              </w:rPr>
              <w:t xml:space="preserve"> with </w:t>
            </w:r>
            <w:r w:rsidR="003101FF" w:rsidRPr="00727D3B">
              <w:rPr>
                <w:rFonts w:cs="Arial"/>
                <w:sz w:val="20"/>
                <w:szCs w:val="20"/>
              </w:rPr>
              <w:t xml:space="preserve">TEPS </w:t>
            </w:r>
            <w:r w:rsidR="00353F40" w:rsidRPr="00727D3B">
              <w:rPr>
                <w:rFonts w:cs="Arial"/>
                <w:sz w:val="20"/>
                <w:szCs w:val="20"/>
              </w:rPr>
              <w:t>in</w:t>
            </w:r>
            <w:r w:rsidR="003101FF" w:rsidRPr="00D5754F">
              <w:rPr>
                <w:rFonts w:cs="Arial"/>
                <w:sz w:val="20"/>
                <w:szCs w:val="20"/>
              </w:rPr>
              <w:t xml:space="preserve"> Commonwealth waters</w:t>
            </w:r>
            <w:r w:rsidR="00353F40">
              <w:rPr>
                <w:rFonts w:cs="Arial"/>
                <w:sz w:val="20"/>
                <w:szCs w:val="20"/>
              </w:rPr>
              <w:t>.</w:t>
            </w:r>
            <w:r w:rsidR="003101FF" w:rsidRPr="00D5754F">
              <w:rPr>
                <w:rFonts w:cs="Arial"/>
                <w:sz w:val="20"/>
                <w:szCs w:val="20"/>
              </w:rPr>
              <w:t xml:space="preserve"> </w:t>
            </w:r>
            <w:r w:rsidR="00EA0F3A" w:rsidRPr="006455F0">
              <w:rPr>
                <w:rFonts w:cs="Arial"/>
                <w:sz w:val="20"/>
                <w:szCs w:val="20"/>
              </w:rPr>
              <w:t xml:space="preserve">The impact on bycatch </w:t>
            </w:r>
            <w:r w:rsidR="00245547" w:rsidRPr="006455F0">
              <w:rPr>
                <w:rFonts w:cs="Arial"/>
                <w:sz w:val="20"/>
                <w:szCs w:val="20"/>
              </w:rPr>
              <w:t>species and TEPS</w:t>
            </w:r>
            <w:r w:rsidR="008655F5" w:rsidRPr="006455F0">
              <w:rPr>
                <w:rFonts w:cs="Arial"/>
                <w:sz w:val="20"/>
                <w:szCs w:val="20"/>
              </w:rPr>
              <w:t xml:space="preserve"> is considered negligible, given the </w:t>
            </w:r>
            <w:r w:rsidR="00166546" w:rsidRPr="006455F0">
              <w:rPr>
                <w:rFonts w:cs="Arial"/>
                <w:sz w:val="20"/>
                <w:szCs w:val="20"/>
              </w:rPr>
              <w:t xml:space="preserve">small scale and highly selective harvesting regime implemented by the operation. </w:t>
            </w:r>
          </w:p>
        </w:tc>
      </w:tr>
      <w:tr w:rsidR="00AB194A" w:rsidRPr="00433FCA" w14:paraId="77A7913F" w14:textId="77777777" w:rsidTr="00171D6E">
        <w:trPr>
          <w:cnfStyle w:val="000000010000" w:firstRow="0" w:lastRow="0" w:firstColumn="0" w:lastColumn="0" w:oddVBand="0" w:evenVBand="0" w:oddHBand="0" w:evenHBand="1" w:firstRowFirstColumn="0" w:firstRowLastColumn="0" w:lastRowFirstColumn="0" w:lastRowLastColumn="0"/>
        </w:trPr>
        <w:tc>
          <w:tcPr>
            <w:tcW w:w="1000" w:type="pct"/>
          </w:tcPr>
          <w:p w14:paraId="722471C4" w14:textId="77777777" w:rsidR="00AB194A" w:rsidRPr="00433FCA" w:rsidRDefault="00AB194A" w:rsidP="00FC2EBF">
            <w:pPr>
              <w:spacing w:before="60" w:after="60" w:line="276" w:lineRule="auto"/>
              <w:contextualSpacing/>
              <w:rPr>
                <w:rFonts w:cs="Arial"/>
                <w:sz w:val="20"/>
                <w:szCs w:val="20"/>
              </w:rPr>
            </w:pPr>
            <w:r w:rsidRPr="00433FCA">
              <w:rPr>
                <w:rFonts w:cs="Arial"/>
                <w:sz w:val="20"/>
                <w:szCs w:val="20"/>
              </w:rPr>
              <w:t>Principle 2 (ecosystem impacts)</w:t>
            </w:r>
          </w:p>
        </w:tc>
        <w:tc>
          <w:tcPr>
            <w:tcW w:w="500" w:type="pct"/>
            <w:shd w:val="clear" w:color="auto" w:fill="92D050"/>
          </w:tcPr>
          <w:p w14:paraId="7B2D69A1" w14:textId="763AC0C1" w:rsidR="00AB194A" w:rsidRPr="00433FCA" w:rsidRDefault="0019163B" w:rsidP="00E556A9">
            <w:pPr>
              <w:spacing w:before="60" w:after="60" w:line="276" w:lineRule="auto"/>
              <w:ind w:right="156"/>
              <w:contextualSpacing/>
              <w:jc w:val="center"/>
              <w:rPr>
                <w:rFonts w:cs="Arial"/>
                <w:sz w:val="20"/>
                <w:szCs w:val="20"/>
              </w:rPr>
            </w:pPr>
            <w:r>
              <w:rPr>
                <w:rFonts w:cs="Arial"/>
                <w:sz w:val="20"/>
                <w:szCs w:val="20"/>
              </w:rPr>
              <w:t>7 of 11</w:t>
            </w:r>
          </w:p>
        </w:tc>
        <w:tc>
          <w:tcPr>
            <w:tcW w:w="500" w:type="pct"/>
            <w:shd w:val="clear" w:color="auto" w:fill="FFFFFF" w:themeFill="background1"/>
          </w:tcPr>
          <w:p w14:paraId="183A4864" w14:textId="4942190B" w:rsidR="00AB194A" w:rsidRPr="00433FCA" w:rsidRDefault="0019163B" w:rsidP="00E556A9">
            <w:pPr>
              <w:spacing w:before="60" w:after="60" w:line="276" w:lineRule="auto"/>
              <w:ind w:right="156"/>
              <w:contextualSpacing/>
              <w:jc w:val="center"/>
              <w:rPr>
                <w:rFonts w:cs="Arial"/>
                <w:sz w:val="20"/>
                <w:szCs w:val="20"/>
              </w:rPr>
            </w:pPr>
            <w:r>
              <w:rPr>
                <w:rFonts w:cs="Arial"/>
                <w:sz w:val="20"/>
                <w:szCs w:val="20"/>
              </w:rPr>
              <w:t>1 of 11</w:t>
            </w:r>
          </w:p>
        </w:tc>
        <w:tc>
          <w:tcPr>
            <w:tcW w:w="500" w:type="pct"/>
            <w:shd w:val="clear" w:color="auto" w:fill="FFFFFF" w:themeFill="background1"/>
          </w:tcPr>
          <w:p w14:paraId="0C3121AD" w14:textId="107F0F02" w:rsidR="00AB194A" w:rsidRDefault="0019163B" w:rsidP="00E04E83">
            <w:pPr>
              <w:tabs>
                <w:tab w:val="left" w:pos="603"/>
              </w:tabs>
              <w:spacing w:before="60" w:after="60" w:line="276" w:lineRule="auto"/>
              <w:ind w:right="167"/>
              <w:contextualSpacing/>
              <w:jc w:val="center"/>
              <w:rPr>
                <w:rFonts w:cs="Arial"/>
                <w:sz w:val="20"/>
                <w:szCs w:val="20"/>
              </w:rPr>
            </w:pPr>
            <w:r>
              <w:rPr>
                <w:rFonts w:cs="Arial"/>
                <w:sz w:val="20"/>
                <w:szCs w:val="20"/>
              </w:rPr>
              <w:t>0 of 11</w:t>
            </w:r>
          </w:p>
          <w:p w14:paraId="0EF7E465" w14:textId="1F00AC2B" w:rsidR="00171D6E" w:rsidRPr="00241CC3" w:rsidRDefault="00171D6E" w:rsidP="00E04E83">
            <w:pPr>
              <w:pStyle w:val="ListParagraph"/>
              <w:numPr>
                <w:ilvl w:val="0"/>
                <w:numId w:val="29"/>
              </w:numPr>
              <w:tabs>
                <w:tab w:val="left" w:pos="603"/>
              </w:tabs>
              <w:spacing w:before="60" w:after="60" w:line="276" w:lineRule="auto"/>
              <w:ind w:right="167"/>
              <w:contextualSpacing/>
              <w:jc w:val="center"/>
              <w:rPr>
                <w:rFonts w:cs="Arial"/>
                <w:sz w:val="20"/>
                <w:szCs w:val="20"/>
              </w:rPr>
            </w:pPr>
            <w:r w:rsidRPr="00727D3B">
              <w:rPr>
                <w:rFonts w:cs="Arial"/>
                <w:sz w:val="20"/>
                <w:szCs w:val="20"/>
              </w:rPr>
              <w:t>N/A</w:t>
            </w:r>
          </w:p>
        </w:tc>
        <w:tc>
          <w:tcPr>
            <w:tcW w:w="2250" w:type="pct"/>
          </w:tcPr>
          <w:p w14:paraId="5701B5C8" w14:textId="65287A36" w:rsidR="00043FF4" w:rsidRPr="003E39B8" w:rsidRDefault="00241CC3" w:rsidP="00D538D4">
            <w:pPr>
              <w:spacing w:before="60" w:after="60" w:line="276" w:lineRule="auto"/>
              <w:contextualSpacing/>
              <w:rPr>
                <w:rFonts w:cs="Arial"/>
                <w:sz w:val="20"/>
                <w:szCs w:val="20"/>
                <w:highlight w:val="yellow"/>
              </w:rPr>
            </w:pPr>
            <w:r w:rsidRPr="00D538D4">
              <w:rPr>
                <w:rFonts w:cs="Arial"/>
                <w:sz w:val="20"/>
                <w:szCs w:val="20"/>
              </w:rPr>
              <w:t xml:space="preserve">Impacts on the local marine ecosystem </w:t>
            </w:r>
            <w:r w:rsidR="00AC0013" w:rsidRPr="00D538D4">
              <w:rPr>
                <w:rFonts w:cs="Arial"/>
                <w:sz w:val="20"/>
                <w:szCs w:val="20"/>
              </w:rPr>
              <w:t>are considered negli</w:t>
            </w:r>
            <w:r w:rsidR="00D538D4" w:rsidRPr="00D538D4">
              <w:rPr>
                <w:rFonts w:cs="Arial"/>
                <w:sz w:val="20"/>
                <w:szCs w:val="20"/>
              </w:rPr>
              <w:t>gible based on the small scale and highly selective harvesting regime implemented by the operation.</w:t>
            </w:r>
            <w:r w:rsidR="00C71038">
              <w:rPr>
                <w:rFonts w:cs="Arial"/>
                <w:sz w:val="20"/>
                <w:szCs w:val="20"/>
              </w:rPr>
              <w:t xml:space="preserve"> PQ Aquatics </w:t>
            </w:r>
            <w:r w:rsidR="00C71038" w:rsidRPr="006455F0">
              <w:rPr>
                <w:rFonts w:cs="Arial"/>
                <w:sz w:val="20"/>
                <w:szCs w:val="20"/>
              </w:rPr>
              <w:t xml:space="preserve">poses minimal threat to </w:t>
            </w:r>
            <w:r w:rsidR="003F0372">
              <w:rPr>
                <w:rFonts w:cs="Arial"/>
                <w:sz w:val="20"/>
                <w:szCs w:val="20"/>
              </w:rPr>
              <w:t xml:space="preserve">important </w:t>
            </w:r>
            <w:r w:rsidR="00C71038" w:rsidRPr="006455F0">
              <w:rPr>
                <w:rFonts w:cs="Arial"/>
                <w:sz w:val="20"/>
                <w:szCs w:val="20"/>
              </w:rPr>
              <w:t xml:space="preserve">ecosystem values due to </w:t>
            </w:r>
            <w:r w:rsidR="003F0372">
              <w:rPr>
                <w:rFonts w:cs="Arial"/>
                <w:sz w:val="20"/>
                <w:szCs w:val="20"/>
              </w:rPr>
              <w:t xml:space="preserve">restrictions on harvesting locations, </w:t>
            </w:r>
            <w:r w:rsidR="00A14C04">
              <w:rPr>
                <w:rFonts w:cs="Arial"/>
                <w:sz w:val="20"/>
                <w:szCs w:val="20"/>
              </w:rPr>
              <w:t xml:space="preserve">target </w:t>
            </w:r>
            <w:r w:rsidR="003F0372">
              <w:rPr>
                <w:rFonts w:cs="Arial"/>
                <w:sz w:val="20"/>
                <w:szCs w:val="20"/>
              </w:rPr>
              <w:t>species, annual take</w:t>
            </w:r>
            <w:r w:rsidR="003563AF">
              <w:rPr>
                <w:rFonts w:cs="Arial"/>
                <w:sz w:val="20"/>
                <w:szCs w:val="20"/>
              </w:rPr>
              <w:t xml:space="preserve"> and fishing method</w:t>
            </w:r>
            <w:r w:rsidR="00A14C04">
              <w:rPr>
                <w:rFonts w:cs="Arial"/>
                <w:sz w:val="20"/>
                <w:szCs w:val="20"/>
              </w:rPr>
              <w:t>.</w:t>
            </w:r>
          </w:p>
        </w:tc>
      </w:tr>
      <w:tr w:rsidR="00B97B40" w:rsidRPr="00433FCA" w14:paraId="14FFCC4D" w14:textId="77777777" w:rsidTr="002F0C8B">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4D7DC563" w14:textId="67470506" w:rsidR="00B97B40" w:rsidRPr="00433FCA" w:rsidRDefault="00B97B40" w:rsidP="00FC2EBF">
            <w:pPr>
              <w:spacing w:before="60" w:after="60" w:line="276" w:lineRule="auto"/>
              <w:contextualSpacing/>
              <w:jc w:val="center"/>
              <w:rPr>
                <w:rFonts w:cs="Arial"/>
                <w:b/>
                <w:sz w:val="20"/>
                <w:szCs w:val="20"/>
              </w:rPr>
            </w:pPr>
            <w:r w:rsidRPr="00433FCA">
              <w:rPr>
                <w:rFonts w:cs="Arial"/>
                <w:b/>
                <w:sz w:val="20"/>
                <w:szCs w:val="20"/>
              </w:rPr>
              <w:t>EPBC requirements</w:t>
            </w:r>
          </w:p>
        </w:tc>
        <w:tc>
          <w:tcPr>
            <w:tcW w:w="500" w:type="pct"/>
            <w:shd w:val="clear" w:color="auto" w:fill="92D050"/>
            <w:vAlign w:val="center"/>
          </w:tcPr>
          <w:p w14:paraId="6D0A4838" w14:textId="77777777" w:rsidR="00B97B40" w:rsidRPr="00433FCA" w:rsidRDefault="00B97B40" w:rsidP="00FC2EBF">
            <w:pPr>
              <w:spacing w:before="60" w:after="60" w:line="276" w:lineRule="auto"/>
              <w:contextualSpacing/>
              <w:jc w:val="center"/>
              <w:rPr>
                <w:rFonts w:cs="Arial"/>
                <w:b/>
                <w:sz w:val="20"/>
                <w:szCs w:val="20"/>
              </w:rPr>
            </w:pPr>
            <w:r w:rsidRPr="00433FCA">
              <w:rPr>
                <w:rFonts w:cs="Arial"/>
                <w:b/>
                <w:sz w:val="20"/>
                <w:szCs w:val="20"/>
              </w:rPr>
              <w:t>Meets</w:t>
            </w:r>
          </w:p>
        </w:tc>
        <w:tc>
          <w:tcPr>
            <w:tcW w:w="500" w:type="pct"/>
            <w:shd w:val="clear" w:color="auto" w:fill="FFC000"/>
            <w:vAlign w:val="center"/>
          </w:tcPr>
          <w:p w14:paraId="3E8183B4" w14:textId="77777777" w:rsidR="00B97B40" w:rsidRPr="00433FCA" w:rsidRDefault="00B97B40" w:rsidP="00FC2EBF">
            <w:pPr>
              <w:spacing w:before="60" w:after="60" w:line="276" w:lineRule="auto"/>
              <w:contextualSpacing/>
              <w:jc w:val="center"/>
              <w:rPr>
                <w:rFonts w:cs="Arial"/>
                <w:b/>
                <w:sz w:val="20"/>
                <w:szCs w:val="20"/>
              </w:rPr>
            </w:pPr>
            <w:r w:rsidRPr="00433FCA">
              <w:rPr>
                <w:rFonts w:cs="Arial"/>
                <w:b/>
                <w:sz w:val="20"/>
                <w:szCs w:val="20"/>
              </w:rPr>
              <w:t>Partially meets</w:t>
            </w:r>
          </w:p>
        </w:tc>
        <w:tc>
          <w:tcPr>
            <w:tcW w:w="500" w:type="pct"/>
            <w:shd w:val="clear" w:color="auto" w:fill="FF0000"/>
            <w:vAlign w:val="center"/>
          </w:tcPr>
          <w:p w14:paraId="09A677DF" w14:textId="77777777" w:rsidR="00B97B40" w:rsidRPr="00433FCA" w:rsidRDefault="00B97B40" w:rsidP="00FC2EBF">
            <w:pPr>
              <w:spacing w:before="60" w:after="60" w:line="276" w:lineRule="auto"/>
              <w:contextualSpacing/>
              <w:jc w:val="center"/>
              <w:rPr>
                <w:rFonts w:cs="Arial"/>
                <w:b/>
                <w:sz w:val="20"/>
                <w:szCs w:val="20"/>
              </w:rPr>
            </w:pPr>
            <w:r w:rsidRPr="00433FCA">
              <w:rPr>
                <w:rFonts w:cs="Arial"/>
                <w:b/>
                <w:sz w:val="20"/>
                <w:szCs w:val="20"/>
              </w:rPr>
              <w:t>Does not meet</w:t>
            </w:r>
          </w:p>
        </w:tc>
        <w:tc>
          <w:tcPr>
            <w:tcW w:w="2250" w:type="pct"/>
            <w:vAlign w:val="center"/>
          </w:tcPr>
          <w:p w14:paraId="52515391" w14:textId="77777777" w:rsidR="00B97B40" w:rsidRPr="00433FCA" w:rsidRDefault="00B97B40" w:rsidP="00FC2EBF">
            <w:pPr>
              <w:spacing w:before="60" w:after="60" w:line="276" w:lineRule="auto"/>
              <w:contextualSpacing/>
              <w:jc w:val="center"/>
              <w:rPr>
                <w:rFonts w:cs="Arial"/>
                <w:b/>
                <w:sz w:val="20"/>
                <w:szCs w:val="20"/>
              </w:rPr>
            </w:pPr>
            <w:r w:rsidRPr="00433FCA">
              <w:rPr>
                <w:rFonts w:cs="Arial"/>
                <w:b/>
                <w:sz w:val="20"/>
                <w:szCs w:val="20"/>
              </w:rPr>
              <w:t>Details</w:t>
            </w:r>
          </w:p>
        </w:tc>
      </w:tr>
      <w:tr w:rsidR="00AB194A" w:rsidRPr="00433FCA" w14:paraId="288C0458" w14:textId="77777777" w:rsidTr="00A56707">
        <w:trPr>
          <w:cnfStyle w:val="000000010000" w:firstRow="0" w:lastRow="0" w:firstColumn="0" w:lastColumn="0" w:oddVBand="0" w:evenVBand="0" w:oddHBand="0" w:evenHBand="1" w:firstRowFirstColumn="0" w:firstRowLastColumn="0" w:lastRowFirstColumn="0" w:lastRowLastColumn="0"/>
        </w:trPr>
        <w:tc>
          <w:tcPr>
            <w:tcW w:w="1000" w:type="pct"/>
          </w:tcPr>
          <w:p w14:paraId="3A69EF13" w14:textId="77777777" w:rsidR="00AB194A" w:rsidRPr="00433FCA" w:rsidRDefault="00AB194A" w:rsidP="00FC2EBF">
            <w:pPr>
              <w:spacing w:before="60" w:after="60" w:line="276" w:lineRule="auto"/>
              <w:contextualSpacing/>
              <w:rPr>
                <w:rFonts w:cs="Arial"/>
                <w:sz w:val="20"/>
                <w:szCs w:val="20"/>
              </w:rPr>
            </w:pPr>
            <w:r w:rsidRPr="00433FCA">
              <w:rPr>
                <w:rFonts w:cs="Arial"/>
                <w:sz w:val="20"/>
                <w:szCs w:val="20"/>
              </w:rPr>
              <w:t>Part 12</w:t>
            </w:r>
          </w:p>
        </w:tc>
        <w:tc>
          <w:tcPr>
            <w:tcW w:w="500" w:type="pct"/>
            <w:shd w:val="clear" w:color="auto" w:fill="auto"/>
          </w:tcPr>
          <w:p w14:paraId="0D057530" w14:textId="73F031C4" w:rsidR="00AB194A" w:rsidRPr="00433FCA" w:rsidRDefault="00AB194A" w:rsidP="00FC2EBF">
            <w:pPr>
              <w:spacing w:before="60" w:after="60" w:line="276" w:lineRule="auto"/>
              <w:contextualSpacing/>
              <w:rPr>
                <w:rFonts w:cs="Arial"/>
                <w:sz w:val="20"/>
                <w:szCs w:val="20"/>
              </w:rPr>
            </w:pPr>
          </w:p>
        </w:tc>
        <w:tc>
          <w:tcPr>
            <w:tcW w:w="500" w:type="pct"/>
            <w:shd w:val="clear" w:color="auto" w:fill="auto"/>
          </w:tcPr>
          <w:p w14:paraId="256D5847" w14:textId="77777777" w:rsidR="00AB194A" w:rsidRPr="00433FCA" w:rsidRDefault="00AB194A" w:rsidP="00FC2EBF">
            <w:pPr>
              <w:spacing w:before="60" w:after="60" w:line="276" w:lineRule="auto"/>
              <w:contextualSpacing/>
              <w:rPr>
                <w:rFonts w:cs="Arial"/>
                <w:sz w:val="20"/>
                <w:szCs w:val="20"/>
              </w:rPr>
            </w:pPr>
          </w:p>
        </w:tc>
        <w:tc>
          <w:tcPr>
            <w:tcW w:w="500" w:type="pct"/>
            <w:shd w:val="clear" w:color="auto" w:fill="auto"/>
          </w:tcPr>
          <w:p w14:paraId="6EE06B37" w14:textId="6D922C7B" w:rsidR="00AB194A" w:rsidRPr="00433FCA" w:rsidRDefault="00A56707" w:rsidP="00FD0B7A">
            <w:pPr>
              <w:spacing w:before="60" w:after="60" w:line="276" w:lineRule="auto"/>
              <w:contextualSpacing/>
              <w:jc w:val="center"/>
              <w:rPr>
                <w:rFonts w:cs="Arial"/>
                <w:sz w:val="20"/>
                <w:szCs w:val="20"/>
              </w:rPr>
            </w:pPr>
            <w:r>
              <w:rPr>
                <w:rFonts w:cs="Arial"/>
                <w:sz w:val="20"/>
                <w:szCs w:val="20"/>
              </w:rPr>
              <w:t>N/A</w:t>
            </w:r>
          </w:p>
        </w:tc>
        <w:tc>
          <w:tcPr>
            <w:tcW w:w="2250" w:type="pct"/>
          </w:tcPr>
          <w:p w14:paraId="327E0B80" w14:textId="73862182" w:rsidR="00707DA6" w:rsidRPr="00433FCA" w:rsidRDefault="00B142B2" w:rsidP="00FC2EBF">
            <w:pPr>
              <w:spacing w:before="60" w:after="60" w:line="276" w:lineRule="auto"/>
              <w:contextualSpacing/>
              <w:rPr>
                <w:rFonts w:cs="Arial"/>
                <w:sz w:val="20"/>
                <w:szCs w:val="20"/>
              </w:rPr>
            </w:pPr>
            <w:r>
              <w:rPr>
                <w:rFonts w:cs="Arial"/>
                <w:sz w:val="20"/>
                <w:szCs w:val="20"/>
              </w:rPr>
              <w:t xml:space="preserve">Given that </w:t>
            </w:r>
            <w:r w:rsidR="008B2E6B">
              <w:rPr>
                <w:rFonts w:cs="Arial"/>
                <w:sz w:val="20"/>
                <w:szCs w:val="20"/>
              </w:rPr>
              <w:t>PQ Aquatics does not operate in Commonwealth waters, r</w:t>
            </w:r>
            <w:r w:rsidR="002F3DB2">
              <w:rPr>
                <w:rFonts w:cs="Arial"/>
                <w:sz w:val="20"/>
                <w:szCs w:val="20"/>
              </w:rPr>
              <w:t>equirements under Part 12 of the EPBC Act are not applicable</w:t>
            </w:r>
            <w:r w:rsidR="008B2E6B">
              <w:rPr>
                <w:rFonts w:cs="Arial"/>
                <w:sz w:val="20"/>
                <w:szCs w:val="20"/>
              </w:rPr>
              <w:t xml:space="preserve"> to this operation.</w:t>
            </w:r>
            <w:r w:rsidR="002F3DB2">
              <w:rPr>
                <w:rFonts w:cs="Arial"/>
                <w:sz w:val="20"/>
                <w:szCs w:val="20"/>
              </w:rPr>
              <w:t xml:space="preserve"> </w:t>
            </w:r>
          </w:p>
        </w:tc>
      </w:tr>
      <w:tr w:rsidR="00AB194A" w:rsidRPr="00433FCA" w14:paraId="506B6990" w14:textId="77777777" w:rsidTr="00A56707">
        <w:trPr>
          <w:cnfStyle w:val="000000100000" w:firstRow="0" w:lastRow="0" w:firstColumn="0" w:lastColumn="0" w:oddVBand="0" w:evenVBand="0" w:oddHBand="1" w:evenHBand="0" w:firstRowFirstColumn="0" w:firstRowLastColumn="0" w:lastRowFirstColumn="0" w:lastRowLastColumn="0"/>
        </w:trPr>
        <w:tc>
          <w:tcPr>
            <w:tcW w:w="1000" w:type="pct"/>
          </w:tcPr>
          <w:p w14:paraId="1E8F6B74" w14:textId="77777777" w:rsidR="00AB194A" w:rsidRPr="00433FCA" w:rsidRDefault="00AB194A" w:rsidP="00FC2EBF">
            <w:pPr>
              <w:spacing w:before="60" w:after="60" w:line="276" w:lineRule="auto"/>
              <w:contextualSpacing/>
              <w:rPr>
                <w:rFonts w:cs="Arial"/>
                <w:sz w:val="20"/>
                <w:szCs w:val="20"/>
              </w:rPr>
            </w:pPr>
            <w:r w:rsidRPr="00433FCA">
              <w:rPr>
                <w:rFonts w:cs="Arial"/>
                <w:sz w:val="20"/>
                <w:szCs w:val="20"/>
              </w:rPr>
              <w:t>Part 13</w:t>
            </w:r>
          </w:p>
        </w:tc>
        <w:tc>
          <w:tcPr>
            <w:tcW w:w="500" w:type="pct"/>
            <w:shd w:val="clear" w:color="auto" w:fill="auto"/>
          </w:tcPr>
          <w:p w14:paraId="7F19FF8D" w14:textId="77777777" w:rsidR="00AB194A" w:rsidRPr="00433FCA" w:rsidRDefault="00AB194A" w:rsidP="00FC2EBF">
            <w:pPr>
              <w:spacing w:before="60" w:after="60" w:line="276" w:lineRule="auto"/>
              <w:contextualSpacing/>
              <w:rPr>
                <w:rFonts w:cs="Arial"/>
                <w:sz w:val="20"/>
                <w:szCs w:val="20"/>
              </w:rPr>
            </w:pPr>
          </w:p>
        </w:tc>
        <w:tc>
          <w:tcPr>
            <w:tcW w:w="500" w:type="pct"/>
            <w:shd w:val="clear" w:color="auto" w:fill="auto"/>
          </w:tcPr>
          <w:p w14:paraId="236DD031" w14:textId="77777777" w:rsidR="00AB194A" w:rsidRPr="00433FCA" w:rsidRDefault="00AB194A" w:rsidP="00FC2EBF">
            <w:pPr>
              <w:spacing w:before="60" w:after="60" w:line="276" w:lineRule="auto"/>
              <w:contextualSpacing/>
              <w:rPr>
                <w:rFonts w:cs="Arial"/>
                <w:sz w:val="20"/>
                <w:szCs w:val="20"/>
              </w:rPr>
            </w:pPr>
          </w:p>
        </w:tc>
        <w:tc>
          <w:tcPr>
            <w:tcW w:w="500" w:type="pct"/>
            <w:shd w:val="clear" w:color="auto" w:fill="auto"/>
          </w:tcPr>
          <w:p w14:paraId="46D8A6F7" w14:textId="1BE1B5F3" w:rsidR="00AB194A" w:rsidRPr="00433FCA" w:rsidRDefault="00A56707" w:rsidP="00FD0B7A">
            <w:pPr>
              <w:spacing w:before="60" w:after="60" w:line="276" w:lineRule="auto"/>
              <w:contextualSpacing/>
              <w:jc w:val="center"/>
              <w:rPr>
                <w:rFonts w:cs="Arial"/>
                <w:sz w:val="20"/>
                <w:szCs w:val="20"/>
              </w:rPr>
            </w:pPr>
            <w:r>
              <w:rPr>
                <w:rFonts w:cs="Arial"/>
                <w:sz w:val="20"/>
                <w:szCs w:val="20"/>
              </w:rPr>
              <w:t>N/A</w:t>
            </w:r>
          </w:p>
        </w:tc>
        <w:tc>
          <w:tcPr>
            <w:tcW w:w="2250" w:type="pct"/>
          </w:tcPr>
          <w:p w14:paraId="008A304B" w14:textId="10367B9D" w:rsidR="00D33B7F" w:rsidRPr="00433FCA" w:rsidRDefault="00D33B7F" w:rsidP="00FC2EBF">
            <w:pPr>
              <w:spacing w:before="60" w:after="60" w:line="276" w:lineRule="auto"/>
              <w:contextualSpacing/>
              <w:rPr>
                <w:rFonts w:cs="Arial"/>
                <w:sz w:val="20"/>
                <w:szCs w:val="20"/>
              </w:rPr>
            </w:pPr>
            <w:r>
              <w:rPr>
                <w:rFonts w:cs="Arial"/>
                <w:sz w:val="20"/>
                <w:szCs w:val="20"/>
              </w:rPr>
              <w:t>Given that PQ Aquatics does not operate in Commonwealth waters, requirements under Part 13 of the EPBC Act are not applicable to this operation.</w:t>
            </w:r>
          </w:p>
        </w:tc>
      </w:tr>
      <w:tr w:rsidR="00AB194A" w:rsidRPr="00433FCA" w14:paraId="22B413FF" w14:textId="77777777" w:rsidTr="008972F3">
        <w:trPr>
          <w:cnfStyle w:val="000000010000" w:firstRow="0" w:lastRow="0" w:firstColumn="0" w:lastColumn="0" w:oddVBand="0" w:evenVBand="0" w:oddHBand="0" w:evenHBand="1" w:firstRowFirstColumn="0" w:firstRowLastColumn="0" w:lastRowFirstColumn="0" w:lastRowLastColumn="0"/>
        </w:trPr>
        <w:tc>
          <w:tcPr>
            <w:tcW w:w="1000" w:type="pct"/>
          </w:tcPr>
          <w:p w14:paraId="43BD9B9F" w14:textId="77777777" w:rsidR="00AB194A" w:rsidRPr="00433FCA" w:rsidRDefault="00AB194A" w:rsidP="00FC2EBF">
            <w:pPr>
              <w:spacing w:before="60" w:after="60" w:line="276" w:lineRule="auto"/>
              <w:contextualSpacing/>
              <w:rPr>
                <w:rFonts w:cs="Arial"/>
                <w:sz w:val="20"/>
                <w:szCs w:val="20"/>
              </w:rPr>
            </w:pPr>
            <w:r w:rsidRPr="00433FCA">
              <w:rPr>
                <w:rFonts w:cs="Arial"/>
                <w:sz w:val="20"/>
                <w:szCs w:val="20"/>
              </w:rPr>
              <w:t>Part 13A</w:t>
            </w:r>
          </w:p>
        </w:tc>
        <w:tc>
          <w:tcPr>
            <w:tcW w:w="500" w:type="pct"/>
            <w:shd w:val="clear" w:color="auto" w:fill="92D050"/>
          </w:tcPr>
          <w:p w14:paraId="5C07EDB0" w14:textId="6C1F1BC7" w:rsidR="00AB194A" w:rsidRPr="00433FCA" w:rsidRDefault="00EB5F82" w:rsidP="00B04D5F">
            <w:pPr>
              <w:spacing w:before="60" w:after="60" w:line="276" w:lineRule="auto"/>
              <w:contextualSpacing/>
              <w:jc w:val="center"/>
              <w:rPr>
                <w:rFonts w:cs="Arial"/>
                <w:sz w:val="20"/>
                <w:szCs w:val="20"/>
              </w:rPr>
            </w:pPr>
            <w:r w:rsidRPr="00EB5F82">
              <w:rPr>
                <w:rFonts w:cs="Arial"/>
                <w:sz w:val="20"/>
                <w:szCs w:val="20"/>
              </w:rPr>
              <w:t>8</w:t>
            </w:r>
            <w:r w:rsidR="00171D6E" w:rsidRPr="00EB5F82">
              <w:rPr>
                <w:rFonts w:cs="Arial"/>
                <w:sz w:val="20"/>
                <w:szCs w:val="20"/>
              </w:rPr>
              <w:t>/</w:t>
            </w:r>
            <w:r w:rsidRPr="00EB5F82">
              <w:rPr>
                <w:rFonts w:cs="Arial"/>
                <w:sz w:val="20"/>
                <w:szCs w:val="20"/>
              </w:rPr>
              <w:t>8</w:t>
            </w:r>
          </w:p>
        </w:tc>
        <w:tc>
          <w:tcPr>
            <w:tcW w:w="500" w:type="pct"/>
            <w:shd w:val="clear" w:color="auto" w:fill="auto"/>
          </w:tcPr>
          <w:p w14:paraId="37366B5B" w14:textId="77777777" w:rsidR="00AB194A" w:rsidRPr="00433FCA" w:rsidRDefault="00AB194A" w:rsidP="00FC2EBF">
            <w:pPr>
              <w:spacing w:before="60" w:after="60" w:line="276" w:lineRule="auto"/>
              <w:contextualSpacing/>
              <w:rPr>
                <w:rFonts w:cs="Arial"/>
                <w:sz w:val="20"/>
                <w:szCs w:val="20"/>
              </w:rPr>
            </w:pPr>
          </w:p>
        </w:tc>
        <w:tc>
          <w:tcPr>
            <w:tcW w:w="500" w:type="pct"/>
            <w:shd w:val="clear" w:color="auto" w:fill="auto"/>
          </w:tcPr>
          <w:p w14:paraId="3DC1438C" w14:textId="78F872B8" w:rsidR="00AB194A" w:rsidRPr="00433FCA" w:rsidRDefault="00EB5F82" w:rsidP="00EB5F82">
            <w:pPr>
              <w:spacing w:before="60" w:after="60" w:line="276" w:lineRule="auto"/>
              <w:contextualSpacing/>
              <w:jc w:val="center"/>
              <w:rPr>
                <w:rFonts w:cs="Arial"/>
                <w:sz w:val="20"/>
                <w:szCs w:val="20"/>
              </w:rPr>
            </w:pPr>
            <w:r>
              <w:rPr>
                <w:rFonts w:cs="Arial"/>
                <w:sz w:val="20"/>
                <w:szCs w:val="20"/>
              </w:rPr>
              <w:t>7 N/A</w:t>
            </w:r>
          </w:p>
        </w:tc>
        <w:tc>
          <w:tcPr>
            <w:tcW w:w="2250" w:type="pct"/>
          </w:tcPr>
          <w:p w14:paraId="3A492242" w14:textId="2EE8B57B" w:rsidR="00AB194A" w:rsidRPr="00433FCA" w:rsidRDefault="00D01CFC" w:rsidP="00FC2EBF">
            <w:pPr>
              <w:spacing w:before="60" w:after="60" w:line="276" w:lineRule="auto"/>
              <w:contextualSpacing/>
              <w:rPr>
                <w:rFonts w:cs="Arial"/>
                <w:sz w:val="20"/>
                <w:szCs w:val="20"/>
              </w:rPr>
            </w:pPr>
            <w:r>
              <w:rPr>
                <w:rFonts w:cs="Arial"/>
                <w:sz w:val="20"/>
                <w:szCs w:val="20"/>
              </w:rPr>
              <w:t>The operation is consistent with the objects of Part 13A.</w:t>
            </w:r>
          </w:p>
        </w:tc>
      </w:tr>
      <w:tr w:rsidR="00AB194A" w:rsidRPr="00433FCA" w14:paraId="3E17CDF2" w14:textId="77777777" w:rsidTr="008972F3">
        <w:trPr>
          <w:cnfStyle w:val="000000100000" w:firstRow="0" w:lastRow="0" w:firstColumn="0" w:lastColumn="0" w:oddVBand="0" w:evenVBand="0" w:oddHBand="1" w:evenHBand="0" w:firstRowFirstColumn="0" w:firstRowLastColumn="0" w:lastRowFirstColumn="0" w:lastRowLastColumn="0"/>
        </w:trPr>
        <w:tc>
          <w:tcPr>
            <w:tcW w:w="1000" w:type="pct"/>
          </w:tcPr>
          <w:p w14:paraId="716FE531" w14:textId="77777777" w:rsidR="00AB194A" w:rsidRPr="00433FCA" w:rsidRDefault="00AB194A" w:rsidP="00FC2EBF">
            <w:pPr>
              <w:spacing w:before="60" w:after="60" w:line="276" w:lineRule="auto"/>
              <w:contextualSpacing/>
              <w:rPr>
                <w:rFonts w:cs="Arial"/>
                <w:sz w:val="20"/>
                <w:szCs w:val="20"/>
              </w:rPr>
            </w:pPr>
            <w:r w:rsidRPr="00433FCA">
              <w:rPr>
                <w:rFonts w:cs="Arial"/>
                <w:sz w:val="20"/>
                <w:szCs w:val="20"/>
              </w:rPr>
              <w:t>Part 16</w:t>
            </w:r>
          </w:p>
        </w:tc>
        <w:tc>
          <w:tcPr>
            <w:tcW w:w="500" w:type="pct"/>
            <w:shd w:val="clear" w:color="auto" w:fill="92D050"/>
          </w:tcPr>
          <w:p w14:paraId="6CB8748C" w14:textId="6D154DDD" w:rsidR="00AB194A" w:rsidRPr="00433FCA" w:rsidRDefault="00EB5F82" w:rsidP="00B04D5F">
            <w:pPr>
              <w:spacing w:before="60" w:after="60" w:line="276" w:lineRule="auto"/>
              <w:contextualSpacing/>
              <w:jc w:val="center"/>
              <w:rPr>
                <w:rFonts w:cs="Arial"/>
                <w:sz w:val="20"/>
                <w:szCs w:val="20"/>
              </w:rPr>
            </w:pPr>
            <w:r>
              <w:rPr>
                <w:rFonts w:cs="Arial"/>
                <w:sz w:val="20"/>
                <w:szCs w:val="20"/>
              </w:rPr>
              <w:t>All met</w:t>
            </w:r>
          </w:p>
        </w:tc>
        <w:tc>
          <w:tcPr>
            <w:tcW w:w="500" w:type="pct"/>
            <w:shd w:val="clear" w:color="auto" w:fill="auto"/>
          </w:tcPr>
          <w:p w14:paraId="7B5C007D" w14:textId="77777777" w:rsidR="00AB194A" w:rsidRPr="00433FCA" w:rsidRDefault="00AB194A" w:rsidP="00FC2EBF">
            <w:pPr>
              <w:spacing w:before="60" w:after="60" w:line="276" w:lineRule="auto"/>
              <w:contextualSpacing/>
              <w:rPr>
                <w:rFonts w:cs="Arial"/>
                <w:sz w:val="20"/>
                <w:szCs w:val="20"/>
              </w:rPr>
            </w:pPr>
          </w:p>
        </w:tc>
        <w:tc>
          <w:tcPr>
            <w:tcW w:w="500" w:type="pct"/>
            <w:shd w:val="clear" w:color="auto" w:fill="auto"/>
          </w:tcPr>
          <w:p w14:paraId="138BAF54" w14:textId="77777777" w:rsidR="00AB194A" w:rsidRPr="00433FCA" w:rsidRDefault="00AB194A" w:rsidP="00FC2EBF">
            <w:pPr>
              <w:spacing w:before="60" w:after="60" w:line="276" w:lineRule="auto"/>
              <w:contextualSpacing/>
              <w:rPr>
                <w:rFonts w:cs="Arial"/>
                <w:sz w:val="20"/>
                <w:szCs w:val="20"/>
              </w:rPr>
            </w:pPr>
          </w:p>
        </w:tc>
        <w:tc>
          <w:tcPr>
            <w:tcW w:w="2250" w:type="pct"/>
          </w:tcPr>
          <w:p w14:paraId="70D1DCFD" w14:textId="42BE3337" w:rsidR="00AB194A" w:rsidRPr="00433FCA" w:rsidRDefault="00F46C0C" w:rsidP="00FC2EBF">
            <w:pPr>
              <w:spacing w:before="60" w:after="60" w:line="276" w:lineRule="auto"/>
              <w:contextualSpacing/>
              <w:rPr>
                <w:rFonts w:cs="Arial"/>
                <w:sz w:val="20"/>
                <w:szCs w:val="20"/>
              </w:rPr>
            </w:pPr>
            <w:r>
              <w:rPr>
                <w:rFonts w:cs="Arial"/>
                <w:sz w:val="20"/>
                <w:szCs w:val="20"/>
              </w:rPr>
              <w:t>The management arrangements of this</w:t>
            </w:r>
            <w:r w:rsidR="00A57127">
              <w:rPr>
                <w:rFonts w:cs="Arial"/>
                <w:sz w:val="20"/>
                <w:szCs w:val="20"/>
              </w:rPr>
              <w:t xml:space="preserve"> operation </w:t>
            </w:r>
            <w:r>
              <w:rPr>
                <w:rFonts w:cs="Arial"/>
                <w:sz w:val="20"/>
                <w:szCs w:val="20"/>
              </w:rPr>
              <w:t xml:space="preserve">are implemented using a precautionary approach </w:t>
            </w:r>
            <w:r w:rsidR="00AD0874">
              <w:rPr>
                <w:rFonts w:cs="Arial"/>
                <w:sz w:val="20"/>
                <w:szCs w:val="20"/>
              </w:rPr>
              <w:t xml:space="preserve">which prevents </w:t>
            </w:r>
            <w:r w:rsidR="000D066B">
              <w:rPr>
                <w:rFonts w:cs="Arial"/>
                <w:sz w:val="20"/>
                <w:szCs w:val="20"/>
              </w:rPr>
              <w:t>serious or irreversible environmental damage from occurring.</w:t>
            </w:r>
          </w:p>
        </w:tc>
      </w:tr>
    </w:tbl>
    <w:p w14:paraId="32449674" w14:textId="77777777" w:rsidR="00AB194A" w:rsidRPr="00FC2EBF" w:rsidRDefault="00AB194A" w:rsidP="00FC2EBF"/>
    <w:p w14:paraId="60D3588F" w14:textId="4437DDE3" w:rsidR="00417DFC" w:rsidRDefault="00417DFC">
      <w:pPr>
        <w:spacing w:before="0" w:after="0"/>
      </w:pPr>
      <w:r>
        <w:br w:type="page"/>
      </w:r>
    </w:p>
    <w:p w14:paraId="1F77DFC3" w14:textId="6588338A" w:rsidR="00417DFC" w:rsidRPr="005F0371" w:rsidRDefault="00417DFC" w:rsidP="00417DFC">
      <w:pPr>
        <w:pStyle w:val="Heading1"/>
      </w:pPr>
      <w:bookmarkStart w:id="3" w:name="_Toc536099363"/>
      <w:bookmarkStart w:id="4" w:name="_Toc90501199"/>
      <w:r w:rsidRPr="005F0371">
        <w:t xml:space="preserve">Section </w:t>
      </w:r>
      <w:r>
        <w:t>2</w:t>
      </w:r>
      <w:r w:rsidRPr="005F0371">
        <w:t>: Summary of Issues Requiring Conditions</w:t>
      </w:r>
      <w:bookmarkEnd w:id="3"/>
      <w:bookmarkEnd w:id="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3"/>
        <w:gridCol w:w="7393"/>
      </w:tblGrid>
      <w:tr w:rsidR="00417DFC" w:rsidRPr="00887241" w14:paraId="10B2CAE0" w14:textId="77777777" w:rsidTr="00211477">
        <w:trPr>
          <w:tblHeader/>
          <w:jc w:val="center"/>
        </w:trPr>
        <w:tc>
          <w:tcPr>
            <w:tcW w:w="2500" w:type="pct"/>
            <w:shd w:val="clear" w:color="auto" w:fill="D9D9D9"/>
            <w:vAlign w:val="center"/>
          </w:tcPr>
          <w:p w14:paraId="54D004F8" w14:textId="77777777" w:rsidR="00417DFC" w:rsidRPr="00887241" w:rsidRDefault="00417DFC" w:rsidP="00211477">
            <w:pPr>
              <w:spacing w:before="60" w:after="60" w:line="276" w:lineRule="auto"/>
              <w:contextualSpacing/>
              <w:jc w:val="center"/>
              <w:rPr>
                <w:rFonts w:cs="Arial"/>
                <w:b/>
                <w:sz w:val="20"/>
                <w:szCs w:val="20"/>
              </w:rPr>
            </w:pPr>
            <w:r w:rsidRPr="00887241">
              <w:rPr>
                <w:rFonts w:cs="Arial"/>
                <w:b/>
                <w:sz w:val="20"/>
                <w:szCs w:val="20"/>
              </w:rPr>
              <w:t>Issue</w:t>
            </w:r>
          </w:p>
        </w:tc>
        <w:tc>
          <w:tcPr>
            <w:tcW w:w="2500" w:type="pct"/>
            <w:shd w:val="clear" w:color="auto" w:fill="D9D9D9"/>
            <w:vAlign w:val="center"/>
          </w:tcPr>
          <w:p w14:paraId="4B5B82B9" w14:textId="77777777" w:rsidR="00417DFC" w:rsidRPr="00887241" w:rsidRDefault="00417DFC" w:rsidP="00211477">
            <w:pPr>
              <w:spacing w:before="60" w:after="60" w:line="276" w:lineRule="auto"/>
              <w:contextualSpacing/>
              <w:jc w:val="center"/>
              <w:rPr>
                <w:rFonts w:cs="Arial"/>
                <w:b/>
                <w:sz w:val="20"/>
                <w:szCs w:val="20"/>
              </w:rPr>
            </w:pPr>
            <w:r w:rsidRPr="00B46A3E">
              <w:rPr>
                <w:rFonts w:cs="Arial"/>
                <w:b/>
                <w:sz w:val="20"/>
                <w:szCs w:val="20"/>
              </w:rPr>
              <w:t>Condition</w:t>
            </w:r>
            <w:r w:rsidRPr="00887241">
              <w:rPr>
                <w:rFonts w:cs="Arial"/>
                <w:b/>
                <w:sz w:val="20"/>
                <w:szCs w:val="20"/>
              </w:rPr>
              <w:t xml:space="preserve"> </w:t>
            </w:r>
          </w:p>
        </w:tc>
      </w:tr>
      <w:tr w:rsidR="00417DFC" w:rsidRPr="00887241" w14:paraId="50EAB394" w14:textId="77777777" w:rsidTr="00211477">
        <w:trPr>
          <w:jc w:val="center"/>
        </w:trPr>
        <w:tc>
          <w:tcPr>
            <w:tcW w:w="2500" w:type="pct"/>
          </w:tcPr>
          <w:p w14:paraId="4D161AF7" w14:textId="77777777" w:rsidR="00853E17" w:rsidRPr="00853E17" w:rsidRDefault="00853E17" w:rsidP="00853E17">
            <w:pPr>
              <w:spacing w:before="60" w:after="60" w:line="276" w:lineRule="auto"/>
              <w:rPr>
                <w:rFonts w:eastAsia="Times New Roman" w:cs="Arial"/>
                <w:b/>
                <w:sz w:val="20"/>
                <w:szCs w:val="20"/>
                <w:u w:val="single"/>
                <w:lang w:eastAsia="en-AU"/>
              </w:rPr>
            </w:pPr>
            <w:r w:rsidRPr="00853E17">
              <w:rPr>
                <w:rFonts w:eastAsia="Times New Roman" w:cs="Arial"/>
                <w:b/>
                <w:sz w:val="20"/>
                <w:szCs w:val="20"/>
                <w:u w:val="single"/>
                <w:lang w:eastAsia="en-AU"/>
              </w:rPr>
              <w:t>General Management</w:t>
            </w:r>
          </w:p>
          <w:p w14:paraId="64154D2B" w14:textId="77777777" w:rsidR="00853E17" w:rsidRPr="00853E17" w:rsidRDefault="00853E17" w:rsidP="00853E17">
            <w:pPr>
              <w:spacing w:before="60" w:after="60"/>
              <w:rPr>
                <w:rFonts w:eastAsia="Times New Roman" w:cs="Arial"/>
                <w:sz w:val="20"/>
                <w:szCs w:val="20"/>
                <w:lang w:eastAsia="en-AU"/>
              </w:rPr>
            </w:pPr>
            <w:r w:rsidRPr="00853E17">
              <w:rPr>
                <w:rFonts w:eastAsia="Times New Roman" w:cs="Arial"/>
                <w:sz w:val="20"/>
                <w:szCs w:val="20"/>
                <w:lang w:eastAsia="en-AU"/>
              </w:rPr>
              <w:t xml:space="preserve">Export decisions relate to the management arrangements in force at the time of any decision(s) made under the </w:t>
            </w:r>
            <w:r w:rsidRPr="00853E17">
              <w:rPr>
                <w:rFonts w:eastAsia="Times New Roman" w:cs="Arial"/>
                <w:i/>
                <w:iCs/>
                <w:sz w:val="20"/>
                <w:szCs w:val="20"/>
                <w:lang w:eastAsia="en-AU"/>
              </w:rPr>
              <w:t>Environment Protection and Biodiversity Conservation Act 1999</w:t>
            </w:r>
            <w:r w:rsidRPr="00853E17">
              <w:rPr>
                <w:rFonts w:eastAsia="Times New Roman" w:cs="Arial"/>
                <w:sz w:val="20"/>
                <w:szCs w:val="20"/>
                <w:lang w:eastAsia="en-AU"/>
              </w:rPr>
              <w:t xml:space="preserve"> (EPBC Act). </w:t>
            </w:r>
          </w:p>
          <w:p w14:paraId="203E69DA" w14:textId="77777777" w:rsidR="00853E17" w:rsidRPr="00853E17" w:rsidRDefault="00853E17" w:rsidP="00853E17">
            <w:pPr>
              <w:spacing w:before="60" w:after="60"/>
              <w:rPr>
                <w:rFonts w:eastAsia="Times New Roman" w:cs="Arial"/>
                <w:sz w:val="20"/>
                <w:szCs w:val="20"/>
                <w:lang w:eastAsia="en-AU"/>
              </w:rPr>
            </w:pPr>
          </w:p>
          <w:p w14:paraId="156F9402" w14:textId="77777777" w:rsidR="00853E17" w:rsidRPr="00853E17" w:rsidRDefault="00853E17" w:rsidP="00853E17">
            <w:pPr>
              <w:spacing w:before="60" w:after="60"/>
              <w:rPr>
                <w:rFonts w:eastAsia="Times New Roman" w:cs="Arial"/>
                <w:sz w:val="20"/>
                <w:szCs w:val="20"/>
                <w:lang w:eastAsia="en-AU"/>
              </w:rPr>
            </w:pPr>
            <w:r w:rsidRPr="00853E17">
              <w:rPr>
                <w:rFonts w:eastAsia="Times New Roman" w:cs="Arial"/>
                <w:sz w:val="20"/>
                <w:szCs w:val="20"/>
                <w:lang w:eastAsia="en-AU"/>
              </w:rPr>
              <w:t xml:space="preserve">To ensure that the decision(s) remain valid and export approval continues uninterrupted, the Department of Agriculture, Water and the Environment (the department) needs to be advised of any changes that are made to the management regime. This will allow it to assess whether the new arrangements are equivalent to, or better, in terms of ecological sustainability, than those in place at the time of the original decision(s). </w:t>
            </w:r>
          </w:p>
          <w:p w14:paraId="748DD2F6" w14:textId="77777777" w:rsidR="00853E17" w:rsidRPr="00853E17" w:rsidRDefault="00853E17" w:rsidP="00853E17">
            <w:pPr>
              <w:spacing w:before="60" w:after="60"/>
              <w:rPr>
                <w:rFonts w:eastAsia="Times New Roman" w:cs="Arial"/>
                <w:sz w:val="20"/>
                <w:szCs w:val="20"/>
                <w:lang w:eastAsia="en-AU"/>
              </w:rPr>
            </w:pPr>
          </w:p>
          <w:p w14:paraId="0B1B86F5" w14:textId="0E48BE5F" w:rsidR="00417DFC" w:rsidRPr="00887241" w:rsidRDefault="00853E17" w:rsidP="00211477">
            <w:pPr>
              <w:spacing w:before="60" w:after="60" w:line="276" w:lineRule="auto"/>
              <w:contextualSpacing/>
              <w:rPr>
                <w:rFonts w:cs="Arial"/>
                <w:sz w:val="20"/>
                <w:szCs w:val="20"/>
              </w:rPr>
            </w:pPr>
            <w:r w:rsidRPr="00853E17">
              <w:rPr>
                <w:rFonts w:eastAsia="Times New Roman" w:cs="Arial"/>
                <w:sz w:val="20"/>
                <w:szCs w:val="20"/>
                <w:lang w:eastAsia="en-AU"/>
              </w:rPr>
              <w:t>This includes any operational and legislated amendments that may affect the sustainability of the target species or negatively impact on byproduct, bycatch, EPBC Act protected species or the ecosystem.</w:t>
            </w:r>
          </w:p>
        </w:tc>
        <w:tc>
          <w:tcPr>
            <w:tcW w:w="2500" w:type="pct"/>
          </w:tcPr>
          <w:p w14:paraId="2CF9EF3B" w14:textId="1A393ED3" w:rsidR="00967CEC" w:rsidRPr="003B6F0C" w:rsidRDefault="00967CEC" w:rsidP="00211477">
            <w:pPr>
              <w:spacing w:before="60" w:after="60" w:line="276" w:lineRule="auto"/>
              <w:contextualSpacing/>
              <w:rPr>
                <w:rFonts w:cs="Arial"/>
                <w:b/>
                <w:bCs/>
                <w:iCs/>
                <w:sz w:val="20"/>
                <w:szCs w:val="20"/>
              </w:rPr>
            </w:pPr>
            <w:r w:rsidRPr="003B6F0C">
              <w:rPr>
                <w:rFonts w:cs="Arial"/>
                <w:b/>
                <w:bCs/>
                <w:iCs/>
                <w:sz w:val="20"/>
                <w:szCs w:val="20"/>
              </w:rPr>
              <w:t xml:space="preserve">Condition </w:t>
            </w:r>
            <w:r w:rsidR="00350D7C">
              <w:rPr>
                <w:rFonts w:cs="Arial"/>
                <w:b/>
                <w:bCs/>
                <w:iCs/>
                <w:sz w:val="20"/>
                <w:szCs w:val="20"/>
              </w:rPr>
              <w:t>1</w:t>
            </w:r>
            <w:r w:rsidR="004D7030" w:rsidRPr="003B6F0C">
              <w:rPr>
                <w:rFonts w:cs="Arial"/>
                <w:b/>
                <w:bCs/>
                <w:iCs/>
                <w:sz w:val="20"/>
                <w:szCs w:val="20"/>
              </w:rPr>
              <w:t>:</w:t>
            </w:r>
          </w:p>
          <w:p w14:paraId="407B8308" w14:textId="18F0FA3D" w:rsidR="00967CEC" w:rsidRPr="003B6F0C" w:rsidRDefault="00967CEC" w:rsidP="00211477">
            <w:pPr>
              <w:spacing w:before="60" w:after="60" w:line="276" w:lineRule="auto"/>
              <w:contextualSpacing/>
              <w:rPr>
                <w:rFonts w:cs="Arial"/>
                <w:iCs/>
                <w:sz w:val="20"/>
                <w:szCs w:val="20"/>
              </w:rPr>
            </w:pPr>
            <w:r w:rsidRPr="003B6F0C">
              <w:rPr>
                <w:rFonts w:cs="Arial"/>
                <w:iCs/>
                <w:sz w:val="20"/>
                <w:szCs w:val="20"/>
              </w:rPr>
              <w:t>The export of syngnathid species is restricted to specimens held or taken under</w:t>
            </w:r>
            <w:r w:rsidR="00E33180" w:rsidRPr="003B6F0C">
              <w:rPr>
                <w:rFonts w:cs="Arial"/>
                <w:iCs/>
                <w:sz w:val="20"/>
                <w:szCs w:val="20"/>
              </w:rPr>
              <w:t xml:space="preserve"> permits issued by the Victorian Fisheries Authority, and offspring of these specimens.</w:t>
            </w:r>
          </w:p>
          <w:p w14:paraId="571B1C9E" w14:textId="77777777" w:rsidR="00417DFC" w:rsidRPr="00AF13E5" w:rsidRDefault="00417DFC" w:rsidP="00211477">
            <w:pPr>
              <w:spacing w:before="60" w:after="60" w:line="276" w:lineRule="auto"/>
              <w:contextualSpacing/>
              <w:rPr>
                <w:rFonts w:cs="Arial"/>
                <w:sz w:val="20"/>
                <w:szCs w:val="20"/>
                <w:highlight w:val="yellow"/>
              </w:rPr>
            </w:pPr>
          </w:p>
          <w:p w14:paraId="1DE79D83" w14:textId="2EB5519F" w:rsidR="00853E17" w:rsidRPr="00853E17" w:rsidRDefault="00853E17" w:rsidP="00853E17">
            <w:pPr>
              <w:spacing w:before="60" w:after="60" w:line="276" w:lineRule="auto"/>
              <w:rPr>
                <w:rFonts w:eastAsia="Times New Roman" w:cs="Arial"/>
                <w:sz w:val="20"/>
                <w:szCs w:val="20"/>
                <w:lang w:eastAsia="en-AU"/>
              </w:rPr>
            </w:pPr>
            <w:r w:rsidRPr="00853E17">
              <w:rPr>
                <w:rFonts w:eastAsia="Times New Roman" w:cs="Arial"/>
                <w:b/>
                <w:sz w:val="20"/>
                <w:szCs w:val="20"/>
                <w:lang w:eastAsia="en-AU"/>
              </w:rPr>
              <w:t xml:space="preserve">Condition </w:t>
            </w:r>
            <w:r w:rsidR="00350D7C">
              <w:rPr>
                <w:rFonts w:eastAsia="Times New Roman" w:cs="Arial"/>
                <w:b/>
                <w:sz w:val="20"/>
                <w:szCs w:val="20"/>
                <w:lang w:eastAsia="en-AU"/>
              </w:rPr>
              <w:t>2</w:t>
            </w:r>
            <w:r w:rsidRPr="00853E17">
              <w:rPr>
                <w:rFonts w:eastAsia="Times New Roman" w:cs="Arial"/>
                <w:b/>
                <w:sz w:val="20"/>
                <w:szCs w:val="20"/>
                <w:lang w:eastAsia="en-AU"/>
              </w:rPr>
              <w:t>:</w:t>
            </w:r>
            <w:r w:rsidRPr="00853E17">
              <w:rPr>
                <w:rFonts w:eastAsia="Times New Roman" w:cs="Arial"/>
                <w:sz w:val="20"/>
                <w:szCs w:val="20"/>
                <w:lang w:eastAsia="en-AU"/>
              </w:rPr>
              <w:t xml:space="preserve">  </w:t>
            </w:r>
          </w:p>
          <w:p w14:paraId="643A29C7" w14:textId="32E2F24F" w:rsidR="00853E17" w:rsidRDefault="00853E17" w:rsidP="00853E17">
            <w:pPr>
              <w:spacing w:before="60" w:after="60" w:line="276" w:lineRule="auto"/>
              <w:rPr>
                <w:rFonts w:eastAsia="Times New Roman" w:cs="Arial"/>
                <w:sz w:val="20"/>
                <w:szCs w:val="20"/>
                <w:lang w:eastAsia="en-AU"/>
              </w:rPr>
            </w:pPr>
            <w:r w:rsidRPr="00853E17">
              <w:rPr>
                <w:rFonts w:eastAsia="Times New Roman" w:cs="Arial"/>
                <w:sz w:val="20"/>
                <w:szCs w:val="20"/>
                <w:lang w:eastAsia="en-AU"/>
              </w:rPr>
              <w:t xml:space="preserve">The operation of the Victorian PQ Aquatics Syngnathids Wildlife Trade Operation must be carried out in accordance with the management arrangements specified </w:t>
            </w:r>
            <w:r>
              <w:rPr>
                <w:rFonts w:eastAsia="Times New Roman" w:cs="Arial"/>
                <w:sz w:val="20"/>
                <w:szCs w:val="20"/>
                <w:lang w:eastAsia="en-AU"/>
              </w:rPr>
              <w:t>by the</w:t>
            </w:r>
            <w:r w:rsidRPr="00853E17">
              <w:rPr>
                <w:rFonts w:eastAsia="Times New Roman" w:cs="Arial"/>
                <w:sz w:val="20"/>
                <w:szCs w:val="20"/>
                <w:lang w:eastAsia="en-AU"/>
              </w:rPr>
              <w:t xml:space="preserve"> </w:t>
            </w:r>
            <w:r w:rsidRPr="008208D0">
              <w:rPr>
                <w:rFonts w:eastAsia="Times New Roman" w:cs="Arial"/>
                <w:sz w:val="20"/>
                <w:szCs w:val="20"/>
                <w:lang w:eastAsia="en-AU"/>
              </w:rPr>
              <w:t>Victorian Fisheries Authority.</w:t>
            </w:r>
          </w:p>
          <w:p w14:paraId="47769ECF" w14:textId="77777777" w:rsidR="000759AE" w:rsidRPr="00853E17" w:rsidRDefault="000759AE" w:rsidP="00853E17">
            <w:pPr>
              <w:spacing w:before="60" w:after="60" w:line="276" w:lineRule="auto"/>
              <w:rPr>
                <w:rFonts w:eastAsia="Times New Roman" w:cs="Arial"/>
                <w:b/>
                <w:sz w:val="20"/>
                <w:szCs w:val="20"/>
                <w:lang w:eastAsia="en-AU"/>
              </w:rPr>
            </w:pPr>
          </w:p>
          <w:p w14:paraId="2661AE22" w14:textId="60B76E68" w:rsidR="00853E17" w:rsidRPr="00853E17" w:rsidRDefault="00853E17" w:rsidP="00853E17">
            <w:pPr>
              <w:tabs>
                <w:tab w:val="left" w:pos="360"/>
              </w:tabs>
              <w:spacing w:before="60" w:after="60" w:line="276" w:lineRule="auto"/>
              <w:rPr>
                <w:rFonts w:eastAsia="Times New Roman" w:cs="Arial"/>
                <w:b/>
                <w:sz w:val="20"/>
                <w:szCs w:val="20"/>
                <w:lang w:eastAsia="en-AU"/>
              </w:rPr>
            </w:pPr>
            <w:r w:rsidRPr="00853E17">
              <w:rPr>
                <w:rFonts w:eastAsia="Times New Roman" w:cs="Arial"/>
                <w:b/>
                <w:sz w:val="20"/>
                <w:szCs w:val="20"/>
                <w:lang w:eastAsia="en-AU"/>
              </w:rPr>
              <w:t xml:space="preserve">Condition </w:t>
            </w:r>
            <w:r w:rsidR="00350D7C">
              <w:rPr>
                <w:rFonts w:eastAsia="Times New Roman" w:cs="Arial"/>
                <w:b/>
                <w:sz w:val="20"/>
                <w:szCs w:val="20"/>
                <w:lang w:eastAsia="en-AU"/>
              </w:rPr>
              <w:t>3</w:t>
            </w:r>
            <w:r w:rsidRPr="00853E17">
              <w:rPr>
                <w:rFonts w:eastAsia="Times New Roman" w:cs="Arial"/>
                <w:b/>
                <w:sz w:val="20"/>
                <w:szCs w:val="20"/>
                <w:lang w:eastAsia="en-AU"/>
              </w:rPr>
              <w:t>:</w:t>
            </w:r>
          </w:p>
          <w:p w14:paraId="0C6204FA" w14:textId="0826D746" w:rsidR="00853E17" w:rsidRPr="00853E17" w:rsidRDefault="00853E17" w:rsidP="00853E17">
            <w:pPr>
              <w:spacing w:before="60" w:after="60" w:line="276" w:lineRule="auto"/>
              <w:contextualSpacing/>
              <w:rPr>
                <w:rFonts w:eastAsia="Times New Roman" w:cs="Arial"/>
                <w:sz w:val="20"/>
                <w:szCs w:val="20"/>
                <w:lang w:eastAsia="en-AU"/>
              </w:rPr>
            </w:pPr>
            <w:r w:rsidRPr="00853E17">
              <w:rPr>
                <w:rFonts w:eastAsia="Times New Roman" w:cs="Arial"/>
                <w:sz w:val="20"/>
                <w:szCs w:val="20"/>
                <w:lang w:eastAsia="en-AU"/>
              </w:rPr>
              <w:t xml:space="preserve">PQ Aquatics must inform the Department of Agriculture, Water and the Environment of any intended material changes to the </w:t>
            </w:r>
            <w:r w:rsidR="00350D7C">
              <w:rPr>
                <w:rFonts w:eastAsia="Times New Roman" w:cs="Arial"/>
                <w:sz w:val="20"/>
                <w:szCs w:val="20"/>
                <w:lang w:eastAsia="en-AU"/>
              </w:rPr>
              <w:t>o</w:t>
            </w:r>
            <w:r w:rsidRPr="00853E17">
              <w:rPr>
                <w:rFonts w:eastAsia="Times New Roman" w:cs="Arial"/>
                <w:sz w:val="20"/>
                <w:szCs w:val="20"/>
                <w:lang w:eastAsia="en-AU"/>
              </w:rPr>
              <w:t>peration</w:t>
            </w:r>
            <w:r w:rsidR="00350D7C">
              <w:rPr>
                <w:rFonts w:eastAsia="Times New Roman" w:cs="Arial"/>
                <w:sz w:val="20"/>
                <w:szCs w:val="20"/>
                <w:lang w:eastAsia="en-AU"/>
              </w:rPr>
              <w:t>’s</w:t>
            </w:r>
            <w:r w:rsidRPr="00853E17">
              <w:rPr>
                <w:rFonts w:eastAsia="Times New Roman" w:cs="Arial"/>
                <w:sz w:val="20"/>
                <w:szCs w:val="20"/>
                <w:lang w:eastAsia="en-AU"/>
              </w:rPr>
              <w:t xml:space="preserve"> management arrangements that may affect the assessment against which </w:t>
            </w:r>
            <w:r w:rsidRPr="00853E17">
              <w:rPr>
                <w:rFonts w:eastAsia="Times New Roman" w:cs="Arial"/>
                <w:i/>
                <w:iCs/>
                <w:sz w:val="20"/>
                <w:szCs w:val="20"/>
                <w:lang w:eastAsia="en-AU"/>
              </w:rPr>
              <w:t>Environment Protection and Biodiversity Conservation Act 1999</w:t>
            </w:r>
            <w:r w:rsidRPr="00853E17">
              <w:rPr>
                <w:rFonts w:eastAsia="Times New Roman" w:cs="Arial"/>
                <w:sz w:val="20"/>
                <w:szCs w:val="20"/>
                <w:lang w:eastAsia="en-AU"/>
              </w:rPr>
              <w:t xml:space="preserve"> decisions are made.</w:t>
            </w:r>
          </w:p>
          <w:p w14:paraId="2765AE42" w14:textId="77777777" w:rsidR="00853E17" w:rsidRPr="00853E17" w:rsidRDefault="00853E17" w:rsidP="00853E17">
            <w:pPr>
              <w:spacing w:before="60" w:after="60" w:line="276" w:lineRule="auto"/>
              <w:contextualSpacing/>
              <w:rPr>
                <w:rFonts w:eastAsia="Times New Roman" w:cs="Arial"/>
                <w:sz w:val="20"/>
                <w:szCs w:val="20"/>
                <w:lang w:eastAsia="en-AU"/>
              </w:rPr>
            </w:pPr>
          </w:p>
          <w:p w14:paraId="02DADFBD" w14:textId="1BEC0DE7" w:rsidR="00853E17" w:rsidRPr="00853E17" w:rsidRDefault="00853E17" w:rsidP="00853E17">
            <w:pPr>
              <w:tabs>
                <w:tab w:val="left" w:pos="360"/>
              </w:tabs>
              <w:spacing w:before="60" w:after="60" w:line="276" w:lineRule="auto"/>
              <w:rPr>
                <w:rFonts w:eastAsia="Times New Roman" w:cs="Arial"/>
                <w:b/>
                <w:sz w:val="20"/>
                <w:szCs w:val="20"/>
                <w:lang w:eastAsia="en-AU"/>
              </w:rPr>
            </w:pPr>
            <w:r w:rsidRPr="00853E17">
              <w:rPr>
                <w:rFonts w:eastAsia="Times New Roman" w:cs="Arial"/>
                <w:b/>
                <w:sz w:val="20"/>
                <w:szCs w:val="20"/>
                <w:lang w:eastAsia="en-AU"/>
              </w:rPr>
              <w:t xml:space="preserve">Condition </w:t>
            </w:r>
            <w:r w:rsidR="00350D7C">
              <w:rPr>
                <w:rFonts w:eastAsia="Times New Roman" w:cs="Arial"/>
                <w:b/>
                <w:sz w:val="20"/>
                <w:szCs w:val="20"/>
                <w:lang w:eastAsia="en-AU"/>
              </w:rPr>
              <w:t>4</w:t>
            </w:r>
            <w:r w:rsidRPr="00853E17">
              <w:rPr>
                <w:rFonts w:eastAsia="Times New Roman" w:cs="Arial"/>
                <w:b/>
                <w:sz w:val="20"/>
                <w:szCs w:val="20"/>
                <w:lang w:eastAsia="en-AU"/>
              </w:rPr>
              <w:t>:</w:t>
            </w:r>
          </w:p>
          <w:p w14:paraId="21C60D42" w14:textId="7708331F" w:rsidR="00853E17" w:rsidRPr="00853E17" w:rsidRDefault="00853E17" w:rsidP="00853E17">
            <w:pPr>
              <w:spacing w:before="0" w:after="0"/>
              <w:rPr>
                <w:rFonts w:eastAsia="Times New Roman" w:cs="Arial"/>
                <w:sz w:val="20"/>
                <w:szCs w:val="20"/>
                <w:lang w:eastAsia="en-AU"/>
              </w:rPr>
            </w:pPr>
            <w:r w:rsidRPr="00853E17">
              <w:rPr>
                <w:rFonts w:eastAsia="Times New Roman" w:cs="Arial"/>
                <w:sz w:val="20"/>
                <w:szCs w:val="20"/>
                <w:lang w:eastAsia="en-AU"/>
              </w:rPr>
              <w:t>PQ Aquatics must inform the Department of Agriculture, Water and the Environment of any intended changes to fisheries legislation that may affect the legislative instruments relevant to this approval.</w:t>
            </w:r>
          </w:p>
          <w:p w14:paraId="33C969C0" w14:textId="36333618" w:rsidR="00853E17" w:rsidRPr="00887241" w:rsidRDefault="00853E17" w:rsidP="00211477">
            <w:pPr>
              <w:spacing w:before="60" w:after="60" w:line="276" w:lineRule="auto"/>
              <w:contextualSpacing/>
              <w:rPr>
                <w:rFonts w:cs="Arial"/>
                <w:b/>
                <w:color w:val="3366FF"/>
                <w:sz w:val="20"/>
                <w:szCs w:val="20"/>
              </w:rPr>
            </w:pPr>
          </w:p>
        </w:tc>
      </w:tr>
      <w:tr w:rsidR="00417DFC" w:rsidRPr="00887241" w14:paraId="6EB4CB05" w14:textId="77777777" w:rsidTr="00211477">
        <w:trPr>
          <w:jc w:val="center"/>
        </w:trPr>
        <w:tc>
          <w:tcPr>
            <w:tcW w:w="2500" w:type="pct"/>
          </w:tcPr>
          <w:p w14:paraId="56F823E2" w14:textId="77777777" w:rsidR="00417DFC" w:rsidRPr="00887241" w:rsidRDefault="00417DFC" w:rsidP="00211477">
            <w:pPr>
              <w:spacing w:before="60" w:after="60" w:line="276" w:lineRule="auto"/>
              <w:contextualSpacing/>
              <w:rPr>
                <w:rFonts w:cs="Arial"/>
                <w:b/>
                <w:sz w:val="20"/>
                <w:szCs w:val="20"/>
              </w:rPr>
            </w:pPr>
            <w:r w:rsidRPr="00887241">
              <w:rPr>
                <w:rFonts w:cs="Arial"/>
                <w:b/>
                <w:sz w:val="20"/>
                <w:szCs w:val="20"/>
                <w:u w:val="single"/>
              </w:rPr>
              <w:t>Annual Reporting</w:t>
            </w:r>
            <w:r w:rsidRPr="00887241">
              <w:rPr>
                <w:rFonts w:cs="Arial"/>
                <w:b/>
                <w:sz w:val="20"/>
                <w:szCs w:val="20"/>
              </w:rPr>
              <w:t xml:space="preserve"> </w:t>
            </w:r>
          </w:p>
          <w:p w14:paraId="08857D41" w14:textId="162265FB" w:rsidR="00417DFC" w:rsidRPr="00887241" w:rsidRDefault="00417DFC" w:rsidP="00211477">
            <w:pPr>
              <w:spacing w:before="60" w:after="60" w:line="276" w:lineRule="auto"/>
              <w:contextualSpacing/>
              <w:rPr>
                <w:rFonts w:cs="Arial"/>
                <w:sz w:val="20"/>
                <w:szCs w:val="20"/>
              </w:rPr>
            </w:pPr>
            <w:r w:rsidRPr="00887241">
              <w:rPr>
                <w:rFonts w:cs="Arial"/>
                <w:sz w:val="20"/>
                <w:szCs w:val="20"/>
              </w:rPr>
              <w:t xml:space="preserve">It is important that </w:t>
            </w:r>
            <w:r w:rsidR="00831D68">
              <w:rPr>
                <w:rFonts w:cs="Arial"/>
                <w:sz w:val="20"/>
                <w:szCs w:val="20"/>
              </w:rPr>
              <w:t xml:space="preserve">Victorian </w:t>
            </w:r>
            <w:r w:rsidR="000709F4">
              <w:rPr>
                <w:rFonts w:cs="Arial"/>
                <w:sz w:val="20"/>
                <w:szCs w:val="20"/>
              </w:rPr>
              <w:t>PQ Aquatics Syngnathids Wildlife Trade Operation</w:t>
            </w:r>
            <w:r w:rsidRPr="00887241">
              <w:rPr>
                <w:rFonts w:cs="Arial"/>
                <w:sz w:val="20"/>
                <w:szCs w:val="20"/>
              </w:rPr>
              <w:t xml:space="preserve"> present</w:t>
            </w:r>
            <w:r w:rsidR="00D0270D">
              <w:rPr>
                <w:rFonts w:cs="Arial"/>
                <w:sz w:val="20"/>
                <w:szCs w:val="20"/>
              </w:rPr>
              <w:t>s</w:t>
            </w:r>
            <w:r w:rsidRPr="00887241">
              <w:rPr>
                <w:rFonts w:cs="Arial"/>
                <w:sz w:val="20"/>
                <w:szCs w:val="20"/>
              </w:rPr>
              <w:t xml:space="preserve"> </w:t>
            </w:r>
            <w:r w:rsidR="00831D68">
              <w:rPr>
                <w:rFonts w:cs="Arial"/>
                <w:sz w:val="20"/>
                <w:szCs w:val="20"/>
              </w:rPr>
              <w:t xml:space="preserve">annual </w:t>
            </w:r>
            <w:r w:rsidRPr="00887241">
              <w:rPr>
                <w:rFonts w:cs="Arial"/>
                <w:sz w:val="20"/>
                <w:szCs w:val="20"/>
              </w:rPr>
              <w:t xml:space="preserve">reports </w:t>
            </w:r>
            <w:r w:rsidR="00831D68">
              <w:rPr>
                <w:rFonts w:cs="Arial"/>
                <w:sz w:val="20"/>
                <w:szCs w:val="20"/>
              </w:rPr>
              <w:t>s</w:t>
            </w:r>
            <w:r w:rsidRPr="00887241">
              <w:rPr>
                <w:rFonts w:cs="Arial"/>
                <w:sz w:val="20"/>
                <w:szCs w:val="20"/>
              </w:rPr>
              <w:t xml:space="preserve">o the </w:t>
            </w:r>
            <w:r w:rsidR="00350D7C" w:rsidRPr="00831D68">
              <w:rPr>
                <w:rFonts w:cs="Arial"/>
                <w:sz w:val="20"/>
                <w:szCs w:val="20"/>
              </w:rPr>
              <w:t>d</w:t>
            </w:r>
            <w:r w:rsidRPr="00831D68">
              <w:rPr>
                <w:rFonts w:cs="Arial"/>
                <w:sz w:val="20"/>
                <w:szCs w:val="20"/>
              </w:rPr>
              <w:t>epartment</w:t>
            </w:r>
            <w:r w:rsidR="00831D68" w:rsidRPr="00831D68">
              <w:rPr>
                <w:rFonts w:cs="Arial"/>
                <w:sz w:val="20"/>
                <w:szCs w:val="20"/>
              </w:rPr>
              <w:t xml:space="preserve"> can</w:t>
            </w:r>
            <w:r w:rsidR="0023738C" w:rsidRPr="00831D68">
              <w:rPr>
                <w:rFonts w:cs="Arial"/>
                <w:sz w:val="20"/>
                <w:szCs w:val="20"/>
              </w:rPr>
              <w:t xml:space="preserve"> monitor </w:t>
            </w:r>
            <w:r w:rsidRPr="00831D68">
              <w:rPr>
                <w:rFonts w:cs="Arial"/>
                <w:sz w:val="20"/>
                <w:szCs w:val="20"/>
              </w:rPr>
              <w:t>the performance of the fishery</w:t>
            </w:r>
            <w:r w:rsidR="0023738C" w:rsidRPr="00831D68">
              <w:rPr>
                <w:rFonts w:cs="Arial"/>
                <w:sz w:val="20"/>
                <w:szCs w:val="20"/>
              </w:rPr>
              <w:t>,</w:t>
            </w:r>
            <w:r w:rsidRPr="00831D68">
              <w:rPr>
                <w:rFonts w:cs="Arial"/>
                <w:sz w:val="20"/>
                <w:szCs w:val="20"/>
              </w:rPr>
              <w:t xml:space="preserve"> and </w:t>
            </w:r>
            <w:r w:rsidR="0023738C" w:rsidRPr="00831D68">
              <w:rPr>
                <w:rFonts w:cs="Arial"/>
                <w:sz w:val="20"/>
                <w:szCs w:val="20"/>
              </w:rPr>
              <w:t>the applicant’s</w:t>
            </w:r>
            <w:r w:rsidR="0023738C">
              <w:rPr>
                <w:rFonts w:cs="Arial"/>
                <w:sz w:val="20"/>
                <w:szCs w:val="20"/>
              </w:rPr>
              <w:t xml:space="preserve"> </w:t>
            </w:r>
            <w:r w:rsidRPr="0004368E">
              <w:rPr>
                <w:rFonts w:cs="Arial"/>
                <w:sz w:val="20"/>
                <w:szCs w:val="20"/>
              </w:rPr>
              <w:t>progress in implementing the conditions and recommendations described in this report</w:t>
            </w:r>
            <w:r w:rsidR="0004368E">
              <w:rPr>
                <w:rFonts w:cs="Arial"/>
                <w:sz w:val="20"/>
                <w:szCs w:val="20"/>
              </w:rPr>
              <w:t>;</w:t>
            </w:r>
            <w:r w:rsidRPr="0004368E">
              <w:rPr>
                <w:rFonts w:cs="Arial"/>
                <w:sz w:val="20"/>
                <w:szCs w:val="20"/>
              </w:rPr>
              <w:t xml:space="preserve"> and other managerial commitments to be monitored and assessed throughout the life of the export approval.</w:t>
            </w:r>
            <w:r w:rsidRPr="00887241">
              <w:rPr>
                <w:rFonts w:cs="Arial"/>
                <w:sz w:val="20"/>
                <w:szCs w:val="20"/>
              </w:rPr>
              <w:t xml:space="preserve"> Annual reports should follow Appendix B to the </w:t>
            </w:r>
            <w:r w:rsidRPr="004D5B08">
              <w:rPr>
                <w:rFonts w:cs="Arial"/>
                <w:i/>
                <w:iCs/>
                <w:sz w:val="20"/>
                <w:szCs w:val="20"/>
              </w:rPr>
              <w:t xml:space="preserve">Guidelines for the Ecologically Sustainable Management of Fisheries </w:t>
            </w:r>
            <w:r w:rsidR="0054081E">
              <w:rPr>
                <w:rFonts w:cs="Arial"/>
                <w:i/>
                <w:iCs/>
                <w:sz w:val="20"/>
                <w:szCs w:val="20"/>
              </w:rPr>
              <w:t>–</w:t>
            </w:r>
            <w:r w:rsidRPr="004D5B08">
              <w:rPr>
                <w:rFonts w:cs="Arial"/>
                <w:i/>
                <w:iCs/>
                <w:sz w:val="20"/>
                <w:szCs w:val="20"/>
              </w:rPr>
              <w:t xml:space="preserve"> 2nd Edition</w:t>
            </w:r>
            <w:r w:rsidR="004D5B08">
              <w:rPr>
                <w:rFonts w:cs="Arial"/>
                <w:noProof/>
                <w:sz w:val="20"/>
                <w:szCs w:val="20"/>
              </w:rPr>
              <w:t xml:space="preserve"> </w:t>
            </w:r>
            <w:r w:rsidRPr="00887241">
              <w:rPr>
                <w:rFonts w:cs="Arial"/>
                <w:sz w:val="20"/>
                <w:szCs w:val="20"/>
              </w:rPr>
              <w:t>and include a description of the fishery, management arrangements in place, research and monitoring outcomes, recent catch data for all sectors of the fishery, status of target stock, interactions with species</w:t>
            </w:r>
            <w:r w:rsidR="00E04897">
              <w:rPr>
                <w:rFonts w:cs="Arial"/>
                <w:sz w:val="20"/>
                <w:szCs w:val="20"/>
              </w:rPr>
              <w:t xml:space="preserve"> </w:t>
            </w:r>
            <w:r w:rsidR="00E04897" w:rsidRPr="00887241">
              <w:rPr>
                <w:rFonts w:cs="Arial"/>
                <w:sz w:val="20"/>
                <w:szCs w:val="20"/>
              </w:rPr>
              <w:t xml:space="preserve">protected </w:t>
            </w:r>
            <w:r w:rsidR="00E04897">
              <w:rPr>
                <w:rFonts w:cs="Arial"/>
                <w:sz w:val="20"/>
                <w:szCs w:val="20"/>
              </w:rPr>
              <w:t xml:space="preserve">under the </w:t>
            </w:r>
            <w:r w:rsidR="00E04897" w:rsidRPr="00887241">
              <w:rPr>
                <w:rFonts w:cs="Arial"/>
                <w:sz w:val="20"/>
                <w:szCs w:val="20"/>
              </w:rPr>
              <w:t>EPBC Act</w:t>
            </w:r>
            <w:r w:rsidRPr="00887241">
              <w:rPr>
                <w:rFonts w:cs="Arial"/>
                <w:sz w:val="20"/>
                <w:szCs w:val="20"/>
              </w:rPr>
              <w:t xml:space="preserve">, impacts of the fishery on the ecosystem in which it operates and progress in implementing the </w:t>
            </w:r>
            <w:r w:rsidR="00D0270D">
              <w:rPr>
                <w:rFonts w:cs="Arial"/>
                <w:sz w:val="20"/>
                <w:szCs w:val="20"/>
              </w:rPr>
              <w:t>d</w:t>
            </w:r>
            <w:r w:rsidRPr="00887241">
              <w:rPr>
                <w:rFonts w:cs="Arial"/>
                <w:sz w:val="20"/>
                <w:szCs w:val="20"/>
              </w:rPr>
              <w:t xml:space="preserve">epartment’s </w:t>
            </w:r>
            <w:r w:rsidRPr="009B58D0">
              <w:rPr>
                <w:rFonts w:cs="Arial"/>
                <w:sz w:val="20"/>
                <w:szCs w:val="20"/>
              </w:rPr>
              <w:t xml:space="preserve">conditions and recommendations described in the previous assessment </w:t>
            </w:r>
            <w:r w:rsidR="00E04897">
              <w:rPr>
                <w:rFonts w:cs="Arial"/>
                <w:sz w:val="20"/>
                <w:szCs w:val="20"/>
              </w:rPr>
              <w:t>of</w:t>
            </w:r>
            <w:r w:rsidRPr="009B58D0">
              <w:rPr>
                <w:rFonts w:cs="Arial"/>
                <w:sz w:val="20"/>
                <w:szCs w:val="20"/>
              </w:rPr>
              <w:t xml:space="preserve"> the fishery.</w:t>
            </w:r>
            <w:r w:rsidRPr="00887241">
              <w:rPr>
                <w:rFonts w:cs="Arial"/>
                <w:sz w:val="20"/>
                <w:szCs w:val="20"/>
              </w:rPr>
              <w:t xml:space="preserve"> Electronic copies of the guidelines are available from the </w:t>
            </w:r>
            <w:r w:rsidR="00D0270D">
              <w:rPr>
                <w:rFonts w:cs="Arial"/>
                <w:sz w:val="20"/>
                <w:szCs w:val="20"/>
              </w:rPr>
              <w:t>d</w:t>
            </w:r>
            <w:r w:rsidRPr="00887241">
              <w:rPr>
                <w:rFonts w:cs="Arial"/>
                <w:sz w:val="20"/>
                <w:szCs w:val="20"/>
              </w:rPr>
              <w:t xml:space="preserve">epartment’s website at </w:t>
            </w:r>
            <w:hyperlink r:id="rId17" w:history="1">
              <w:r w:rsidRPr="00887241">
                <w:rPr>
                  <w:rStyle w:val="Hyperlink"/>
                  <w:rFonts w:cs="Arial"/>
                  <w:sz w:val="20"/>
                  <w:szCs w:val="20"/>
                </w:rPr>
                <w:t>http://www.environment.gov.au/resource/guidelines-ecologically-sustainable-management-fisheries</w:t>
              </w:r>
            </w:hyperlink>
            <w:r w:rsidRPr="00887241">
              <w:rPr>
                <w:rFonts w:cs="Arial"/>
                <w:sz w:val="20"/>
                <w:szCs w:val="20"/>
              </w:rPr>
              <w:t xml:space="preserve">. </w:t>
            </w:r>
          </w:p>
          <w:p w14:paraId="0422EC86" w14:textId="77777777" w:rsidR="00417DFC" w:rsidRPr="00887241" w:rsidRDefault="00417DFC" w:rsidP="00211477">
            <w:pPr>
              <w:spacing w:before="60" w:after="60" w:line="276" w:lineRule="auto"/>
              <w:contextualSpacing/>
              <w:rPr>
                <w:rFonts w:cs="Arial"/>
                <w:sz w:val="20"/>
                <w:szCs w:val="20"/>
                <w:highlight w:val="yellow"/>
              </w:rPr>
            </w:pPr>
          </w:p>
        </w:tc>
        <w:tc>
          <w:tcPr>
            <w:tcW w:w="2500" w:type="pct"/>
          </w:tcPr>
          <w:p w14:paraId="72078508" w14:textId="65AC1D16" w:rsidR="00417DFC" w:rsidRDefault="00417DFC" w:rsidP="00211477">
            <w:pPr>
              <w:spacing w:before="60" w:after="60" w:line="276" w:lineRule="auto"/>
              <w:contextualSpacing/>
              <w:rPr>
                <w:rFonts w:cs="Arial"/>
                <w:b/>
                <w:bCs/>
                <w:sz w:val="20"/>
                <w:szCs w:val="20"/>
              </w:rPr>
            </w:pPr>
            <w:r w:rsidRPr="00887241">
              <w:rPr>
                <w:rFonts w:cs="Arial"/>
                <w:b/>
                <w:bCs/>
                <w:sz w:val="20"/>
                <w:szCs w:val="20"/>
              </w:rPr>
              <w:t xml:space="preserve">Condition </w:t>
            </w:r>
            <w:r w:rsidR="00350D7C">
              <w:rPr>
                <w:rFonts w:cs="Arial"/>
                <w:b/>
                <w:bCs/>
                <w:sz w:val="20"/>
                <w:szCs w:val="20"/>
              </w:rPr>
              <w:t>5</w:t>
            </w:r>
            <w:r w:rsidR="004D7030">
              <w:rPr>
                <w:rFonts w:cs="Arial"/>
                <w:b/>
                <w:bCs/>
                <w:sz w:val="20"/>
                <w:szCs w:val="20"/>
              </w:rPr>
              <w:t>:</w:t>
            </w:r>
          </w:p>
          <w:p w14:paraId="258787EF" w14:textId="153DC163" w:rsidR="00417DFC" w:rsidRDefault="00417DFC" w:rsidP="00211477">
            <w:pPr>
              <w:spacing w:before="60" w:after="60" w:line="276" w:lineRule="auto"/>
              <w:contextualSpacing/>
              <w:rPr>
                <w:rFonts w:cs="Arial"/>
                <w:sz w:val="20"/>
                <w:szCs w:val="20"/>
              </w:rPr>
            </w:pPr>
            <w:r w:rsidRPr="00887241">
              <w:rPr>
                <w:rFonts w:cs="Arial"/>
                <w:sz w:val="20"/>
                <w:szCs w:val="20"/>
              </w:rPr>
              <w:t xml:space="preserve">The </w:t>
            </w:r>
            <w:r w:rsidR="00AC2529">
              <w:rPr>
                <w:rFonts w:cs="Arial"/>
                <w:sz w:val="20"/>
                <w:szCs w:val="20"/>
              </w:rPr>
              <w:t>Victorian PQ Aquatics Syngnathids Wildlife Trade Operation</w:t>
            </w:r>
            <w:r w:rsidRPr="00887241">
              <w:rPr>
                <w:rFonts w:cs="Arial"/>
                <w:sz w:val="20"/>
                <w:szCs w:val="20"/>
              </w:rPr>
              <w:t xml:space="preserve"> </w:t>
            </w:r>
            <w:r w:rsidR="00DA7556">
              <w:rPr>
                <w:rFonts w:cs="Arial"/>
                <w:sz w:val="20"/>
                <w:szCs w:val="20"/>
              </w:rPr>
              <w:t>must</w:t>
            </w:r>
            <w:r w:rsidRPr="00887241">
              <w:rPr>
                <w:rFonts w:cs="Arial"/>
                <w:sz w:val="20"/>
                <w:szCs w:val="20"/>
              </w:rPr>
              <w:t xml:space="preserve"> present </w:t>
            </w:r>
            <w:r w:rsidR="002C181E">
              <w:rPr>
                <w:rFonts w:cs="Arial"/>
                <w:sz w:val="20"/>
                <w:szCs w:val="20"/>
              </w:rPr>
              <w:t xml:space="preserve">annual </w:t>
            </w:r>
            <w:r w:rsidRPr="00887241">
              <w:rPr>
                <w:rFonts w:cs="Arial"/>
                <w:sz w:val="20"/>
                <w:szCs w:val="20"/>
              </w:rPr>
              <w:t xml:space="preserve">reports to the </w:t>
            </w:r>
            <w:r w:rsidRPr="00591174">
              <w:rPr>
                <w:rFonts w:cs="Arial"/>
                <w:sz w:val="20"/>
                <w:szCs w:val="20"/>
              </w:rPr>
              <w:t xml:space="preserve">Department of </w:t>
            </w:r>
            <w:r w:rsidR="00AC2529">
              <w:rPr>
                <w:rFonts w:cs="Arial"/>
                <w:sz w:val="20"/>
                <w:szCs w:val="20"/>
              </w:rPr>
              <w:t>Agriculture, Water and the Environment</w:t>
            </w:r>
            <w:r w:rsidRPr="00887241">
              <w:rPr>
                <w:rFonts w:cs="Arial"/>
                <w:sz w:val="20"/>
                <w:szCs w:val="20"/>
              </w:rPr>
              <w:t xml:space="preserve"> </w:t>
            </w:r>
            <w:r w:rsidR="002C181E">
              <w:rPr>
                <w:rFonts w:cs="Arial"/>
                <w:sz w:val="20"/>
                <w:szCs w:val="20"/>
              </w:rPr>
              <w:t xml:space="preserve">by </w:t>
            </w:r>
            <w:r w:rsidR="00CE56E8" w:rsidRPr="00664463">
              <w:rPr>
                <w:rFonts w:cs="Arial"/>
                <w:sz w:val="20"/>
                <w:szCs w:val="20"/>
              </w:rPr>
              <w:t>3</w:t>
            </w:r>
            <w:r w:rsidR="00C8648E" w:rsidRPr="00664463">
              <w:rPr>
                <w:rFonts w:cs="Arial"/>
                <w:sz w:val="20"/>
                <w:szCs w:val="20"/>
              </w:rPr>
              <w:t>0</w:t>
            </w:r>
            <w:r w:rsidR="00CE56E8" w:rsidRPr="00664463">
              <w:rPr>
                <w:rFonts w:cs="Arial"/>
                <w:sz w:val="20"/>
                <w:szCs w:val="20"/>
              </w:rPr>
              <w:t xml:space="preserve"> November</w:t>
            </w:r>
            <w:r w:rsidR="002C181E" w:rsidRPr="00664463">
              <w:rPr>
                <w:rFonts w:cs="Arial"/>
                <w:sz w:val="20"/>
                <w:szCs w:val="20"/>
              </w:rPr>
              <w:t>,</w:t>
            </w:r>
            <w:r w:rsidRPr="00664463">
              <w:rPr>
                <w:rFonts w:cs="Arial"/>
                <w:sz w:val="20"/>
                <w:szCs w:val="20"/>
              </w:rPr>
              <w:t xml:space="preserve"> as p</w:t>
            </w:r>
            <w:r w:rsidRPr="00887241">
              <w:rPr>
                <w:rFonts w:cs="Arial"/>
                <w:sz w:val="20"/>
                <w:szCs w:val="20"/>
              </w:rPr>
              <w:t xml:space="preserve">er Appendix B of the </w:t>
            </w:r>
            <w:r w:rsidRPr="00887241">
              <w:rPr>
                <w:rFonts w:cs="Arial"/>
                <w:i/>
                <w:iCs/>
                <w:sz w:val="20"/>
                <w:szCs w:val="20"/>
              </w:rPr>
              <w:t xml:space="preserve">Guidelines for the Ecologically Sustainable Management of Fisheries </w:t>
            </w:r>
            <w:r w:rsidR="00350D7C">
              <w:rPr>
                <w:rFonts w:cs="Arial"/>
                <w:i/>
                <w:iCs/>
                <w:sz w:val="20"/>
                <w:szCs w:val="20"/>
              </w:rPr>
              <w:t>–</w:t>
            </w:r>
            <w:r w:rsidRPr="00887241">
              <w:rPr>
                <w:rFonts w:cs="Arial"/>
                <w:i/>
                <w:iCs/>
                <w:sz w:val="20"/>
                <w:szCs w:val="20"/>
              </w:rPr>
              <w:t xml:space="preserve"> 2nd Edition.</w:t>
            </w:r>
            <w:r w:rsidR="00591174">
              <w:rPr>
                <w:rFonts w:cs="Arial"/>
                <w:i/>
                <w:iCs/>
                <w:sz w:val="20"/>
                <w:szCs w:val="20"/>
              </w:rPr>
              <w:t xml:space="preserve"> </w:t>
            </w:r>
            <w:r w:rsidR="0023738C">
              <w:rPr>
                <w:rFonts w:cs="Arial"/>
                <w:sz w:val="20"/>
                <w:szCs w:val="20"/>
              </w:rPr>
              <w:t>A</w:t>
            </w:r>
            <w:r w:rsidR="00493D21">
              <w:rPr>
                <w:rFonts w:cs="Arial"/>
                <w:sz w:val="20"/>
                <w:szCs w:val="20"/>
              </w:rPr>
              <w:t xml:space="preserve">nnual reports </w:t>
            </w:r>
            <w:r w:rsidR="001722B5">
              <w:rPr>
                <w:rFonts w:cs="Arial"/>
                <w:sz w:val="20"/>
                <w:szCs w:val="20"/>
              </w:rPr>
              <w:t>should include</w:t>
            </w:r>
            <w:r w:rsidR="002A68E2">
              <w:rPr>
                <w:rFonts w:cs="Arial"/>
                <w:sz w:val="20"/>
                <w:szCs w:val="20"/>
              </w:rPr>
              <w:t>:</w:t>
            </w:r>
          </w:p>
          <w:p w14:paraId="26BD50BB" w14:textId="09608204" w:rsidR="002A68E2" w:rsidRDefault="00EA5B60" w:rsidP="002A68E2">
            <w:pPr>
              <w:pStyle w:val="ListParagraph"/>
              <w:numPr>
                <w:ilvl w:val="0"/>
                <w:numId w:val="17"/>
              </w:numPr>
              <w:spacing w:before="60" w:after="60" w:line="276" w:lineRule="auto"/>
              <w:contextualSpacing/>
              <w:rPr>
                <w:rFonts w:cs="Arial"/>
                <w:sz w:val="20"/>
                <w:szCs w:val="20"/>
              </w:rPr>
            </w:pPr>
            <w:r>
              <w:rPr>
                <w:rFonts w:cs="Arial"/>
                <w:sz w:val="20"/>
                <w:szCs w:val="20"/>
              </w:rPr>
              <w:t>Total harvest, including the species, location, quantiti</w:t>
            </w:r>
            <w:r w:rsidR="00721683">
              <w:rPr>
                <w:rFonts w:cs="Arial"/>
                <w:sz w:val="20"/>
                <w:szCs w:val="20"/>
              </w:rPr>
              <w:t>e</w:t>
            </w:r>
            <w:r>
              <w:rPr>
                <w:rFonts w:cs="Arial"/>
                <w:sz w:val="20"/>
                <w:szCs w:val="20"/>
              </w:rPr>
              <w:t>s, size, reproductive state and sex</w:t>
            </w:r>
            <w:r w:rsidR="007F5CBA">
              <w:rPr>
                <w:rFonts w:cs="Arial"/>
                <w:sz w:val="20"/>
                <w:szCs w:val="20"/>
              </w:rPr>
              <w:t xml:space="preserve"> of individuals collected.</w:t>
            </w:r>
          </w:p>
          <w:p w14:paraId="7628BE28" w14:textId="7E0100E6" w:rsidR="007F5CBA" w:rsidRDefault="007F5CBA" w:rsidP="002A68E2">
            <w:pPr>
              <w:pStyle w:val="ListParagraph"/>
              <w:numPr>
                <w:ilvl w:val="0"/>
                <w:numId w:val="17"/>
              </w:numPr>
              <w:spacing w:before="60" w:after="60" w:line="276" w:lineRule="auto"/>
              <w:contextualSpacing/>
              <w:rPr>
                <w:rFonts w:cs="Arial"/>
                <w:sz w:val="20"/>
                <w:szCs w:val="20"/>
              </w:rPr>
            </w:pPr>
            <w:r>
              <w:rPr>
                <w:rFonts w:cs="Arial"/>
                <w:sz w:val="20"/>
                <w:szCs w:val="20"/>
              </w:rPr>
              <w:t>Results of spawning, mating and rearing trials and the number of mortalities that have occurred.</w:t>
            </w:r>
          </w:p>
          <w:p w14:paraId="38EE5F69" w14:textId="77777777" w:rsidR="00335FF7" w:rsidRDefault="00335FF7" w:rsidP="00335FF7">
            <w:pPr>
              <w:pStyle w:val="ListParagraph"/>
              <w:numPr>
                <w:ilvl w:val="0"/>
                <w:numId w:val="17"/>
              </w:numPr>
              <w:spacing w:before="60" w:after="60" w:line="276" w:lineRule="auto"/>
              <w:contextualSpacing/>
              <w:rPr>
                <w:rFonts w:cs="Arial"/>
                <w:sz w:val="20"/>
                <w:szCs w:val="20"/>
              </w:rPr>
            </w:pPr>
            <w:r>
              <w:rPr>
                <w:rFonts w:cs="Arial"/>
                <w:sz w:val="20"/>
                <w:szCs w:val="20"/>
              </w:rPr>
              <w:t>Quantities and numbers of specimens for each species sold or held as stocks.</w:t>
            </w:r>
          </w:p>
          <w:p w14:paraId="5B769166" w14:textId="2BCF1A2F" w:rsidR="006450B3" w:rsidRPr="006450B3" w:rsidRDefault="006450B3" w:rsidP="006450B3"/>
        </w:tc>
      </w:tr>
      <w:tr w:rsidR="00C21E88" w:rsidRPr="00887241" w14:paraId="5A916894" w14:textId="77777777" w:rsidTr="00211477">
        <w:trPr>
          <w:jc w:val="center"/>
        </w:trPr>
        <w:tc>
          <w:tcPr>
            <w:tcW w:w="2500" w:type="pct"/>
          </w:tcPr>
          <w:p w14:paraId="4262409E" w14:textId="77777777" w:rsidR="00C21E88" w:rsidRDefault="00C21E88" w:rsidP="00211477">
            <w:pPr>
              <w:spacing w:before="60" w:after="60" w:line="276" w:lineRule="auto"/>
              <w:contextualSpacing/>
              <w:rPr>
                <w:rFonts w:cs="Arial"/>
                <w:b/>
                <w:sz w:val="20"/>
                <w:szCs w:val="20"/>
                <w:u w:val="single"/>
              </w:rPr>
            </w:pPr>
            <w:r>
              <w:rPr>
                <w:rFonts w:cs="Arial"/>
                <w:b/>
                <w:sz w:val="20"/>
                <w:szCs w:val="20"/>
                <w:u w:val="single"/>
              </w:rPr>
              <w:t>Protection of Wild Syngnathid Populations</w:t>
            </w:r>
          </w:p>
          <w:p w14:paraId="619426A3" w14:textId="1497BC82" w:rsidR="00C21E88" w:rsidRPr="00C21E88" w:rsidRDefault="009E6BCD" w:rsidP="00211477">
            <w:pPr>
              <w:spacing w:before="60" w:after="60" w:line="276" w:lineRule="auto"/>
              <w:contextualSpacing/>
              <w:rPr>
                <w:rFonts w:cs="Arial"/>
                <w:bCs/>
                <w:sz w:val="20"/>
                <w:szCs w:val="20"/>
              </w:rPr>
            </w:pPr>
            <w:r>
              <w:rPr>
                <w:rFonts w:cs="Arial"/>
                <w:bCs/>
                <w:sz w:val="20"/>
                <w:szCs w:val="20"/>
              </w:rPr>
              <w:t xml:space="preserve">The risk of introducing disease </w:t>
            </w:r>
            <w:r w:rsidR="00405AAF">
              <w:rPr>
                <w:rFonts w:cs="Arial"/>
                <w:bCs/>
                <w:sz w:val="20"/>
                <w:szCs w:val="20"/>
              </w:rPr>
              <w:t>into</w:t>
            </w:r>
            <w:r>
              <w:rPr>
                <w:rFonts w:cs="Arial"/>
                <w:bCs/>
                <w:sz w:val="20"/>
                <w:szCs w:val="20"/>
              </w:rPr>
              <w:t xml:space="preserve"> wild </w:t>
            </w:r>
            <w:r w:rsidR="00F10241">
              <w:rPr>
                <w:rFonts w:cs="Arial"/>
                <w:bCs/>
                <w:sz w:val="20"/>
                <w:szCs w:val="20"/>
              </w:rPr>
              <w:t xml:space="preserve">populations is known to increase when wild-caught syngnathids are </w:t>
            </w:r>
            <w:r w:rsidR="00343B11">
              <w:rPr>
                <w:rFonts w:cs="Arial"/>
                <w:bCs/>
                <w:sz w:val="20"/>
                <w:szCs w:val="20"/>
              </w:rPr>
              <w:t xml:space="preserve">released back into </w:t>
            </w:r>
            <w:r w:rsidR="00405AAF">
              <w:rPr>
                <w:rFonts w:cs="Arial"/>
                <w:bCs/>
                <w:sz w:val="20"/>
                <w:szCs w:val="20"/>
              </w:rPr>
              <w:t xml:space="preserve">the environment </w:t>
            </w:r>
            <w:r w:rsidR="00FE4516">
              <w:rPr>
                <w:rFonts w:cs="Arial"/>
                <w:bCs/>
                <w:sz w:val="20"/>
                <w:szCs w:val="20"/>
              </w:rPr>
              <w:t xml:space="preserve">from where they </w:t>
            </w:r>
            <w:r w:rsidR="00405AAF">
              <w:rPr>
                <w:rFonts w:cs="Arial"/>
                <w:bCs/>
                <w:sz w:val="20"/>
                <w:szCs w:val="20"/>
              </w:rPr>
              <w:t>were captured</w:t>
            </w:r>
            <w:r w:rsidR="00343B11">
              <w:rPr>
                <w:rFonts w:cs="Arial"/>
                <w:bCs/>
                <w:sz w:val="20"/>
                <w:szCs w:val="20"/>
              </w:rPr>
              <w:t>.</w:t>
            </w:r>
            <w:r w:rsidR="00405AAF">
              <w:rPr>
                <w:rFonts w:cs="Arial"/>
                <w:bCs/>
                <w:sz w:val="20"/>
                <w:szCs w:val="20"/>
              </w:rPr>
              <w:t xml:space="preserve"> </w:t>
            </w:r>
            <w:r w:rsidR="00E4602D">
              <w:rPr>
                <w:rFonts w:cs="Arial"/>
                <w:bCs/>
                <w:sz w:val="20"/>
                <w:szCs w:val="20"/>
              </w:rPr>
              <w:t>Disease transmission is common among captive fish populations</w:t>
            </w:r>
            <w:r w:rsidR="00630B35">
              <w:rPr>
                <w:rFonts w:cs="Arial"/>
                <w:bCs/>
                <w:sz w:val="20"/>
                <w:szCs w:val="20"/>
              </w:rPr>
              <w:t xml:space="preserve">. While the </w:t>
            </w:r>
            <w:r w:rsidR="002E518A">
              <w:rPr>
                <w:rFonts w:cs="Arial"/>
                <w:bCs/>
                <w:sz w:val="20"/>
                <w:szCs w:val="20"/>
              </w:rPr>
              <w:t xml:space="preserve">risk level of disease transmission </w:t>
            </w:r>
            <w:r w:rsidR="009B58D0">
              <w:rPr>
                <w:rFonts w:cs="Arial"/>
                <w:bCs/>
                <w:sz w:val="20"/>
                <w:szCs w:val="20"/>
              </w:rPr>
              <w:t>for syngnathids</w:t>
            </w:r>
            <w:r w:rsidR="002958B9">
              <w:rPr>
                <w:rFonts w:cs="Arial"/>
                <w:bCs/>
                <w:sz w:val="20"/>
                <w:szCs w:val="20"/>
              </w:rPr>
              <w:t xml:space="preserve"> is difficult to quantity, the </w:t>
            </w:r>
            <w:r w:rsidR="00FE4516">
              <w:rPr>
                <w:rFonts w:cs="Arial"/>
                <w:bCs/>
                <w:sz w:val="20"/>
                <w:szCs w:val="20"/>
              </w:rPr>
              <w:t>d</w:t>
            </w:r>
            <w:r w:rsidR="002958B9">
              <w:rPr>
                <w:rFonts w:cs="Arial"/>
                <w:bCs/>
                <w:sz w:val="20"/>
                <w:szCs w:val="20"/>
              </w:rPr>
              <w:t>epar</w:t>
            </w:r>
            <w:r w:rsidR="00911CEF">
              <w:rPr>
                <w:rFonts w:cs="Arial"/>
                <w:bCs/>
                <w:sz w:val="20"/>
                <w:szCs w:val="20"/>
              </w:rPr>
              <w:t xml:space="preserve">tment considers that the return of harvested syngnathids into the wild poses an unacceptable risk and should be </w:t>
            </w:r>
            <w:r w:rsidR="006768E5">
              <w:rPr>
                <w:rFonts w:cs="Arial"/>
                <w:bCs/>
                <w:sz w:val="20"/>
                <w:szCs w:val="20"/>
              </w:rPr>
              <w:t>prohibited</w:t>
            </w:r>
            <w:r w:rsidR="00911CEF">
              <w:rPr>
                <w:rFonts w:cs="Arial"/>
                <w:bCs/>
                <w:sz w:val="20"/>
                <w:szCs w:val="20"/>
              </w:rPr>
              <w:t>.</w:t>
            </w:r>
          </w:p>
        </w:tc>
        <w:tc>
          <w:tcPr>
            <w:tcW w:w="2500" w:type="pct"/>
          </w:tcPr>
          <w:p w14:paraId="12E995A2" w14:textId="61610D07" w:rsidR="00911CEF" w:rsidRDefault="00911CEF" w:rsidP="00211477">
            <w:pPr>
              <w:spacing w:before="60" w:after="60" w:line="276" w:lineRule="auto"/>
              <w:contextualSpacing/>
              <w:rPr>
                <w:rFonts w:cs="Arial"/>
                <w:b/>
                <w:sz w:val="20"/>
                <w:szCs w:val="20"/>
              </w:rPr>
            </w:pPr>
            <w:r w:rsidRPr="00BC35BF">
              <w:rPr>
                <w:rFonts w:cs="Arial"/>
                <w:b/>
                <w:sz w:val="20"/>
                <w:szCs w:val="20"/>
              </w:rPr>
              <w:t xml:space="preserve">Condition </w:t>
            </w:r>
            <w:r w:rsidR="00350D7C">
              <w:rPr>
                <w:rFonts w:cs="Arial"/>
                <w:b/>
                <w:sz w:val="20"/>
                <w:szCs w:val="20"/>
              </w:rPr>
              <w:t>6</w:t>
            </w:r>
            <w:r w:rsidR="004D7030">
              <w:rPr>
                <w:rFonts w:cs="Arial"/>
                <w:b/>
                <w:sz w:val="20"/>
                <w:szCs w:val="20"/>
              </w:rPr>
              <w:t>:</w:t>
            </w:r>
          </w:p>
          <w:p w14:paraId="0B9B2970" w14:textId="1838AB1A" w:rsidR="00C0421B" w:rsidRPr="00887241" w:rsidRDefault="00BC35BF" w:rsidP="00211477">
            <w:pPr>
              <w:spacing w:before="60" w:after="60" w:line="276" w:lineRule="auto"/>
              <w:contextualSpacing/>
              <w:rPr>
                <w:rFonts w:cs="Arial"/>
                <w:bCs/>
                <w:sz w:val="20"/>
                <w:szCs w:val="20"/>
              </w:rPr>
            </w:pPr>
            <w:r>
              <w:rPr>
                <w:rFonts w:cs="Arial"/>
                <w:bCs/>
                <w:sz w:val="20"/>
                <w:szCs w:val="20"/>
              </w:rPr>
              <w:t>Wild</w:t>
            </w:r>
            <w:r w:rsidR="001A201E">
              <w:rPr>
                <w:rFonts w:cs="Arial"/>
                <w:bCs/>
                <w:sz w:val="20"/>
                <w:szCs w:val="20"/>
              </w:rPr>
              <w:t xml:space="preserve"> </w:t>
            </w:r>
            <w:r>
              <w:rPr>
                <w:rFonts w:cs="Arial"/>
                <w:bCs/>
                <w:sz w:val="20"/>
                <w:szCs w:val="20"/>
              </w:rPr>
              <w:t>caught and cultured syngnathids must not be returned to the wild.</w:t>
            </w:r>
          </w:p>
        </w:tc>
      </w:tr>
    </w:tbl>
    <w:p w14:paraId="058987D4" w14:textId="77777777" w:rsidR="00227603" w:rsidRPr="00FC2EBF" w:rsidRDefault="00227603" w:rsidP="00FC2EBF">
      <w:pPr>
        <w:sectPr w:rsidR="00227603" w:rsidRPr="00FC2EBF" w:rsidSect="001955CD">
          <w:footerReference w:type="default" r:id="rId18"/>
          <w:footerReference w:type="first" r:id="rId19"/>
          <w:pgSz w:w="16838" w:h="11906" w:orient="landscape"/>
          <w:pgMar w:top="1021" w:right="1021" w:bottom="1021" w:left="1021" w:header="709" w:footer="709" w:gutter="0"/>
          <w:cols w:space="708"/>
          <w:docGrid w:linePitch="360"/>
        </w:sectPr>
      </w:pPr>
    </w:p>
    <w:p w14:paraId="00205463" w14:textId="77777777" w:rsidR="00134108" w:rsidRPr="00433FCA" w:rsidRDefault="00134108" w:rsidP="00433FCA">
      <w:pPr>
        <w:pStyle w:val="Heading3"/>
        <w:spacing w:line="276" w:lineRule="auto"/>
      </w:pPr>
      <w:bookmarkStart w:id="5" w:name="_Toc90501200"/>
      <w:r w:rsidRPr="00433FCA">
        <w:t>Assessment history:</w:t>
      </w:r>
      <w:bookmarkEnd w:id="5"/>
    </w:p>
    <w:p w14:paraId="0AC8D611" w14:textId="2E7E5904" w:rsidR="00134108" w:rsidRPr="00433FCA" w:rsidRDefault="00134108" w:rsidP="00433FCA">
      <w:pPr>
        <w:spacing w:line="276" w:lineRule="auto"/>
      </w:pPr>
      <w:r w:rsidRPr="00433FCA">
        <w:t xml:space="preserve">Information on previous assessments for the </w:t>
      </w:r>
      <w:r w:rsidR="00E3226A">
        <w:t>Victorian PQ Aquatics Syngnathids Wildlife Trade Operation</w:t>
      </w:r>
      <w:r w:rsidRPr="00433FCA">
        <w:t xml:space="preserve"> is available on the Department’s website at</w:t>
      </w:r>
      <w:r w:rsidR="00B97B40" w:rsidRPr="00433FCA">
        <w:t xml:space="preserve"> </w:t>
      </w:r>
      <w:hyperlink r:id="rId20" w:history="1">
        <w:r w:rsidR="00E3226A" w:rsidRPr="00363DC7">
          <w:rPr>
            <w:rStyle w:val="Hyperlink"/>
          </w:rPr>
          <w:t>https://www.awe.gov.au/environment/marine/fisheries/vic/pqaquatics</w:t>
        </w:r>
      </w:hyperlink>
      <w:r w:rsidR="00E3226A">
        <w:t xml:space="preserve">. </w:t>
      </w:r>
    </w:p>
    <w:p w14:paraId="75885927" w14:textId="279DCE9D" w:rsidR="007E27AB" w:rsidRDefault="007E27AB" w:rsidP="00433FCA">
      <w:pPr>
        <w:spacing w:line="276" w:lineRule="auto"/>
      </w:pPr>
      <w:r>
        <w:t>1</w:t>
      </w:r>
      <w:r w:rsidRPr="007E27AB">
        <w:rPr>
          <w:vertAlign w:val="superscript"/>
        </w:rPr>
        <w:t>st</w:t>
      </w:r>
      <w:r>
        <w:t xml:space="preserve"> assessment finalised December 200</w:t>
      </w:r>
      <w:r w:rsidR="001351F4">
        <w:t>3. Export approval was subject to 3 conditions.</w:t>
      </w:r>
    </w:p>
    <w:p w14:paraId="6C0C2A49" w14:textId="702E1CB4" w:rsidR="001351F4" w:rsidRDefault="001351F4" w:rsidP="00433FCA">
      <w:pPr>
        <w:spacing w:line="276" w:lineRule="auto"/>
      </w:pPr>
      <w:r>
        <w:t>2</w:t>
      </w:r>
      <w:r w:rsidRPr="001351F4">
        <w:rPr>
          <w:vertAlign w:val="superscript"/>
        </w:rPr>
        <w:t>nd</w:t>
      </w:r>
      <w:r>
        <w:t xml:space="preserve"> assessment finalised December 2009. Export approval was subject to 6 conditions.</w:t>
      </w:r>
    </w:p>
    <w:p w14:paraId="34102572" w14:textId="6F1BE4BA" w:rsidR="001351F4" w:rsidRDefault="001351F4" w:rsidP="00433FCA">
      <w:pPr>
        <w:spacing w:line="276" w:lineRule="auto"/>
      </w:pPr>
      <w:r>
        <w:t>3</w:t>
      </w:r>
      <w:r w:rsidRPr="001351F4">
        <w:rPr>
          <w:vertAlign w:val="superscript"/>
        </w:rPr>
        <w:t>rd</w:t>
      </w:r>
      <w:r>
        <w:t xml:space="preserve"> assessment finalised December 2012. Export approval was subject to 4 conditions.</w:t>
      </w:r>
    </w:p>
    <w:p w14:paraId="1C229667" w14:textId="4B0182BD" w:rsidR="001351F4" w:rsidRDefault="001351F4" w:rsidP="00433FCA">
      <w:pPr>
        <w:spacing w:line="276" w:lineRule="auto"/>
      </w:pPr>
      <w:r>
        <w:t>4</w:t>
      </w:r>
      <w:r w:rsidRPr="001351F4">
        <w:rPr>
          <w:vertAlign w:val="superscript"/>
        </w:rPr>
        <w:t>th</w:t>
      </w:r>
      <w:r>
        <w:t xml:space="preserve"> assessment finalised December 2015. Export approval was subject to 4 conditions and 5 recommendations.</w:t>
      </w:r>
    </w:p>
    <w:p w14:paraId="5CE9132E" w14:textId="5C50DA25" w:rsidR="00AB194A" w:rsidRPr="00433FCA" w:rsidRDefault="001351F4" w:rsidP="00433FCA">
      <w:pPr>
        <w:spacing w:line="276" w:lineRule="auto"/>
      </w:pPr>
      <w:r>
        <w:t>5</w:t>
      </w:r>
      <w:r w:rsidRPr="001351F4">
        <w:rPr>
          <w:vertAlign w:val="superscript"/>
        </w:rPr>
        <w:t>th</w:t>
      </w:r>
      <w:r>
        <w:t xml:space="preserve"> assessment finalised December 2018. Export approval was subject to </w:t>
      </w:r>
      <w:r w:rsidR="00CE309F" w:rsidRPr="00D34481">
        <w:t>4 conditions</w:t>
      </w:r>
      <w:r w:rsidR="00CE309F">
        <w:t>.</w:t>
      </w:r>
    </w:p>
    <w:p w14:paraId="18254E8D" w14:textId="77777777" w:rsidR="00764C1D" w:rsidRDefault="00764C1D" w:rsidP="00433FCA">
      <w:pPr>
        <w:pStyle w:val="Heading3"/>
        <w:spacing w:line="276" w:lineRule="auto"/>
      </w:pPr>
    </w:p>
    <w:p w14:paraId="5C3C5A42" w14:textId="4C4BEF39" w:rsidR="00B97B40" w:rsidRDefault="00AB194A" w:rsidP="00433FCA">
      <w:pPr>
        <w:pStyle w:val="Heading3"/>
        <w:spacing w:line="276" w:lineRule="auto"/>
      </w:pPr>
      <w:bookmarkStart w:id="6" w:name="_Toc90501201"/>
      <w:r w:rsidRPr="00433FCA">
        <w:t>Fishery reporting:</w:t>
      </w:r>
      <w:bookmarkEnd w:id="6"/>
    </w:p>
    <w:p w14:paraId="00A73EAC" w14:textId="77777777" w:rsidR="00CD0543" w:rsidRPr="00B43952" w:rsidRDefault="00AB194A" w:rsidP="00433FCA">
      <w:pPr>
        <w:spacing w:line="276" w:lineRule="auto"/>
        <w:rPr>
          <w:b/>
          <w:bCs/>
        </w:rPr>
      </w:pPr>
      <w:r w:rsidRPr="00B43952">
        <w:rPr>
          <w:b/>
          <w:bCs/>
        </w:rPr>
        <w:t xml:space="preserve">Annual report </w:t>
      </w:r>
    </w:p>
    <w:p w14:paraId="3A8473E3" w14:textId="7F20A4E0" w:rsidR="00514467" w:rsidRDefault="00F056A3" w:rsidP="00385E3C">
      <w:pPr>
        <w:spacing w:line="276" w:lineRule="auto"/>
      </w:pPr>
      <w:r>
        <w:t xml:space="preserve">April </w:t>
      </w:r>
      <w:r w:rsidR="00BE098C">
        <w:t>20</w:t>
      </w:r>
      <w:r w:rsidR="00974A76">
        <w:t xml:space="preserve">20-2021 </w:t>
      </w:r>
      <w:hyperlink r:id="rId21" w:history="1">
        <w:r w:rsidR="00974A76" w:rsidRPr="004228D8">
          <w:rPr>
            <w:rStyle w:val="Hyperlink"/>
          </w:rPr>
          <w:t>Annual Report</w:t>
        </w:r>
      </w:hyperlink>
      <w:r w:rsidR="00974A76">
        <w:t xml:space="preserve"> PQ Aquatics</w:t>
      </w:r>
    </w:p>
    <w:p w14:paraId="22621B64" w14:textId="53602008" w:rsidR="00F056A3" w:rsidRPr="00433FCA" w:rsidRDefault="00F056A3" w:rsidP="00385E3C">
      <w:pPr>
        <w:spacing w:line="276" w:lineRule="auto"/>
      </w:pPr>
      <w:r>
        <w:t xml:space="preserve">November 2020-2021 </w:t>
      </w:r>
      <w:hyperlink r:id="rId22" w:history="1">
        <w:r w:rsidRPr="000A0806">
          <w:rPr>
            <w:rStyle w:val="Hyperlink"/>
          </w:rPr>
          <w:t>Annual Report</w:t>
        </w:r>
      </w:hyperlink>
      <w:r w:rsidR="000A0806">
        <w:t xml:space="preserve"> PQ Aquatics</w:t>
      </w:r>
    </w:p>
    <w:p w14:paraId="30F4823B" w14:textId="77777777" w:rsidR="00764C1D" w:rsidRDefault="00764C1D" w:rsidP="00433FCA">
      <w:pPr>
        <w:pStyle w:val="Heading3"/>
        <w:spacing w:line="276" w:lineRule="auto"/>
      </w:pPr>
    </w:p>
    <w:p w14:paraId="4F3D3FCE" w14:textId="6A433FD3" w:rsidR="00B97B40" w:rsidRPr="00433FCA" w:rsidRDefault="00AB194A" w:rsidP="00433FCA">
      <w:pPr>
        <w:pStyle w:val="Heading3"/>
        <w:spacing w:line="276" w:lineRule="auto"/>
      </w:pPr>
      <w:bookmarkStart w:id="7" w:name="_Toc90501202"/>
      <w:r w:rsidRPr="00433FCA">
        <w:t>Key links:</w:t>
      </w:r>
      <w:bookmarkEnd w:id="7"/>
      <w:r w:rsidRPr="00433FCA">
        <w:t xml:space="preserve"> </w:t>
      </w:r>
    </w:p>
    <w:p w14:paraId="19C1FED1" w14:textId="1F43C844" w:rsidR="00CD0543" w:rsidRPr="002F5DEA" w:rsidRDefault="00AB194A" w:rsidP="00433FCA">
      <w:pPr>
        <w:spacing w:line="276" w:lineRule="auto"/>
        <w:rPr>
          <w:b/>
          <w:bCs/>
        </w:rPr>
      </w:pPr>
      <w:r w:rsidRPr="002F5DEA">
        <w:rPr>
          <w:b/>
          <w:bCs/>
        </w:rPr>
        <w:t xml:space="preserve">Fishery information </w:t>
      </w:r>
    </w:p>
    <w:p w14:paraId="6E08F9E9" w14:textId="3DCB0FC1" w:rsidR="00B43952" w:rsidRDefault="00B43952" w:rsidP="00431528">
      <w:pPr>
        <w:spacing w:before="0" w:after="0" w:line="276" w:lineRule="auto"/>
      </w:pPr>
      <w:r>
        <w:t>Victorian Fisheries Authority</w:t>
      </w:r>
      <w:r w:rsidR="00836980">
        <w:t xml:space="preserve"> (2021).</w:t>
      </w:r>
      <w:r w:rsidR="00F34D8F">
        <w:t xml:space="preserve"> Available from: </w:t>
      </w:r>
      <w:hyperlink r:id="rId23" w:history="1">
        <w:r w:rsidR="00074765" w:rsidRPr="001759BE">
          <w:rPr>
            <w:rStyle w:val="Hyperlink"/>
          </w:rPr>
          <w:t>https://vfa.vic.gov.au/</w:t>
        </w:r>
      </w:hyperlink>
      <w:r w:rsidR="00B326C4">
        <w:t xml:space="preserve"> </w:t>
      </w:r>
    </w:p>
    <w:p w14:paraId="416EFBED" w14:textId="59C39434" w:rsidR="00131EAF" w:rsidRDefault="00131EAF" w:rsidP="00431528">
      <w:pPr>
        <w:spacing w:before="0" w:after="0" w:line="276" w:lineRule="auto"/>
      </w:pPr>
    </w:p>
    <w:p w14:paraId="4230A956" w14:textId="0B7B331F" w:rsidR="00637625" w:rsidRDefault="00637625" w:rsidP="00431528">
      <w:pPr>
        <w:spacing w:before="0" w:after="0" w:line="276" w:lineRule="auto"/>
      </w:pPr>
      <w:r>
        <w:t>Victorian Fisheries Authority (</w:t>
      </w:r>
      <w:r w:rsidR="00836980">
        <w:t>2021</w:t>
      </w:r>
      <w:r>
        <w:t>)</w:t>
      </w:r>
      <w:r w:rsidR="00836980">
        <w:t>.</w:t>
      </w:r>
      <w:r>
        <w:t xml:space="preserve"> Protected Aquatic and Priority Species.</w:t>
      </w:r>
      <w:r w:rsidR="00F34D8F">
        <w:t xml:space="preserve"> Available from: </w:t>
      </w:r>
      <w:hyperlink r:id="rId24" w:history="1">
        <w:r w:rsidR="00F34D8F" w:rsidRPr="001759BE">
          <w:rPr>
            <w:rStyle w:val="Hyperlink"/>
          </w:rPr>
          <w:t>https://vfa.vic.gov.au/operational-policy/legislation-and-regulation/protected-aquatic-and-priority-species</w:t>
        </w:r>
      </w:hyperlink>
      <w:r>
        <w:t xml:space="preserve"> </w:t>
      </w:r>
    </w:p>
    <w:p w14:paraId="00C77A36" w14:textId="77777777" w:rsidR="00B43952" w:rsidRDefault="00B43952" w:rsidP="00431528">
      <w:pPr>
        <w:spacing w:before="0" w:after="0" w:line="276" w:lineRule="auto"/>
      </w:pPr>
    </w:p>
    <w:p w14:paraId="4C1CEF6E" w14:textId="531F9D91" w:rsidR="00431528" w:rsidRPr="00B326C4" w:rsidRDefault="00431528" w:rsidP="00B326C4">
      <w:pPr>
        <w:spacing w:before="0" w:after="0" w:line="276" w:lineRule="auto"/>
      </w:pPr>
      <w:r>
        <w:t xml:space="preserve">Victorian Fisheries Authority </w:t>
      </w:r>
      <w:r w:rsidR="00836980">
        <w:t>(2021).</w:t>
      </w:r>
      <w:r w:rsidR="00637625">
        <w:t xml:space="preserve"> PAB Permit Policy Statement.</w:t>
      </w:r>
      <w:r w:rsidR="00F34D8F">
        <w:t xml:space="preserve"> Available from: </w:t>
      </w:r>
      <w:hyperlink r:id="rId25" w:history="1">
        <w:r w:rsidR="00F34D8F" w:rsidRPr="001759BE">
          <w:rPr>
            <w:rStyle w:val="Hyperlink"/>
          </w:rPr>
          <w:t>https://vfa.vic.gov.au/operational-policy/legislation-and-regulation/protected-aquatic-and-priority-species/pab-permit-policy-statement</w:t>
        </w:r>
      </w:hyperlink>
      <w:r>
        <w:t xml:space="preserve"> </w:t>
      </w:r>
    </w:p>
    <w:p w14:paraId="42877085" w14:textId="77777777" w:rsidR="00431528" w:rsidRDefault="00431528" w:rsidP="002F5DEA">
      <w:pPr>
        <w:spacing w:line="276" w:lineRule="auto"/>
        <w:rPr>
          <w:b/>
          <w:bCs/>
        </w:rPr>
      </w:pPr>
    </w:p>
    <w:p w14:paraId="68E00BAE" w14:textId="0D1A3C49" w:rsidR="000E37F8" w:rsidRPr="002F5DEA" w:rsidRDefault="00B97B40" w:rsidP="002F5DEA">
      <w:pPr>
        <w:spacing w:line="276" w:lineRule="auto"/>
        <w:rPr>
          <w:b/>
          <w:bCs/>
        </w:rPr>
      </w:pPr>
      <w:r w:rsidRPr="002F5DEA">
        <w:rPr>
          <w:b/>
          <w:bCs/>
        </w:rPr>
        <w:t>Management plan</w:t>
      </w:r>
    </w:p>
    <w:p w14:paraId="7CA06A02" w14:textId="388260C2" w:rsidR="00D12E53" w:rsidRPr="000E37F8" w:rsidRDefault="00D12E53" w:rsidP="000E37F8">
      <w:pPr>
        <w:pStyle w:val="CommentText"/>
        <w:spacing w:before="0"/>
        <w:rPr>
          <w:rFonts w:ascii="Arial" w:hAnsi="Arial" w:cs="Arial"/>
          <w:sz w:val="22"/>
          <w:szCs w:val="22"/>
        </w:rPr>
      </w:pPr>
      <w:r w:rsidRPr="000E37F8">
        <w:rPr>
          <w:rFonts w:ascii="Arial" w:hAnsi="Arial" w:cs="Arial"/>
          <w:sz w:val="22"/>
          <w:szCs w:val="22"/>
        </w:rPr>
        <w:t>Port Philip Bay (Western Shoreline) and Bellarine Peninsula</w:t>
      </w:r>
      <w:r w:rsidR="00AE2A0A">
        <w:rPr>
          <w:rFonts w:ascii="Arial" w:hAnsi="Arial" w:cs="Arial"/>
          <w:sz w:val="22"/>
          <w:szCs w:val="22"/>
        </w:rPr>
        <w:t>,</w:t>
      </w:r>
      <w:r w:rsidR="00752065" w:rsidRPr="000E37F8">
        <w:rPr>
          <w:rFonts w:ascii="Arial" w:hAnsi="Arial" w:cs="Arial"/>
          <w:sz w:val="22"/>
          <w:szCs w:val="22"/>
        </w:rPr>
        <w:t xml:space="preserve"> Ramsar Site Management Plan Summary, Department of Environment</w:t>
      </w:r>
      <w:r w:rsidR="000E37F8" w:rsidRPr="000E37F8">
        <w:rPr>
          <w:rFonts w:ascii="Arial" w:hAnsi="Arial" w:cs="Arial"/>
          <w:sz w:val="22"/>
          <w:szCs w:val="22"/>
        </w:rPr>
        <w:t>, Land, Water and Planning, East Melbourne.</w:t>
      </w:r>
      <w:r w:rsidR="00F34D8F">
        <w:rPr>
          <w:rFonts w:ascii="Arial" w:hAnsi="Arial" w:cs="Arial"/>
          <w:sz w:val="22"/>
          <w:szCs w:val="22"/>
        </w:rPr>
        <w:t xml:space="preserve"> Available from:</w:t>
      </w:r>
    </w:p>
    <w:p w14:paraId="3ACF699B" w14:textId="5D03632C" w:rsidR="009342A6" w:rsidRDefault="008D48DF" w:rsidP="000E37F8">
      <w:pPr>
        <w:pStyle w:val="CommentText"/>
        <w:spacing w:before="0"/>
        <w:rPr>
          <w:rFonts w:ascii="Arial" w:hAnsi="Arial" w:cs="Arial"/>
          <w:color w:val="808080" w:themeColor="background1" w:themeShade="80"/>
          <w:sz w:val="22"/>
          <w:szCs w:val="22"/>
        </w:rPr>
      </w:pPr>
      <w:hyperlink r:id="rId26" w:history="1">
        <w:r w:rsidR="00D12E53" w:rsidRPr="004C1365">
          <w:rPr>
            <w:rStyle w:val="Hyperlink"/>
            <w:rFonts w:ascii="Arial" w:hAnsi="Arial" w:cs="Arial"/>
            <w:sz w:val="22"/>
            <w:szCs w:val="22"/>
          </w:rPr>
          <w:t>https://www.water.vic.gov.au/__data/assets/pdf_file/0021/203349/PPBWS-and-BP-Ramsar-Site-Management-Plan-Summary.pdf</w:t>
        </w:r>
      </w:hyperlink>
      <w:r w:rsidR="00B270FC">
        <w:rPr>
          <w:rFonts w:ascii="Arial" w:hAnsi="Arial" w:cs="Arial"/>
          <w:color w:val="808080" w:themeColor="background1" w:themeShade="80"/>
          <w:sz w:val="22"/>
          <w:szCs w:val="22"/>
        </w:rPr>
        <w:t xml:space="preserve"> </w:t>
      </w:r>
    </w:p>
    <w:p w14:paraId="66007077" w14:textId="77777777" w:rsidR="005933C5" w:rsidRPr="009342A6" w:rsidRDefault="005933C5" w:rsidP="000E37F8">
      <w:pPr>
        <w:pStyle w:val="CommentText"/>
        <w:spacing w:before="0"/>
        <w:rPr>
          <w:rFonts w:ascii="Arial" w:hAnsi="Arial" w:cs="Arial"/>
          <w:color w:val="808080" w:themeColor="background1" w:themeShade="80"/>
          <w:sz w:val="22"/>
          <w:szCs w:val="22"/>
        </w:rPr>
      </w:pPr>
    </w:p>
    <w:p w14:paraId="390B7E04" w14:textId="77777777" w:rsidR="00CD0543" w:rsidRPr="00F270C3" w:rsidRDefault="00AB194A" w:rsidP="00433FCA">
      <w:pPr>
        <w:spacing w:line="276" w:lineRule="auto"/>
        <w:rPr>
          <w:b/>
          <w:bCs/>
        </w:rPr>
      </w:pPr>
      <w:r w:rsidRPr="00F270C3">
        <w:rPr>
          <w:b/>
          <w:bCs/>
        </w:rPr>
        <w:t xml:space="preserve">Enforcing legislation </w:t>
      </w:r>
    </w:p>
    <w:p w14:paraId="58DBAA57" w14:textId="43BC6C3F" w:rsidR="00F270C3" w:rsidRDefault="008D48DF" w:rsidP="00433FCA">
      <w:pPr>
        <w:spacing w:line="276" w:lineRule="auto"/>
      </w:pPr>
      <w:hyperlink r:id="rId27" w:history="1">
        <w:r w:rsidR="00F270C3" w:rsidRPr="00281456">
          <w:rPr>
            <w:rStyle w:val="Hyperlink"/>
            <w:i/>
            <w:iCs/>
          </w:rPr>
          <w:t>Fisheries Act 1995</w:t>
        </w:r>
      </w:hyperlink>
      <w:r w:rsidR="00F270C3">
        <w:t xml:space="preserve"> (Vic)</w:t>
      </w:r>
    </w:p>
    <w:p w14:paraId="46278C4F" w14:textId="5A475F20" w:rsidR="00F270C3" w:rsidRDefault="008D48DF" w:rsidP="00433FCA">
      <w:pPr>
        <w:spacing w:line="276" w:lineRule="auto"/>
      </w:pPr>
      <w:hyperlink r:id="rId28" w:history="1">
        <w:r w:rsidR="00F270C3" w:rsidRPr="00142D50">
          <w:rPr>
            <w:rStyle w:val="Hyperlink"/>
            <w:i/>
            <w:iCs/>
          </w:rPr>
          <w:t>Fisheries Regulations 20</w:t>
        </w:r>
        <w:r w:rsidR="00025D13" w:rsidRPr="00142D50">
          <w:rPr>
            <w:rStyle w:val="Hyperlink"/>
            <w:i/>
            <w:iCs/>
          </w:rPr>
          <w:t>1</w:t>
        </w:r>
        <w:r w:rsidR="00F270C3" w:rsidRPr="00142D50">
          <w:rPr>
            <w:rStyle w:val="Hyperlink"/>
            <w:i/>
            <w:iCs/>
          </w:rPr>
          <w:t>9</w:t>
        </w:r>
      </w:hyperlink>
      <w:r w:rsidR="00F270C3">
        <w:t xml:space="preserve"> (Vic)</w:t>
      </w:r>
    </w:p>
    <w:p w14:paraId="2F241AC6" w14:textId="57B4B610" w:rsidR="00E42376" w:rsidRDefault="008D48DF" w:rsidP="00433FCA">
      <w:pPr>
        <w:spacing w:line="276" w:lineRule="auto"/>
      </w:pPr>
      <w:hyperlink r:id="rId29" w:anchor="_Toc69723138" w:history="1">
        <w:r w:rsidR="00E42376" w:rsidRPr="00281456">
          <w:rPr>
            <w:rStyle w:val="Hyperlink"/>
            <w:i/>
            <w:iCs/>
          </w:rPr>
          <w:t>EPBC Act</w:t>
        </w:r>
        <w:r w:rsidR="00281456" w:rsidRPr="00281456">
          <w:rPr>
            <w:rStyle w:val="Hyperlink"/>
            <w:i/>
            <w:iCs/>
          </w:rPr>
          <w:t xml:space="preserve"> 1999</w:t>
        </w:r>
      </w:hyperlink>
      <w:r w:rsidR="00281456">
        <w:t xml:space="preserve"> (C</w:t>
      </w:r>
      <w:r w:rsidR="00976A35">
        <w:t>th</w:t>
      </w:r>
      <w:r w:rsidR="00281456">
        <w:t>)</w:t>
      </w:r>
    </w:p>
    <w:p w14:paraId="1B093C60" w14:textId="77777777" w:rsidR="0070240A" w:rsidRDefault="0070240A" w:rsidP="00433FCA">
      <w:pPr>
        <w:spacing w:line="276" w:lineRule="auto"/>
        <w:rPr>
          <w:b/>
          <w:bCs/>
        </w:rPr>
      </w:pPr>
    </w:p>
    <w:p w14:paraId="090956E6" w14:textId="72D61C51" w:rsidR="00CD0543" w:rsidRPr="008F5856" w:rsidRDefault="00AB194A" w:rsidP="00976A35">
      <w:pPr>
        <w:keepNext/>
        <w:spacing w:line="276" w:lineRule="auto"/>
        <w:rPr>
          <w:b/>
          <w:bCs/>
        </w:rPr>
      </w:pPr>
      <w:r w:rsidRPr="008F5856">
        <w:rPr>
          <w:b/>
          <w:bCs/>
        </w:rPr>
        <w:t xml:space="preserve">Ecological Risk Assessment </w:t>
      </w:r>
    </w:p>
    <w:p w14:paraId="4CEC6B65" w14:textId="2EDEC454" w:rsidR="00B87269" w:rsidRPr="006E34F1" w:rsidRDefault="00C558B3" w:rsidP="006E34F1">
      <w:pPr>
        <w:pStyle w:val="CommentText"/>
        <w:rPr>
          <w:rFonts w:ascii="Arial" w:hAnsi="Arial" w:cs="Arial"/>
          <w:sz w:val="22"/>
          <w:szCs w:val="22"/>
        </w:rPr>
      </w:pPr>
      <w:r>
        <w:rPr>
          <w:rFonts w:ascii="Arial" w:hAnsi="Arial" w:cs="Arial"/>
          <w:sz w:val="22"/>
          <w:szCs w:val="22"/>
        </w:rPr>
        <w:t xml:space="preserve">Non-detriment finding for the export of </w:t>
      </w:r>
      <w:r w:rsidRPr="00767930">
        <w:rPr>
          <w:rFonts w:ascii="Arial" w:hAnsi="Arial" w:cs="Arial"/>
          <w:i/>
          <w:iCs/>
          <w:sz w:val="22"/>
          <w:szCs w:val="22"/>
        </w:rPr>
        <w:t>Hippocampus abdominalis</w:t>
      </w:r>
      <w:r>
        <w:rPr>
          <w:rFonts w:ascii="Arial" w:hAnsi="Arial" w:cs="Arial"/>
          <w:sz w:val="22"/>
          <w:szCs w:val="22"/>
        </w:rPr>
        <w:t xml:space="preserve"> and </w:t>
      </w:r>
      <w:r w:rsidRPr="00767930">
        <w:rPr>
          <w:rFonts w:ascii="Arial" w:hAnsi="Arial" w:cs="Arial"/>
          <w:i/>
          <w:iCs/>
          <w:sz w:val="22"/>
          <w:szCs w:val="22"/>
        </w:rPr>
        <w:t>H. breviceps</w:t>
      </w:r>
      <w:r>
        <w:rPr>
          <w:rFonts w:ascii="Arial" w:hAnsi="Arial" w:cs="Arial"/>
          <w:sz w:val="22"/>
          <w:szCs w:val="22"/>
        </w:rPr>
        <w:t xml:space="preserve"> from Victoria by PQ Aquatics, Department of the Environment</w:t>
      </w:r>
      <w:r w:rsidR="00F13505">
        <w:rPr>
          <w:rFonts w:ascii="Arial" w:hAnsi="Arial" w:cs="Arial"/>
          <w:sz w:val="22"/>
          <w:szCs w:val="22"/>
        </w:rPr>
        <w:t>, December 2015.</w:t>
      </w:r>
      <w:r w:rsidR="00C97DBB">
        <w:rPr>
          <w:rFonts w:ascii="Arial" w:hAnsi="Arial" w:cs="Arial"/>
          <w:sz w:val="22"/>
          <w:szCs w:val="22"/>
        </w:rPr>
        <w:t xml:space="preserve"> Available from:</w:t>
      </w:r>
      <w:r w:rsidR="00F13505">
        <w:rPr>
          <w:rFonts w:ascii="Arial" w:hAnsi="Arial" w:cs="Arial"/>
          <w:sz w:val="22"/>
          <w:szCs w:val="22"/>
        </w:rPr>
        <w:t xml:space="preserve"> </w:t>
      </w:r>
      <w:hyperlink r:id="rId30" w:history="1">
        <w:r w:rsidR="002502AE" w:rsidRPr="004C1365">
          <w:rPr>
            <w:rStyle w:val="Hyperlink"/>
            <w:rFonts w:ascii="Arial" w:hAnsi="Arial" w:cs="Arial"/>
            <w:sz w:val="22"/>
            <w:szCs w:val="22"/>
          </w:rPr>
          <w:t>http://spire.environment.gov.au/spire/886644/246810/338/VIC%20-%20PQ%20Aquatics/Assessment%20-%20NDF%20-%20Proposed%20harvest%20limits%20(H.%20abdominalis_H.%20breviceps)%20-%202015.pdf</w:t>
        </w:r>
      </w:hyperlink>
      <w:r w:rsidR="002502AE">
        <w:rPr>
          <w:rFonts w:ascii="Arial" w:hAnsi="Arial" w:cs="Arial"/>
          <w:sz w:val="22"/>
          <w:szCs w:val="22"/>
        </w:rPr>
        <w:t xml:space="preserve"> </w:t>
      </w:r>
    </w:p>
    <w:p w14:paraId="40BD61C3" w14:textId="77777777" w:rsidR="00B326C4" w:rsidRDefault="00B326C4" w:rsidP="00433FCA">
      <w:pPr>
        <w:spacing w:line="276" w:lineRule="auto"/>
        <w:rPr>
          <w:b/>
          <w:bCs/>
        </w:rPr>
      </w:pPr>
    </w:p>
    <w:p w14:paraId="52836BE5" w14:textId="551B52A4" w:rsidR="007361FC" w:rsidRPr="007E0437" w:rsidRDefault="003B2F4F" w:rsidP="00433FCA">
      <w:pPr>
        <w:spacing w:line="276" w:lineRule="auto"/>
        <w:rPr>
          <w:b/>
          <w:bCs/>
        </w:rPr>
      </w:pPr>
      <w:r>
        <w:rPr>
          <w:b/>
          <w:bCs/>
        </w:rPr>
        <w:t>References</w:t>
      </w:r>
    </w:p>
    <w:p w14:paraId="62D0E68B" w14:textId="77777777" w:rsidR="003B2F4F" w:rsidRDefault="003B2F4F" w:rsidP="003B2F4F">
      <w:pPr>
        <w:spacing w:before="0" w:after="0" w:line="276" w:lineRule="auto"/>
      </w:pPr>
      <w:r>
        <w:t xml:space="preserve">Atlas of Living Australia (2021). </w:t>
      </w:r>
      <w:r w:rsidRPr="00177DCC">
        <w:rPr>
          <w:i/>
          <w:iCs/>
        </w:rPr>
        <w:t>Hippocampus abdominalis</w:t>
      </w:r>
      <w:r>
        <w:t xml:space="preserve"> Lesson, 1827. Available from: </w:t>
      </w:r>
      <w:hyperlink r:id="rId31" w:history="1">
        <w:r w:rsidRPr="001759BE">
          <w:rPr>
            <w:rStyle w:val="Hyperlink"/>
          </w:rPr>
          <w:t>https://bie.ala.org.au/species/urn:lsid:biodiversity.org.au:afd.taxon:180e82e4-7039-43ef-b227-1e0f3b386362</w:t>
        </w:r>
      </w:hyperlink>
      <w:r>
        <w:t xml:space="preserve">    </w:t>
      </w:r>
    </w:p>
    <w:p w14:paraId="03295A3C" w14:textId="145CE112" w:rsidR="003B2F4F" w:rsidRDefault="003B2F4F" w:rsidP="003B2F4F">
      <w:pPr>
        <w:spacing w:before="0" w:after="0" w:line="276" w:lineRule="auto"/>
      </w:pPr>
    </w:p>
    <w:p w14:paraId="29E0FEF3" w14:textId="77777777" w:rsidR="00693741" w:rsidRDefault="00693741" w:rsidP="00693741">
      <w:pPr>
        <w:spacing w:before="0" w:after="0" w:line="276" w:lineRule="auto"/>
      </w:pPr>
      <w:r>
        <w:t xml:space="preserve">Atlas of Living Australia (2021). </w:t>
      </w:r>
      <w:r w:rsidRPr="00655FC7">
        <w:rPr>
          <w:i/>
          <w:iCs/>
        </w:rPr>
        <w:t>Hippocampus breviceps</w:t>
      </w:r>
      <w:r>
        <w:t xml:space="preserve"> Peters, 1869. Available from: </w:t>
      </w:r>
      <w:hyperlink r:id="rId32" w:history="1">
        <w:r w:rsidRPr="001759BE">
          <w:rPr>
            <w:rStyle w:val="Hyperlink"/>
          </w:rPr>
          <w:t>https://bie.ala.org.au/species/urn:lsid:biodiversity.org.au:afd.taxon:d3881c8e-0671-4f22-aebd-8758df915b12</w:t>
        </w:r>
      </w:hyperlink>
      <w:r>
        <w:t xml:space="preserve"> </w:t>
      </w:r>
    </w:p>
    <w:p w14:paraId="37A18147" w14:textId="77777777" w:rsidR="00693741" w:rsidRDefault="00693741" w:rsidP="00693741">
      <w:pPr>
        <w:spacing w:before="0" w:after="0" w:line="276" w:lineRule="auto"/>
      </w:pPr>
    </w:p>
    <w:p w14:paraId="19C340A8" w14:textId="64776D50" w:rsidR="003B2F4F" w:rsidRDefault="003B2F4F" w:rsidP="003B2F4F">
      <w:pPr>
        <w:spacing w:before="0" w:after="0" w:line="276" w:lineRule="auto"/>
      </w:pPr>
      <w:r>
        <w:t xml:space="preserve">Atlas of Living Australia (2021).  </w:t>
      </w:r>
      <w:r w:rsidRPr="00487CFD">
        <w:rPr>
          <w:i/>
          <w:iCs/>
        </w:rPr>
        <w:t>Phyllopteryx taeniolatus</w:t>
      </w:r>
      <w:r>
        <w:t xml:space="preserve"> Lacepede, 1804. Available from: </w:t>
      </w:r>
      <w:hyperlink r:id="rId33" w:history="1">
        <w:r w:rsidRPr="001759BE">
          <w:rPr>
            <w:rStyle w:val="Hyperlink"/>
          </w:rPr>
          <w:t>https://bie.ala.org.au/search?sortField=score&amp;dir=desc&amp;q=weedy+seadragon</w:t>
        </w:r>
      </w:hyperlink>
    </w:p>
    <w:p w14:paraId="327537F6" w14:textId="77777777" w:rsidR="00693741" w:rsidRDefault="00693741" w:rsidP="0042494D">
      <w:pPr>
        <w:spacing w:before="0" w:after="0" w:line="276" w:lineRule="auto"/>
      </w:pPr>
    </w:p>
    <w:p w14:paraId="1E64DDA7" w14:textId="77777777" w:rsidR="00693741" w:rsidRDefault="00693741" w:rsidP="00693741">
      <w:pPr>
        <w:spacing w:before="0" w:after="0" w:line="276" w:lineRule="auto"/>
        <w:rPr>
          <w:rStyle w:val="Hyperlink"/>
        </w:rPr>
      </w:pPr>
      <w:r>
        <w:t xml:space="preserve">Department of Agriculture, Water and the Environment, Australian Government (2021). </w:t>
      </w:r>
      <w:r w:rsidRPr="0041217B">
        <w:rPr>
          <w:i/>
          <w:iCs/>
        </w:rPr>
        <w:t>Hippocampus abdominalis</w:t>
      </w:r>
      <w:r>
        <w:t xml:space="preserve">, </w:t>
      </w:r>
      <w:r w:rsidRPr="0041217B">
        <w:rPr>
          <w:i/>
          <w:iCs/>
        </w:rPr>
        <w:t>Hippocampus breviceps</w:t>
      </w:r>
      <w:r>
        <w:t xml:space="preserve"> and </w:t>
      </w:r>
      <w:r w:rsidRPr="0041217B">
        <w:rPr>
          <w:i/>
          <w:iCs/>
        </w:rPr>
        <w:t>Phyllopteryx taeniolatus</w:t>
      </w:r>
      <w:r>
        <w:t xml:space="preserve"> in Species Profile and Threats Database (SPRAT). Available from: </w:t>
      </w:r>
      <w:hyperlink r:id="rId34" w:history="1">
        <w:r w:rsidRPr="001B7717">
          <w:rPr>
            <w:rStyle w:val="Hyperlink"/>
          </w:rPr>
          <w:t>http://www.environment.gov.au/cgi-bin/sprat/public/sprat.pl</w:t>
        </w:r>
      </w:hyperlink>
    </w:p>
    <w:p w14:paraId="59C96642" w14:textId="77777777" w:rsidR="00693741" w:rsidRDefault="00693741" w:rsidP="0042494D">
      <w:pPr>
        <w:spacing w:before="0" w:after="0" w:line="276" w:lineRule="auto"/>
      </w:pPr>
    </w:p>
    <w:p w14:paraId="45F2A0A9" w14:textId="148F5555" w:rsidR="0042494D" w:rsidRDefault="00E448DB" w:rsidP="0042494D">
      <w:pPr>
        <w:spacing w:before="0" w:after="0" w:line="276" w:lineRule="auto"/>
      </w:pPr>
      <w:r>
        <w:t>Department of Agriculture, Water and the Environment</w:t>
      </w:r>
      <w:r w:rsidR="00B90A25">
        <w:t xml:space="preserve"> (2021).</w:t>
      </w:r>
      <w:r>
        <w:t xml:space="preserve"> </w:t>
      </w:r>
      <w:r w:rsidR="00B90A25">
        <w:t xml:space="preserve">PQ Aquatics – Application 2021, </w:t>
      </w:r>
      <w:r>
        <w:t>Australian Government</w:t>
      </w:r>
      <w:r w:rsidR="0042494D">
        <w:t>.</w:t>
      </w:r>
      <w:r w:rsidR="00C97DBB">
        <w:t xml:space="preserve"> Available from: </w:t>
      </w:r>
      <w:hyperlink r:id="rId35" w:history="1">
        <w:r w:rsidR="00C97DBB" w:rsidRPr="001759BE">
          <w:rPr>
            <w:rStyle w:val="Hyperlink"/>
          </w:rPr>
          <w:t>https://www.awe.gov.au/environment/marine/fisheries/vic/pqaquatics/application-2021</w:t>
        </w:r>
      </w:hyperlink>
      <w:r w:rsidR="0042494D">
        <w:t xml:space="preserve"> </w:t>
      </w:r>
    </w:p>
    <w:p w14:paraId="422979CA" w14:textId="77777777" w:rsidR="003B2F4F" w:rsidRDefault="003B2F4F" w:rsidP="0042494D">
      <w:pPr>
        <w:spacing w:before="0" w:after="0" w:line="276" w:lineRule="auto"/>
      </w:pPr>
    </w:p>
    <w:p w14:paraId="7B9CA92E" w14:textId="4C5595D4" w:rsidR="00A02C25" w:rsidRDefault="00AA6E00" w:rsidP="0042494D">
      <w:pPr>
        <w:spacing w:before="0" w:after="0" w:line="276" w:lineRule="auto"/>
      </w:pPr>
      <w:r>
        <w:t xml:space="preserve">S. M., Yap, </w:t>
      </w:r>
      <w:r w:rsidR="003B676B">
        <w:t>N., Mertens, &amp; K., Mills (2020)</w:t>
      </w:r>
      <w:r w:rsidR="00005973">
        <w:t xml:space="preserve">. </w:t>
      </w:r>
      <w:r>
        <w:t>2020 Great Victorian Fish Count, Victorian</w:t>
      </w:r>
      <w:r w:rsidR="003B676B">
        <w:t xml:space="preserve"> National Parks Associatio</w:t>
      </w:r>
      <w:r w:rsidR="00F427CC">
        <w:t>n</w:t>
      </w:r>
      <w:r w:rsidR="00D13DA2">
        <w:t xml:space="preserve">. </w:t>
      </w:r>
      <w:r w:rsidR="00C97DBB">
        <w:t xml:space="preserve">Available from: </w:t>
      </w:r>
      <w:hyperlink r:id="rId36" w:history="1">
        <w:r w:rsidR="00C97DBB" w:rsidRPr="001759BE">
          <w:rPr>
            <w:rStyle w:val="Hyperlink"/>
            <w:lang w:val="en-US"/>
          </w:rPr>
          <w:t>https://vnpa.org.au/wp-content/uploads/2021/09/GVFC-report-2020_web.pdf</w:t>
        </w:r>
      </w:hyperlink>
    </w:p>
    <w:p w14:paraId="59645BA8" w14:textId="77777777" w:rsidR="002721B5" w:rsidRDefault="002721B5" w:rsidP="00574684">
      <w:pPr>
        <w:spacing w:before="0" w:after="0" w:line="276" w:lineRule="auto"/>
      </w:pPr>
    </w:p>
    <w:p w14:paraId="0DDCEFD3" w14:textId="2C8A31D2" w:rsidR="00487CFD" w:rsidRPr="00433FCA" w:rsidRDefault="00487CFD" w:rsidP="00574684">
      <w:pPr>
        <w:spacing w:before="0" w:after="0" w:line="276" w:lineRule="auto"/>
        <w:sectPr w:rsidR="00487CFD" w:rsidRPr="00433FCA" w:rsidSect="00227603">
          <w:pgSz w:w="11906" w:h="16838"/>
          <w:pgMar w:top="1021" w:right="1021" w:bottom="1021" w:left="1021" w:header="709" w:footer="709" w:gutter="0"/>
          <w:cols w:space="708"/>
          <w:docGrid w:linePitch="360"/>
        </w:sectPr>
      </w:pPr>
      <w:r>
        <w:t xml:space="preserve"> </w:t>
      </w:r>
    </w:p>
    <w:p w14:paraId="1E535582" w14:textId="6537663D" w:rsidR="00E22A97" w:rsidRPr="009F6D6D" w:rsidRDefault="0027415B" w:rsidP="009F6D6D">
      <w:pPr>
        <w:pStyle w:val="Heading1"/>
        <w:rPr>
          <w:rFonts w:ascii="Arial" w:hAnsi="Arial"/>
        </w:rPr>
      </w:pPr>
      <w:bookmarkStart w:id="8" w:name="_Toc90501203"/>
      <w:r w:rsidRPr="00433FCA">
        <w:rPr>
          <w:rFonts w:ascii="Arial" w:hAnsi="Arial"/>
        </w:rPr>
        <w:t>Section</w:t>
      </w:r>
      <w:r w:rsidR="0027138D" w:rsidRPr="00433FCA">
        <w:rPr>
          <w:rFonts w:ascii="Arial" w:hAnsi="Arial"/>
        </w:rPr>
        <w:t xml:space="preserve"> </w:t>
      </w:r>
      <w:r w:rsidR="00417DFC">
        <w:rPr>
          <w:rFonts w:ascii="Arial" w:hAnsi="Arial"/>
        </w:rPr>
        <w:t>3</w:t>
      </w:r>
      <w:r w:rsidR="0027138D" w:rsidRPr="00433FCA">
        <w:rPr>
          <w:rFonts w:ascii="Arial" w:hAnsi="Arial"/>
        </w:rPr>
        <w:t xml:space="preserve">: </w:t>
      </w:r>
      <w:r w:rsidRPr="00433FCA">
        <w:rPr>
          <w:rFonts w:ascii="Arial" w:hAnsi="Arial"/>
        </w:rPr>
        <w:t>Detailed Analysis Against the Guidelines</w:t>
      </w:r>
      <w:bookmarkEnd w:id="8"/>
      <w:r w:rsidRPr="00433FCA">
        <w:rPr>
          <w:rFonts w:ascii="Arial" w:hAnsi="Aria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6"/>
        <w:gridCol w:w="10350"/>
      </w:tblGrid>
      <w:tr w:rsidR="00885298" w:rsidRPr="00433FCA" w14:paraId="48EAFFFA" w14:textId="77777777" w:rsidTr="002F0C8B">
        <w:trPr>
          <w:cantSplit/>
        </w:trPr>
        <w:tc>
          <w:tcPr>
            <w:tcW w:w="1500" w:type="pct"/>
            <w:shd w:val="clear" w:color="auto" w:fill="auto"/>
            <w:vAlign w:val="center"/>
          </w:tcPr>
          <w:p w14:paraId="48317278" w14:textId="7AC3056D" w:rsidR="00E22A97" w:rsidRPr="009F6D6D" w:rsidRDefault="00885298" w:rsidP="009F6D6D">
            <w:pPr>
              <w:spacing w:before="60" w:after="60" w:line="276" w:lineRule="auto"/>
              <w:contextualSpacing/>
              <w:jc w:val="center"/>
              <w:rPr>
                <w:rFonts w:cs="Arial"/>
                <w:b/>
                <w:sz w:val="20"/>
                <w:szCs w:val="20"/>
              </w:rPr>
            </w:pPr>
            <w:r w:rsidRPr="00433FCA">
              <w:rPr>
                <w:rFonts w:cs="Arial"/>
                <w:sz w:val="20"/>
                <w:szCs w:val="20"/>
                <w:lang w:eastAsia="en-AU"/>
              </w:rPr>
              <w:br w:type="page"/>
            </w:r>
            <w:r w:rsidRPr="00433FCA">
              <w:rPr>
                <w:rFonts w:cs="Arial"/>
                <w:b/>
                <w:sz w:val="20"/>
                <w:szCs w:val="20"/>
              </w:rPr>
              <w:t>Guidelines</w:t>
            </w:r>
            <w:r w:rsidR="0027415B" w:rsidRPr="00433FCA">
              <w:rPr>
                <w:rFonts w:cs="Arial"/>
                <w:b/>
                <w:sz w:val="20"/>
                <w:szCs w:val="20"/>
              </w:rPr>
              <w:t xml:space="preserve"> criteria</w:t>
            </w:r>
          </w:p>
        </w:tc>
        <w:tc>
          <w:tcPr>
            <w:tcW w:w="3500" w:type="pct"/>
            <w:shd w:val="clear" w:color="auto" w:fill="FFFFFF"/>
            <w:vAlign w:val="center"/>
          </w:tcPr>
          <w:p w14:paraId="2C014CC6" w14:textId="77777777" w:rsidR="00885298" w:rsidRPr="00433FCA" w:rsidRDefault="00885298" w:rsidP="00FC2EBF">
            <w:pPr>
              <w:spacing w:before="60" w:after="60" w:line="276" w:lineRule="auto"/>
              <w:contextualSpacing/>
              <w:jc w:val="center"/>
              <w:rPr>
                <w:rFonts w:cs="Arial"/>
                <w:b/>
                <w:sz w:val="20"/>
                <w:szCs w:val="20"/>
              </w:rPr>
            </w:pPr>
            <w:r w:rsidRPr="00433FCA">
              <w:rPr>
                <w:rFonts w:cs="Arial"/>
                <w:b/>
                <w:sz w:val="20"/>
                <w:szCs w:val="20"/>
              </w:rPr>
              <w:t>Comment</w:t>
            </w:r>
          </w:p>
        </w:tc>
      </w:tr>
      <w:tr w:rsidR="00885298" w:rsidRPr="00433FCA" w14:paraId="734EF4DC" w14:textId="77777777" w:rsidTr="002F0C8B">
        <w:trPr>
          <w:cantSplit/>
        </w:trPr>
        <w:tc>
          <w:tcPr>
            <w:tcW w:w="5000" w:type="pct"/>
            <w:gridSpan w:val="2"/>
            <w:shd w:val="clear" w:color="auto" w:fill="FFFF66"/>
          </w:tcPr>
          <w:p w14:paraId="7A6AEE90" w14:textId="77777777" w:rsidR="00885298" w:rsidRPr="00433FCA" w:rsidRDefault="00885298" w:rsidP="00FC2EBF">
            <w:pPr>
              <w:spacing w:before="60" w:after="60" w:line="276" w:lineRule="auto"/>
              <w:contextualSpacing/>
              <w:rPr>
                <w:rFonts w:cs="Arial"/>
                <w:b/>
                <w:sz w:val="20"/>
                <w:szCs w:val="20"/>
              </w:rPr>
            </w:pPr>
            <w:r w:rsidRPr="00433FCA">
              <w:rPr>
                <w:rFonts w:cs="Arial"/>
                <w:b/>
                <w:sz w:val="20"/>
                <w:szCs w:val="20"/>
              </w:rPr>
              <w:t>THE MANAGEMENT REGIME</w:t>
            </w:r>
          </w:p>
        </w:tc>
      </w:tr>
      <w:tr w:rsidR="00885298" w:rsidRPr="00433FCA" w14:paraId="28AB77EE" w14:textId="77777777" w:rsidTr="002F0C8B">
        <w:trPr>
          <w:cantSplit/>
        </w:trPr>
        <w:tc>
          <w:tcPr>
            <w:tcW w:w="5000" w:type="pct"/>
            <w:gridSpan w:val="2"/>
            <w:shd w:val="clear" w:color="auto" w:fill="FFFF99"/>
          </w:tcPr>
          <w:p w14:paraId="37148127" w14:textId="77777777" w:rsidR="00885298" w:rsidRPr="00433FCA" w:rsidRDefault="00885298" w:rsidP="00FC2EBF">
            <w:pPr>
              <w:spacing w:before="60" w:after="60" w:line="276" w:lineRule="auto"/>
              <w:contextualSpacing/>
              <w:rPr>
                <w:rFonts w:cs="Arial"/>
                <w:b/>
                <w:sz w:val="20"/>
                <w:szCs w:val="20"/>
              </w:rPr>
            </w:pPr>
            <w:r w:rsidRPr="00433FCA">
              <w:rPr>
                <w:rFonts w:cs="Arial"/>
                <w:sz w:val="20"/>
                <w:szCs w:val="20"/>
              </w:rPr>
              <w:t>The management regime does not have to be a formal statutory fishery management plan as such, and may include non-statutory management arrangements or management policies and programs. The regime should:</w:t>
            </w:r>
          </w:p>
        </w:tc>
      </w:tr>
      <w:tr w:rsidR="00885298" w:rsidRPr="00433FCA" w14:paraId="72AABFAD" w14:textId="77777777" w:rsidTr="009F6D6D">
        <w:trPr>
          <w:cantSplit/>
        </w:trPr>
        <w:tc>
          <w:tcPr>
            <w:tcW w:w="1500" w:type="pct"/>
            <w:shd w:val="clear" w:color="auto" w:fill="92D050"/>
          </w:tcPr>
          <w:p w14:paraId="5A32CC79" w14:textId="77777777" w:rsidR="00885298" w:rsidRPr="00433FCA" w:rsidRDefault="00885298" w:rsidP="00FC2EBF">
            <w:pPr>
              <w:spacing w:before="60" w:after="60" w:line="276" w:lineRule="auto"/>
              <w:contextualSpacing/>
              <w:rPr>
                <w:rFonts w:cs="Arial"/>
                <w:sz w:val="20"/>
                <w:szCs w:val="20"/>
              </w:rPr>
            </w:pPr>
            <w:r w:rsidRPr="00433FCA">
              <w:rPr>
                <w:rFonts w:cs="Arial"/>
                <w:sz w:val="20"/>
                <w:szCs w:val="20"/>
              </w:rPr>
              <w:t>Be documented, publicly available and transparent</w:t>
            </w:r>
            <w:r w:rsidR="006B6EF9" w:rsidRPr="00433FCA">
              <w:rPr>
                <w:rFonts w:cs="Arial"/>
                <w:sz w:val="20"/>
                <w:szCs w:val="20"/>
              </w:rPr>
              <w:t>.</w:t>
            </w:r>
          </w:p>
          <w:p w14:paraId="5524B93B" w14:textId="5700D540" w:rsidR="004649FA" w:rsidRPr="00433FCA" w:rsidRDefault="004649FA" w:rsidP="00FC2EBF">
            <w:pPr>
              <w:spacing w:before="60" w:after="60" w:line="276" w:lineRule="auto"/>
              <w:contextualSpacing/>
              <w:rPr>
                <w:rFonts w:cs="Arial"/>
                <w:sz w:val="20"/>
                <w:szCs w:val="20"/>
              </w:rPr>
            </w:pPr>
          </w:p>
        </w:tc>
        <w:tc>
          <w:tcPr>
            <w:tcW w:w="3500" w:type="pct"/>
            <w:shd w:val="clear" w:color="auto" w:fill="auto"/>
          </w:tcPr>
          <w:p w14:paraId="09CDE1AA" w14:textId="12749724" w:rsidR="00345A6B" w:rsidRDefault="00B4704D" w:rsidP="00FC2EBF">
            <w:pPr>
              <w:spacing w:before="60" w:after="60" w:line="276" w:lineRule="auto"/>
              <w:contextualSpacing/>
              <w:rPr>
                <w:rFonts w:cs="Arial"/>
                <w:b/>
                <w:sz w:val="20"/>
                <w:szCs w:val="20"/>
              </w:rPr>
            </w:pPr>
            <w:r w:rsidRPr="005F632B">
              <w:rPr>
                <w:rFonts w:cs="Arial"/>
                <w:b/>
                <w:sz w:val="20"/>
                <w:szCs w:val="20"/>
              </w:rPr>
              <w:t>Meets</w:t>
            </w:r>
          </w:p>
          <w:p w14:paraId="1DD6EEC3" w14:textId="59926889" w:rsidR="005F632B" w:rsidRDefault="005F632B" w:rsidP="00FC2EBF">
            <w:pPr>
              <w:spacing w:before="60" w:after="60" w:line="276" w:lineRule="auto"/>
              <w:contextualSpacing/>
              <w:rPr>
                <w:rFonts w:cs="Arial"/>
                <w:b/>
                <w:sz w:val="20"/>
                <w:szCs w:val="20"/>
              </w:rPr>
            </w:pPr>
          </w:p>
          <w:p w14:paraId="60C1245D" w14:textId="2810347E" w:rsidR="005F632B" w:rsidRPr="00224D03" w:rsidRDefault="00067354" w:rsidP="00FC2EBF">
            <w:pPr>
              <w:spacing w:before="60" w:after="60" w:line="276" w:lineRule="auto"/>
              <w:contextualSpacing/>
              <w:rPr>
                <w:rFonts w:cs="Arial"/>
                <w:bCs/>
                <w:sz w:val="20"/>
                <w:szCs w:val="20"/>
              </w:rPr>
            </w:pPr>
            <w:r>
              <w:rPr>
                <w:rFonts w:cs="Arial"/>
                <w:bCs/>
                <w:sz w:val="20"/>
                <w:szCs w:val="20"/>
              </w:rPr>
              <w:t xml:space="preserve">The </w:t>
            </w:r>
            <w:r w:rsidR="00131C5A">
              <w:rPr>
                <w:rFonts w:cs="Arial"/>
                <w:bCs/>
                <w:sz w:val="20"/>
                <w:szCs w:val="20"/>
              </w:rPr>
              <w:t>management regime implemented by t</w:t>
            </w:r>
            <w:r w:rsidR="003A28C2" w:rsidRPr="00224D03">
              <w:rPr>
                <w:rFonts w:cs="Arial"/>
                <w:bCs/>
                <w:sz w:val="20"/>
                <w:szCs w:val="20"/>
              </w:rPr>
              <w:t>he</w:t>
            </w:r>
            <w:r w:rsidR="008B3D16">
              <w:rPr>
                <w:rFonts w:cs="Arial"/>
                <w:bCs/>
                <w:sz w:val="20"/>
                <w:szCs w:val="20"/>
              </w:rPr>
              <w:t xml:space="preserve"> Victorian</w:t>
            </w:r>
            <w:r w:rsidR="003A28C2" w:rsidRPr="00224D03">
              <w:rPr>
                <w:rFonts w:cs="Arial"/>
                <w:bCs/>
                <w:sz w:val="20"/>
                <w:szCs w:val="20"/>
              </w:rPr>
              <w:t xml:space="preserve"> PQ Aquatics Syngnathid</w:t>
            </w:r>
            <w:r w:rsidR="00C575FF">
              <w:rPr>
                <w:rFonts w:cs="Arial"/>
                <w:bCs/>
                <w:sz w:val="20"/>
                <w:szCs w:val="20"/>
              </w:rPr>
              <w:t>s</w:t>
            </w:r>
            <w:r w:rsidR="003A28C2" w:rsidRPr="00224D03">
              <w:rPr>
                <w:rFonts w:cs="Arial"/>
                <w:bCs/>
                <w:sz w:val="20"/>
                <w:szCs w:val="20"/>
              </w:rPr>
              <w:t xml:space="preserve"> Wildlife Trade Operation (WTO)</w:t>
            </w:r>
            <w:r w:rsidR="00666603" w:rsidRPr="00224D03">
              <w:rPr>
                <w:rFonts w:cs="Arial"/>
                <w:bCs/>
                <w:sz w:val="20"/>
                <w:szCs w:val="20"/>
              </w:rPr>
              <w:t xml:space="preserve"> </w:t>
            </w:r>
            <w:r w:rsidR="00131C5A">
              <w:rPr>
                <w:rFonts w:cs="Arial"/>
                <w:bCs/>
                <w:sz w:val="20"/>
                <w:szCs w:val="20"/>
              </w:rPr>
              <w:t>is documented</w:t>
            </w:r>
            <w:r w:rsidR="00E04849">
              <w:rPr>
                <w:rFonts w:cs="Arial"/>
                <w:bCs/>
                <w:sz w:val="20"/>
                <w:szCs w:val="20"/>
              </w:rPr>
              <w:t xml:space="preserve"> online</w:t>
            </w:r>
            <w:r w:rsidR="00131C5A">
              <w:rPr>
                <w:rFonts w:cs="Arial"/>
                <w:bCs/>
                <w:sz w:val="20"/>
                <w:szCs w:val="20"/>
              </w:rPr>
              <w:t xml:space="preserve">, </w:t>
            </w:r>
            <w:r w:rsidR="00EE2935">
              <w:rPr>
                <w:rFonts w:cs="Arial"/>
                <w:bCs/>
                <w:sz w:val="20"/>
                <w:szCs w:val="20"/>
              </w:rPr>
              <w:t>publicly available and transparent.</w:t>
            </w:r>
            <w:r w:rsidR="00703168">
              <w:rPr>
                <w:rFonts w:cs="Arial"/>
                <w:bCs/>
                <w:sz w:val="20"/>
                <w:szCs w:val="20"/>
              </w:rPr>
              <w:t xml:space="preserve"> </w:t>
            </w:r>
            <w:r w:rsidR="00EE2935">
              <w:rPr>
                <w:rFonts w:cs="Arial"/>
                <w:bCs/>
                <w:sz w:val="20"/>
                <w:szCs w:val="20"/>
              </w:rPr>
              <w:t xml:space="preserve">The operation’s 2021 proposal, which describes the management </w:t>
            </w:r>
            <w:r w:rsidR="00703168">
              <w:rPr>
                <w:rFonts w:cs="Arial"/>
                <w:bCs/>
                <w:sz w:val="20"/>
                <w:szCs w:val="20"/>
              </w:rPr>
              <w:t>measures in place for syngnathid harvest, can be accessed from the</w:t>
            </w:r>
            <w:r w:rsidR="000E5E23" w:rsidRPr="00224D03">
              <w:rPr>
                <w:rFonts w:cs="Arial"/>
                <w:bCs/>
                <w:sz w:val="20"/>
                <w:szCs w:val="20"/>
              </w:rPr>
              <w:t xml:space="preserve"> Department of Agriculture, Water and the Environment</w:t>
            </w:r>
            <w:r w:rsidR="00703168">
              <w:rPr>
                <w:rFonts w:cs="Arial"/>
                <w:bCs/>
                <w:sz w:val="20"/>
                <w:szCs w:val="20"/>
              </w:rPr>
              <w:t>’s</w:t>
            </w:r>
            <w:r w:rsidR="000E5E23" w:rsidRPr="00224D03">
              <w:rPr>
                <w:rFonts w:cs="Arial"/>
                <w:bCs/>
                <w:sz w:val="20"/>
                <w:szCs w:val="20"/>
              </w:rPr>
              <w:t xml:space="preserve"> </w:t>
            </w:r>
            <w:hyperlink r:id="rId37" w:history="1">
              <w:r w:rsidR="000E5E23" w:rsidRPr="00450489">
                <w:rPr>
                  <w:rStyle w:val="Hyperlink"/>
                  <w:rFonts w:cs="Arial"/>
                  <w:bCs/>
                  <w:sz w:val="20"/>
                  <w:szCs w:val="20"/>
                </w:rPr>
                <w:t>website</w:t>
              </w:r>
            </w:hyperlink>
            <w:r w:rsidR="007D7CAA" w:rsidRPr="00224D03">
              <w:rPr>
                <w:rFonts w:cs="Arial"/>
                <w:bCs/>
                <w:sz w:val="20"/>
                <w:szCs w:val="20"/>
              </w:rPr>
              <w:t>.</w:t>
            </w:r>
            <w:r w:rsidR="006F1D4C" w:rsidRPr="00224D03">
              <w:rPr>
                <w:rFonts w:cs="Arial"/>
                <w:bCs/>
                <w:sz w:val="20"/>
                <w:szCs w:val="20"/>
              </w:rPr>
              <w:t xml:space="preserve"> </w:t>
            </w:r>
            <w:r w:rsidR="002F5DEB" w:rsidRPr="00224D03">
              <w:rPr>
                <w:rFonts w:cs="Arial"/>
                <w:bCs/>
                <w:sz w:val="20"/>
                <w:szCs w:val="20"/>
              </w:rPr>
              <w:t>The Victorian Fisheries Authority</w:t>
            </w:r>
            <w:r w:rsidR="009220C9">
              <w:rPr>
                <w:rFonts w:cs="Arial"/>
                <w:bCs/>
                <w:sz w:val="20"/>
                <w:szCs w:val="20"/>
              </w:rPr>
              <w:t>’s</w:t>
            </w:r>
            <w:r w:rsidR="002F5DEB" w:rsidRPr="00224D03">
              <w:rPr>
                <w:rFonts w:cs="Arial"/>
                <w:bCs/>
                <w:sz w:val="20"/>
                <w:szCs w:val="20"/>
              </w:rPr>
              <w:t xml:space="preserve"> (VFA)</w:t>
            </w:r>
            <w:r w:rsidR="00AB70AA" w:rsidRPr="00224D03">
              <w:rPr>
                <w:rFonts w:cs="Arial"/>
                <w:bCs/>
                <w:sz w:val="20"/>
                <w:szCs w:val="20"/>
              </w:rPr>
              <w:t xml:space="preserve"> </w:t>
            </w:r>
            <w:hyperlink r:id="rId38" w:history="1">
              <w:r w:rsidR="009220C9" w:rsidRPr="00BA78B1">
                <w:rPr>
                  <w:rStyle w:val="Hyperlink"/>
                  <w:rFonts w:cs="Arial"/>
                  <w:bCs/>
                  <w:sz w:val="20"/>
                  <w:szCs w:val="20"/>
                </w:rPr>
                <w:t>website</w:t>
              </w:r>
            </w:hyperlink>
            <w:r w:rsidR="009220C9">
              <w:rPr>
                <w:rFonts w:cs="Arial"/>
                <w:bCs/>
                <w:sz w:val="20"/>
                <w:szCs w:val="20"/>
              </w:rPr>
              <w:t xml:space="preserve"> </w:t>
            </w:r>
            <w:r w:rsidR="00E1598C">
              <w:rPr>
                <w:rFonts w:cs="Arial"/>
                <w:bCs/>
                <w:sz w:val="20"/>
                <w:szCs w:val="20"/>
              </w:rPr>
              <w:t xml:space="preserve">also </w:t>
            </w:r>
            <w:r w:rsidR="00486E5D" w:rsidRPr="00224D03">
              <w:rPr>
                <w:rFonts w:cs="Arial"/>
                <w:bCs/>
                <w:sz w:val="20"/>
                <w:szCs w:val="20"/>
              </w:rPr>
              <w:t xml:space="preserve">describes the management </w:t>
            </w:r>
            <w:r w:rsidR="007A06BA">
              <w:rPr>
                <w:rFonts w:cs="Arial"/>
                <w:bCs/>
                <w:sz w:val="20"/>
                <w:szCs w:val="20"/>
              </w:rPr>
              <w:t xml:space="preserve">conditions in place </w:t>
            </w:r>
            <w:r w:rsidR="00A97B75">
              <w:rPr>
                <w:rFonts w:cs="Arial"/>
                <w:bCs/>
                <w:sz w:val="20"/>
                <w:szCs w:val="20"/>
              </w:rPr>
              <w:t>when harvesting syngnathids</w:t>
            </w:r>
            <w:r w:rsidR="00962871">
              <w:rPr>
                <w:rFonts w:cs="Arial"/>
                <w:bCs/>
                <w:sz w:val="20"/>
                <w:szCs w:val="20"/>
              </w:rPr>
              <w:t xml:space="preserve"> under </w:t>
            </w:r>
            <w:r w:rsidR="00962871" w:rsidRPr="0058523B">
              <w:rPr>
                <w:rFonts w:cs="Arial"/>
                <w:bCs/>
                <w:sz w:val="20"/>
                <w:szCs w:val="20"/>
              </w:rPr>
              <w:t>a Protected Aquatic Biota Permit</w:t>
            </w:r>
            <w:r w:rsidR="00683C37" w:rsidRPr="0058523B">
              <w:rPr>
                <w:rFonts w:cs="Arial"/>
                <w:bCs/>
                <w:sz w:val="20"/>
                <w:szCs w:val="20"/>
              </w:rPr>
              <w:t xml:space="preserve">. </w:t>
            </w:r>
            <w:r w:rsidR="0048666E" w:rsidRPr="0058523B">
              <w:rPr>
                <w:rFonts w:cs="Arial"/>
                <w:bCs/>
                <w:sz w:val="20"/>
                <w:szCs w:val="20"/>
              </w:rPr>
              <w:t>I</w:t>
            </w:r>
            <w:r w:rsidR="0048666E">
              <w:rPr>
                <w:rFonts w:cs="Arial"/>
                <w:bCs/>
                <w:sz w:val="20"/>
                <w:szCs w:val="20"/>
              </w:rPr>
              <w:t>n addition, t</w:t>
            </w:r>
            <w:r w:rsidR="006F5B13">
              <w:rPr>
                <w:rFonts w:cs="Arial"/>
                <w:bCs/>
                <w:sz w:val="20"/>
                <w:szCs w:val="20"/>
              </w:rPr>
              <w:t xml:space="preserve">he </w:t>
            </w:r>
            <w:r>
              <w:rPr>
                <w:rFonts w:cs="Arial"/>
                <w:bCs/>
                <w:sz w:val="20"/>
                <w:szCs w:val="20"/>
              </w:rPr>
              <w:t xml:space="preserve">Victorian </w:t>
            </w:r>
            <w:r w:rsidR="00683C37">
              <w:rPr>
                <w:rFonts w:cs="Arial"/>
                <w:bCs/>
                <w:sz w:val="20"/>
                <w:szCs w:val="20"/>
              </w:rPr>
              <w:t>legislation</w:t>
            </w:r>
            <w:r w:rsidR="00580C48">
              <w:rPr>
                <w:rFonts w:cs="Arial"/>
                <w:bCs/>
                <w:sz w:val="20"/>
                <w:szCs w:val="20"/>
              </w:rPr>
              <w:t xml:space="preserve"> </w:t>
            </w:r>
            <w:r w:rsidR="006F5B13">
              <w:rPr>
                <w:rFonts w:cs="Arial"/>
                <w:bCs/>
                <w:sz w:val="20"/>
                <w:szCs w:val="20"/>
              </w:rPr>
              <w:t>governing fishing activity in state waters</w:t>
            </w:r>
            <w:r w:rsidR="000B0C36">
              <w:rPr>
                <w:rFonts w:cs="Arial"/>
                <w:bCs/>
                <w:sz w:val="20"/>
                <w:szCs w:val="20"/>
              </w:rPr>
              <w:t xml:space="preserve">, the </w:t>
            </w:r>
            <w:hyperlink r:id="rId39" w:history="1">
              <w:r w:rsidR="000B0C36" w:rsidRPr="00E33251">
                <w:rPr>
                  <w:rStyle w:val="Hyperlink"/>
                  <w:rFonts w:cs="Arial"/>
                  <w:bCs/>
                  <w:i/>
                  <w:iCs/>
                  <w:sz w:val="20"/>
                  <w:szCs w:val="20"/>
                </w:rPr>
                <w:t>Fisheries Act 1995</w:t>
              </w:r>
            </w:hyperlink>
            <w:r w:rsidR="00C32937">
              <w:rPr>
                <w:rFonts w:cs="Arial"/>
                <w:bCs/>
                <w:i/>
                <w:iCs/>
                <w:sz w:val="20"/>
                <w:szCs w:val="20"/>
              </w:rPr>
              <w:t xml:space="preserve"> </w:t>
            </w:r>
            <w:r w:rsidR="00C32937">
              <w:rPr>
                <w:rFonts w:cs="Arial"/>
                <w:bCs/>
                <w:sz w:val="20"/>
                <w:szCs w:val="20"/>
              </w:rPr>
              <w:t xml:space="preserve">and </w:t>
            </w:r>
            <w:hyperlink r:id="rId40" w:history="1">
              <w:r w:rsidR="00C32937" w:rsidRPr="004D4143">
                <w:rPr>
                  <w:rStyle w:val="Hyperlink"/>
                  <w:rFonts w:cs="Arial"/>
                  <w:bCs/>
                  <w:i/>
                  <w:iCs/>
                  <w:sz w:val="20"/>
                  <w:szCs w:val="20"/>
                </w:rPr>
                <w:t xml:space="preserve">Fisheries Regulations </w:t>
              </w:r>
              <w:r w:rsidR="00462564" w:rsidRPr="004D4143">
                <w:rPr>
                  <w:rStyle w:val="Hyperlink"/>
                  <w:rFonts w:cs="Arial"/>
                  <w:bCs/>
                  <w:i/>
                  <w:iCs/>
                  <w:sz w:val="20"/>
                  <w:szCs w:val="20"/>
                </w:rPr>
                <w:t>2019</w:t>
              </w:r>
            </w:hyperlink>
            <w:r w:rsidR="000B0C36">
              <w:rPr>
                <w:rFonts w:cs="Arial"/>
                <w:bCs/>
                <w:sz w:val="20"/>
                <w:szCs w:val="20"/>
              </w:rPr>
              <w:t>,</w:t>
            </w:r>
            <w:r w:rsidR="006F5B13">
              <w:rPr>
                <w:rFonts w:cs="Arial"/>
                <w:bCs/>
                <w:sz w:val="20"/>
                <w:szCs w:val="20"/>
              </w:rPr>
              <w:t xml:space="preserve"> </w:t>
            </w:r>
            <w:r w:rsidR="0017144C">
              <w:rPr>
                <w:rFonts w:cs="Arial"/>
                <w:bCs/>
                <w:sz w:val="20"/>
                <w:szCs w:val="20"/>
              </w:rPr>
              <w:t>is</w:t>
            </w:r>
            <w:r w:rsidR="00580C48">
              <w:rPr>
                <w:rFonts w:cs="Arial"/>
                <w:bCs/>
                <w:sz w:val="20"/>
                <w:szCs w:val="20"/>
              </w:rPr>
              <w:t xml:space="preserve"> also available from the </w:t>
            </w:r>
            <w:r w:rsidR="005254B4">
              <w:rPr>
                <w:rFonts w:cs="Arial"/>
                <w:bCs/>
                <w:sz w:val="20"/>
                <w:szCs w:val="20"/>
              </w:rPr>
              <w:t>Government website</w:t>
            </w:r>
            <w:r w:rsidR="00C32937">
              <w:rPr>
                <w:rFonts w:cs="Arial"/>
                <w:bCs/>
                <w:sz w:val="20"/>
                <w:szCs w:val="20"/>
              </w:rPr>
              <w:t xml:space="preserve"> for Victorian Legislati</w:t>
            </w:r>
            <w:r w:rsidR="0048666E">
              <w:rPr>
                <w:rFonts w:cs="Arial"/>
                <w:bCs/>
                <w:sz w:val="20"/>
                <w:szCs w:val="20"/>
              </w:rPr>
              <w:t>o</w:t>
            </w:r>
            <w:r w:rsidR="00C32937">
              <w:rPr>
                <w:rFonts w:cs="Arial"/>
                <w:bCs/>
                <w:sz w:val="20"/>
                <w:szCs w:val="20"/>
              </w:rPr>
              <w:t>n</w:t>
            </w:r>
            <w:r w:rsidR="00462564">
              <w:rPr>
                <w:rFonts w:cs="Arial"/>
                <w:bCs/>
                <w:sz w:val="20"/>
                <w:szCs w:val="20"/>
              </w:rPr>
              <w:t xml:space="preserve"> (</w:t>
            </w:r>
            <w:r w:rsidR="002B3454">
              <w:rPr>
                <w:rFonts w:cs="Arial"/>
                <w:bCs/>
                <w:sz w:val="20"/>
                <w:szCs w:val="20"/>
              </w:rPr>
              <w:t xml:space="preserve">refer to </w:t>
            </w:r>
            <w:r w:rsidR="000C376C">
              <w:rPr>
                <w:rFonts w:cs="Arial"/>
                <w:bCs/>
                <w:sz w:val="20"/>
                <w:szCs w:val="20"/>
              </w:rPr>
              <w:t>page 8</w:t>
            </w:r>
            <w:r w:rsidR="00C91E58">
              <w:rPr>
                <w:rFonts w:cs="Arial"/>
                <w:bCs/>
                <w:sz w:val="20"/>
                <w:szCs w:val="20"/>
              </w:rPr>
              <w:t>).</w:t>
            </w:r>
            <w:r w:rsidR="00D7721F">
              <w:rPr>
                <w:rFonts w:cs="Arial"/>
                <w:bCs/>
                <w:sz w:val="20"/>
                <w:szCs w:val="20"/>
              </w:rPr>
              <w:t xml:space="preserve"> </w:t>
            </w:r>
          </w:p>
          <w:p w14:paraId="28161830" w14:textId="00A22C8C" w:rsidR="005869AD" w:rsidRPr="00E22A97" w:rsidRDefault="005869AD" w:rsidP="00FC2EBF">
            <w:pPr>
              <w:spacing w:before="60" w:after="60" w:line="276" w:lineRule="auto"/>
              <w:contextualSpacing/>
              <w:rPr>
                <w:rFonts w:cs="Arial"/>
                <w:bCs/>
                <w:sz w:val="20"/>
                <w:szCs w:val="20"/>
              </w:rPr>
            </w:pPr>
          </w:p>
        </w:tc>
      </w:tr>
      <w:tr w:rsidR="00885298" w:rsidRPr="00433FCA" w14:paraId="4513BEBB" w14:textId="77777777" w:rsidTr="009F6D6D">
        <w:trPr>
          <w:cantSplit/>
        </w:trPr>
        <w:tc>
          <w:tcPr>
            <w:tcW w:w="1500" w:type="pct"/>
            <w:shd w:val="clear" w:color="auto" w:fill="92D050"/>
          </w:tcPr>
          <w:p w14:paraId="69DB1911" w14:textId="77777777" w:rsidR="00885298" w:rsidRPr="00433FCA" w:rsidRDefault="00885298" w:rsidP="00FC2EBF">
            <w:pPr>
              <w:spacing w:before="60" w:after="60" w:line="276" w:lineRule="auto"/>
              <w:contextualSpacing/>
              <w:rPr>
                <w:rFonts w:cs="Arial"/>
                <w:sz w:val="20"/>
                <w:szCs w:val="20"/>
              </w:rPr>
            </w:pPr>
            <w:r w:rsidRPr="00433FCA">
              <w:rPr>
                <w:rFonts w:cs="Arial"/>
                <w:sz w:val="20"/>
                <w:szCs w:val="20"/>
              </w:rPr>
              <w:t>Be developed through a consultative process providing opportunity to all interested and affected parties, including the general public</w:t>
            </w:r>
            <w:r w:rsidR="006B6EF9" w:rsidRPr="00433FCA">
              <w:rPr>
                <w:rFonts w:cs="Arial"/>
                <w:sz w:val="20"/>
                <w:szCs w:val="20"/>
              </w:rPr>
              <w:t>.</w:t>
            </w:r>
          </w:p>
          <w:p w14:paraId="1B8852AD" w14:textId="345FBAC7" w:rsidR="004649FA" w:rsidRPr="00433FCA" w:rsidRDefault="004649FA" w:rsidP="00FC2EBF">
            <w:pPr>
              <w:spacing w:before="60" w:after="60" w:line="276" w:lineRule="auto"/>
              <w:contextualSpacing/>
              <w:rPr>
                <w:rFonts w:cs="Arial"/>
                <w:sz w:val="20"/>
                <w:szCs w:val="20"/>
              </w:rPr>
            </w:pPr>
          </w:p>
        </w:tc>
        <w:tc>
          <w:tcPr>
            <w:tcW w:w="3500" w:type="pct"/>
            <w:shd w:val="clear" w:color="auto" w:fill="auto"/>
          </w:tcPr>
          <w:p w14:paraId="389FABD9" w14:textId="7EB04C3B" w:rsidR="00803A85" w:rsidRPr="00803A85" w:rsidRDefault="00803A85" w:rsidP="00FC2EBF">
            <w:pPr>
              <w:spacing w:before="60" w:after="60" w:line="276" w:lineRule="auto"/>
              <w:contextualSpacing/>
              <w:rPr>
                <w:rFonts w:cs="Arial"/>
                <w:b/>
                <w:sz w:val="20"/>
                <w:szCs w:val="20"/>
              </w:rPr>
            </w:pPr>
            <w:r w:rsidRPr="00803A85">
              <w:rPr>
                <w:rFonts w:cs="Arial"/>
                <w:b/>
                <w:sz w:val="20"/>
                <w:szCs w:val="20"/>
              </w:rPr>
              <w:t>Meets</w:t>
            </w:r>
          </w:p>
          <w:p w14:paraId="59042AEE" w14:textId="66DA2C77" w:rsidR="00636969" w:rsidRDefault="00636969" w:rsidP="00FC2EBF">
            <w:pPr>
              <w:spacing w:before="60" w:after="60" w:line="276" w:lineRule="auto"/>
              <w:contextualSpacing/>
              <w:rPr>
                <w:rFonts w:cs="Arial"/>
                <w:bCs/>
                <w:sz w:val="20"/>
                <w:szCs w:val="20"/>
              </w:rPr>
            </w:pPr>
          </w:p>
          <w:p w14:paraId="5AE8C42B" w14:textId="541870F1" w:rsidR="00A94731" w:rsidRPr="00E22A97" w:rsidRDefault="00DF6817" w:rsidP="00FC2EBF">
            <w:pPr>
              <w:spacing w:before="60" w:after="60" w:line="276" w:lineRule="auto"/>
              <w:contextualSpacing/>
              <w:rPr>
                <w:rFonts w:cs="Arial"/>
                <w:bCs/>
                <w:sz w:val="20"/>
                <w:szCs w:val="20"/>
              </w:rPr>
            </w:pPr>
            <w:r>
              <w:rPr>
                <w:rFonts w:cs="Arial"/>
                <w:bCs/>
                <w:sz w:val="20"/>
                <w:szCs w:val="20"/>
              </w:rPr>
              <w:t xml:space="preserve">A public consultation notice, which set out the proposal to declare PQ Aquatics as an approved WTO, was released for public comment on </w:t>
            </w:r>
            <w:r w:rsidR="008C305E">
              <w:rPr>
                <w:rFonts w:cs="Arial"/>
                <w:bCs/>
                <w:sz w:val="20"/>
                <w:szCs w:val="20"/>
              </w:rPr>
              <w:t>24 June 2021 for a minimum of 20 business days</w:t>
            </w:r>
            <w:r w:rsidR="006C490A">
              <w:rPr>
                <w:rFonts w:cs="Arial"/>
                <w:bCs/>
                <w:sz w:val="20"/>
                <w:szCs w:val="20"/>
              </w:rPr>
              <w:t xml:space="preserve"> on the </w:t>
            </w:r>
            <w:r w:rsidR="00853E17">
              <w:rPr>
                <w:rFonts w:cs="Arial"/>
                <w:bCs/>
                <w:sz w:val="20"/>
                <w:szCs w:val="20"/>
              </w:rPr>
              <w:t>d</w:t>
            </w:r>
            <w:r w:rsidR="0019304D">
              <w:rPr>
                <w:rFonts w:cs="Arial"/>
                <w:bCs/>
                <w:sz w:val="20"/>
                <w:szCs w:val="20"/>
              </w:rPr>
              <w:t>epartment’s website</w:t>
            </w:r>
            <w:r w:rsidR="00853E17">
              <w:rPr>
                <w:rFonts w:cs="Arial"/>
                <w:bCs/>
                <w:sz w:val="20"/>
                <w:szCs w:val="20"/>
              </w:rPr>
              <w:t xml:space="preserve">, </w:t>
            </w:r>
            <w:r w:rsidR="00403016">
              <w:rPr>
                <w:rFonts w:cs="Arial"/>
                <w:bCs/>
                <w:sz w:val="20"/>
                <w:szCs w:val="20"/>
              </w:rPr>
              <w:t>and</w:t>
            </w:r>
            <w:r w:rsidR="0058506C">
              <w:rPr>
                <w:rFonts w:cs="Arial"/>
                <w:bCs/>
                <w:sz w:val="20"/>
                <w:szCs w:val="20"/>
              </w:rPr>
              <w:t xml:space="preserve"> closed on 23 July 2021</w:t>
            </w:r>
            <w:r w:rsidR="00403016">
              <w:rPr>
                <w:rFonts w:cs="Arial"/>
                <w:bCs/>
                <w:sz w:val="20"/>
                <w:szCs w:val="20"/>
              </w:rPr>
              <w:t>.</w:t>
            </w:r>
            <w:r w:rsidR="0058506C">
              <w:rPr>
                <w:rFonts w:cs="Arial"/>
                <w:bCs/>
                <w:sz w:val="20"/>
                <w:szCs w:val="20"/>
              </w:rPr>
              <w:t xml:space="preserve"> </w:t>
            </w:r>
            <w:r w:rsidR="009223B5">
              <w:rPr>
                <w:rFonts w:cs="Arial"/>
                <w:bCs/>
                <w:sz w:val="20"/>
                <w:szCs w:val="20"/>
              </w:rPr>
              <w:t xml:space="preserve">No public comments were received. An additional </w:t>
            </w:r>
            <w:r w:rsidR="00B81CAE">
              <w:rPr>
                <w:rFonts w:cs="Arial"/>
                <w:bCs/>
                <w:sz w:val="20"/>
                <w:szCs w:val="20"/>
              </w:rPr>
              <w:t xml:space="preserve">invitation to </w:t>
            </w:r>
            <w:r w:rsidR="00F75880">
              <w:rPr>
                <w:rFonts w:cs="Arial"/>
                <w:bCs/>
                <w:sz w:val="20"/>
                <w:szCs w:val="20"/>
              </w:rPr>
              <w:t xml:space="preserve">comment or </w:t>
            </w:r>
            <w:r w:rsidR="00B81CAE">
              <w:rPr>
                <w:rFonts w:cs="Arial"/>
                <w:bCs/>
                <w:sz w:val="20"/>
                <w:szCs w:val="20"/>
              </w:rPr>
              <w:t>raise concerns was provided to the Victorian Fisheries Authority (</w:t>
            </w:r>
            <w:r w:rsidR="000F04A7">
              <w:rPr>
                <w:rFonts w:cs="Arial"/>
                <w:bCs/>
                <w:sz w:val="20"/>
                <w:szCs w:val="20"/>
              </w:rPr>
              <w:t xml:space="preserve">VFA) </w:t>
            </w:r>
            <w:r w:rsidR="009D5340">
              <w:rPr>
                <w:rFonts w:cs="Arial"/>
                <w:bCs/>
                <w:sz w:val="20"/>
                <w:szCs w:val="20"/>
              </w:rPr>
              <w:t xml:space="preserve">on 15 November 2021. </w:t>
            </w:r>
            <w:r w:rsidR="00E265F4">
              <w:rPr>
                <w:rFonts w:cs="Arial"/>
                <w:bCs/>
                <w:sz w:val="20"/>
                <w:szCs w:val="20"/>
              </w:rPr>
              <w:t xml:space="preserve">The VFA responded on </w:t>
            </w:r>
            <w:r w:rsidR="00BD0BEB">
              <w:rPr>
                <w:rFonts w:cs="Arial"/>
                <w:bCs/>
                <w:sz w:val="20"/>
                <w:szCs w:val="20"/>
              </w:rPr>
              <w:t>19 November 2021</w:t>
            </w:r>
            <w:r w:rsidR="00F75880">
              <w:rPr>
                <w:rFonts w:cs="Arial"/>
                <w:bCs/>
                <w:sz w:val="20"/>
                <w:szCs w:val="20"/>
              </w:rPr>
              <w:t>,</w:t>
            </w:r>
            <w:r w:rsidR="00BD0BEB">
              <w:rPr>
                <w:rFonts w:cs="Arial"/>
                <w:bCs/>
                <w:sz w:val="20"/>
                <w:szCs w:val="20"/>
              </w:rPr>
              <w:t xml:space="preserve"> </w:t>
            </w:r>
            <w:r w:rsidR="00F75880">
              <w:rPr>
                <w:rFonts w:cs="Arial"/>
                <w:bCs/>
                <w:sz w:val="20"/>
                <w:szCs w:val="20"/>
              </w:rPr>
              <w:t>confirming</w:t>
            </w:r>
            <w:r w:rsidR="00BD0BEB">
              <w:rPr>
                <w:rFonts w:cs="Arial"/>
                <w:bCs/>
                <w:sz w:val="20"/>
                <w:szCs w:val="20"/>
              </w:rPr>
              <w:t xml:space="preserve"> that </w:t>
            </w:r>
            <w:r w:rsidR="00721250">
              <w:rPr>
                <w:rFonts w:cs="Arial"/>
                <w:bCs/>
                <w:sz w:val="20"/>
                <w:szCs w:val="20"/>
              </w:rPr>
              <w:t>they are satisfied with the</w:t>
            </w:r>
            <w:r w:rsidR="001E7C80">
              <w:rPr>
                <w:rFonts w:cs="Arial"/>
                <w:bCs/>
                <w:sz w:val="20"/>
                <w:szCs w:val="20"/>
              </w:rPr>
              <w:t xml:space="preserve"> renewal of PQ Aquatics as an approved WTO.</w:t>
            </w:r>
          </w:p>
          <w:p w14:paraId="254E39FF" w14:textId="02D910F5" w:rsidR="00885298" w:rsidRPr="00E22A97" w:rsidRDefault="00885298" w:rsidP="00FC2EBF">
            <w:pPr>
              <w:spacing w:before="60" w:after="60" w:line="276" w:lineRule="auto"/>
              <w:contextualSpacing/>
              <w:rPr>
                <w:rFonts w:cs="Arial"/>
                <w:bCs/>
                <w:sz w:val="20"/>
                <w:szCs w:val="20"/>
              </w:rPr>
            </w:pPr>
          </w:p>
        </w:tc>
      </w:tr>
      <w:tr w:rsidR="00885298" w:rsidRPr="00433FCA" w14:paraId="064DC322" w14:textId="77777777" w:rsidTr="009F6D6D">
        <w:trPr>
          <w:cantSplit/>
        </w:trPr>
        <w:tc>
          <w:tcPr>
            <w:tcW w:w="1500" w:type="pct"/>
            <w:shd w:val="clear" w:color="auto" w:fill="FFC000"/>
          </w:tcPr>
          <w:p w14:paraId="155D9C96" w14:textId="3A9D7BF0" w:rsidR="00885298" w:rsidRPr="00433FCA" w:rsidRDefault="00885298" w:rsidP="00FC2EBF">
            <w:pPr>
              <w:spacing w:before="60" w:after="60" w:line="276" w:lineRule="auto"/>
              <w:contextualSpacing/>
              <w:rPr>
                <w:rFonts w:cs="Arial"/>
                <w:sz w:val="20"/>
                <w:szCs w:val="20"/>
              </w:rPr>
            </w:pPr>
            <w:r w:rsidRPr="00433FCA">
              <w:rPr>
                <w:rFonts w:cs="Arial"/>
                <w:sz w:val="20"/>
                <w:szCs w:val="20"/>
              </w:rPr>
              <w:t>Ensure that a range of expertise and community interests are involved in individual fishery management committees and during the stock assessment process</w:t>
            </w:r>
            <w:r w:rsidR="006B6EF9" w:rsidRPr="00433FCA">
              <w:rPr>
                <w:rFonts w:cs="Arial"/>
                <w:sz w:val="20"/>
                <w:szCs w:val="20"/>
              </w:rPr>
              <w:t>.</w:t>
            </w:r>
          </w:p>
          <w:p w14:paraId="2188F6A2" w14:textId="1B938CBC" w:rsidR="004649FA" w:rsidRPr="00433FCA" w:rsidRDefault="004649FA" w:rsidP="00FC2EBF">
            <w:pPr>
              <w:spacing w:before="60" w:after="60" w:line="276" w:lineRule="auto"/>
              <w:contextualSpacing/>
              <w:rPr>
                <w:rFonts w:cs="Arial"/>
                <w:sz w:val="20"/>
                <w:szCs w:val="20"/>
              </w:rPr>
            </w:pPr>
          </w:p>
        </w:tc>
        <w:tc>
          <w:tcPr>
            <w:tcW w:w="3500" w:type="pct"/>
            <w:shd w:val="clear" w:color="auto" w:fill="auto"/>
          </w:tcPr>
          <w:p w14:paraId="2B92113D" w14:textId="2A0A7D88" w:rsidR="00885298" w:rsidRDefault="00587490" w:rsidP="00FC2EBF">
            <w:pPr>
              <w:spacing w:before="60" w:after="60" w:line="276" w:lineRule="auto"/>
              <w:contextualSpacing/>
              <w:rPr>
                <w:rFonts w:cs="Arial"/>
                <w:b/>
                <w:sz w:val="20"/>
                <w:szCs w:val="20"/>
              </w:rPr>
            </w:pPr>
            <w:r w:rsidRPr="00DB0E23">
              <w:rPr>
                <w:rFonts w:cs="Arial"/>
                <w:b/>
                <w:sz w:val="20"/>
                <w:szCs w:val="20"/>
              </w:rPr>
              <w:t>Partially Meets</w:t>
            </w:r>
          </w:p>
          <w:p w14:paraId="6F7E9B67" w14:textId="77777777" w:rsidR="00264359" w:rsidRPr="00DB0E23" w:rsidRDefault="00264359" w:rsidP="00FC2EBF">
            <w:pPr>
              <w:spacing w:before="60" w:after="60" w:line="276" w:lineRule="auto"/>
              <w:contextualSpacing/>
              <w:rPr>
                <w:rFonts w:cs="Arial"/>
                <w:b/>
                <w:sz w:val="20"/>
                <w:szCs w:val="20"/>
              </w:rPr>
            </w:pPr>
          </w:p>
          <w:p w14:paraId="0ECA36DC" w14:textId="43E4E971" w:rsidR="00114269" w:rsidRPr="00264359" w:rsidRDefault="00114269" w:rsidP="00264359">
            <w:pPr>
              <w:spacing w:before="60" w:after="60" w:line="276" w:lineRule="auto"/>
              <w:contextualSpacing/>
              <w:rPr>
                <w:rFonts w:cs="Arial"/>
                <w:bCs/>
                <w:sz w:val="20"/>
                <w:szCs w:val="20"/>
              </w:rPr>
            </w:pPr>
            <w:r w:rsidRPr="00264359">
              <w:rPr>
                <w:rFonts w:cs="Arial"/>
                <w:bCs/>
                <w:sz w:val="20"/>
                <w:szCs w:val="20"/>
              </w:rPr>
              <w:t>There is limited</w:t>
            </w:r>
            <w:r w:rsidR="004339A7" w:rsidRPr="00264359">
              <w:rPr>
                <w:rFonts w:cs="Arial"/>
                <w:bCs/>
                <w:sz w:val="20"/>
                <w:szCs w:val="20"/>
              </w:rPr>
              <w:t xml:space="preserve"> </w:t>
            </w:r>
            <w:r w:rsidR="00BB5E17" w:rsidRPr="00264359">
              <w:rPr>
                <w:rFonts w:cs="Arial"/>
                <w:bCs/>
                <w:sz w:val="20"/>
                <w:szCs w:val="20"/>
              </w:rPr>
              <w:t xml:space="preserve">industry </w:t>
            </w:r>
            <w:r w:rsidR="004339A7" w:rsidRPr="00264359">
              <w:rPr>
                <w:rFonts w:cs="Arial"/>
                <w:bCs/>
                <w:sz w:val="20"/>
                <w:szCs w:val="20"/>
              </w:rPr>
              <w:t>expertise and community interest</w:t>
            </w:r>
            <w:r w:rsidR="00BB5E17" w:rsidRPr="00264359">
              <w:rPr>
                <w:rFonts w:cs="Arial"/>
                <w:bCs/>
                <w:sz w:val="20"/>
                <w:szCs w:val="20"/>
              </w:rPr>
              <w:t xml:space="preserve"> in the PQ Aquatics WTO. </w:t>
            </w:r>
            <w:r w:rsidR="00535D3C" w:rsidRPr="00264359">
              <w:rPr>
                <w:rFonts w:cs="Arial"/>
                <w:bCs/>
                <w:sz w:val="20"/>
                <w:szCs w:val="20"/>
              </w:rPr>
              <w:t xml:space="preserve">Expertise on stock assessment </w:t>
            </w:r>
            <w:r w:rsidR="00CD7E06" w:rsidRPr="00264359">
              <w:rPr>
                <w:rFonts w:cs="Arial"/>
                <w:bCs/>
                <w:sz w:val="20"/>
                <w:szCs w:val="20"/>
              </w:rPr>
              <w:t>is</w:t>
            </w:r>
            <w:r w:rsidR="00264359" w:rsidRPr="00264359">
              <w:rPr>
                <w:rFonts w:cs="Arial"/>
                <w:bCs/>
                <w:sz w:val="20"/>
                <w:szCs w:val="20"/>
              </w:rPr>
              <w:t xml:space="preserve"> implemented through</w:t>
            </w:r>
            <w:r w:rsidR="00887EE6" w:rsidRPr="00264359">
              <w:rPr>
                <w:rFonts w:cs="Arial"/>
                <w:bCs/>
                <w:sz w:val="20"/>
                <w:szCs w:val="20"/>
              </w:rPr>
              <w:t xml:space="preserve"> the </w:t>
            </w:r>
            <w:r w:rsidR="00E641CE">
              <w:rPr>
                <w:rFonts w:cs="Arial"/>
                <w:bCs/>
                <w:sz w:val="20"/>
                <w:szCs w:val="20"/>
              </w:rPr>
              <w:t xml:space="preserve">species-specific </w:t>
            </w:r>
            <w:r w:rsidR="006C01BF" w:rsidRPr="00264359">
              <w:rPr>
                <w:rFonts w:cs="Arial"/>
                <w:bCs/>
                <w:sz w:val="20"/>
                <w:szCs w:val="20"/>
              </w:rPr>
              <w:t>management conditions</w:t>
            </w:r>
            <w:r w:rsidR="009031FE" w:rsidRPr="00264359">
              <w:rPr>
                <w:rFonts w:cs="Arial"/>
                <w:bCs/>
                <w:sz w:val="20"/>
                <w:szCs w:val="20"/>
              </w:rPr>
              <w:t xml:space="preserve"> prescribed by the VFA </w:t>
            </w:r>
            <w:r w:rsidR="006347CB" w:rsidRPr="00264359">
              <w:rPr>
                <w:rFonts w:cs="Arial"/>
                <w:bCs/>
                <w:sz w:val="20"/>
                <w:szCs w:val="20"/>
              </w:rPr>
              <w:t>permit for Protected Aquatic Biota.</w:t>
            </w:r>
          </w:p>
          <w:p w14:paraId="14A7D973" w14:textId="1DAC1619" w:rsidR="00587490" w:rsidRPr="006347CB" w:rsidRDefault="00587490" w:rsidP="006347CB">
            <w:pPr>
              <w:spacing w:before="60" w:after="60" w:line="276" w:lineRule="auto"/>
              <w:contextualSpacing/>
              <w:rPr>
                <w:rFonts w:cs="Arial"/>
                <w:bCs/>
                <w:sz w:val="20"/>
                <w:szCs w:val="20"/>
              </w:rPr>
            </w:pPr>
          </w:p>
        </w:tc>
      </w:tr>
      <w:tr w:rsidR="00885298" w:rsidRPr="00433FCA" w14:paraId="434A9161" w14:textId="77777777" w:rsidTr="009F6D6D">
        <w:trPr>
          <w:cantSplit/>
        </w:trPr>
        <w:tc>
          <w:tcPr>
            <w:tcW w:w="1500" w:type="pct"/>
            <w:shd w:val="clear" w:color="auto" w:fill="92D050"/>
          </w:tcPr>
          <w:p w14:paraId="434CE030" w14:textId="77777777" w:rsidR="00885298" w:rsidRPr="00433FCA" w:rsidRDefault="00885298" w:rsidP="00FC2EBF">
            <w:pPr>
              <w:spacing w:before="60" w:after="60" w:line="276" w:lineRule="auto"/>
              <w:contextualSpacing/>
              <w:rPr>
                <w:rFonts w:cs="Arial"/>
                <w:sz w:val="20"/>
                <w:szCs w:val="20"/>
              </w:rPr>
            </w:pPr>
            <w:r w:rsidRPr="00433FCA">
              <w:rPr>
                <w:rFonts w:cs="Arial"/>
                <w:sz w:val="20"/>
                <w:szCs w:val="20"/>
              </w:rPr>
              <w:t>Be strategic, containing objectives and performance criteria by which the effectiveness of the management arrangements are measured</w:t>
            </w:r>
            <w:r w:rsidR="006B6EF9" w:rsidRPr="00433FCA">
              <w:rPr>
                <w:rFonts w:cs="Arial"/>
                <w:sz w:val="20"/>
                <w:szCs w:val="20"/>
              </w:rPr>
              <w:t>.</w:t>
            </w:r>
          </w:p>
          <w:p w14:paraId="7043B0B9" w14:textId="6802F625" w:rsidR="004649FA" w:rsidRPr="00433FCA" w:rsidRDefault="004649FA" w:rsidP="00FC2EBF">
            <w:pPr>
              <w:spacing w:before="60" w:after="60" w:line="276" w:lineRule="auto"/>
              <w:contextualSpacing/>
              <w:rPr>
                <w:rFonts w:cs="Arial"/>
                <w:sz w:val="20"/>
                <w:szCs w:val="20"/>
              </w:rPr>
            </w:pPr>
          </w:p>
        </w:tc>
        <w:tc>
          <w:tcPr>
            <w:tcW w:w="3500" w:type="pct"/>
            <w:shd w:val="clear" w:color="auto" w:fill="auto"/>
          </w:tcPr>
          <w:p w14:paraId="7A94B96B" w14:textId="09F8C32E" w:rsidR="00F70065" w:rsidRPr="002A37B2" w:rsidRDefault="00F36A2E" w:rsidP="00FC2EBF">
            <w:pPr>
              <w:pStyle w:val="BodyText1"/>
              <w:spacing w:before="60" w:after="60" w:line="276" w:lineRule="auto"/>
              <w:contextualSpacing/>
              <w:jc w:val="left"/>
              <w:rPr>
                <w:rFonts w:cs="Arial"/>
                <w:b/>
                <w:sz w:val="20"/>
              </w:rPr>
            </w:pPr>
            <w:r w:rsidRPr="002A37B2">
              <w:rPr>
                <w:rFonts w:cs="Arial"/>
                <w:b/>
                <w:sz w:val="20"/>
              </w:rPr>
              <w:t>Meets</w:t>
            </w:r>
          </w:p>
          <w:p w14:paraId="276484FE" w14:textId="564ED079" w:rsidR="00F36A2E" w:rsidRPr="002A37B2" w:rsidRDefault="00F36A2E" w:rsidP="00FC2EBF">
            <w:pPr>
              <w:pStyle w:val="BodyText1"/>
              <w:spacing w:before="60" w:after="60" w:line="276" w:lineRule="auto"/>
              <w:contextualSpacing/>
              <w:jc w:val="left"/>
              <w:rPr>
                <w:rFonts w:cs="Arial"/>
                <w:bCs/>
                <w:sz w:val="20"/>
              </w:rPr>
            </w:pPr>
          </w:p>
          <w:p w14:paraId="28A0A7BF" w14:textId="6EB06FE8" w:rsidR="00F36A2E" w:rsidRPr="00E22A97" w:rsidRDefault="00A63318" w:rsidP="00FC2EBF">
            <w:pPr>
              <w:pStyle w:val="BodyText1"/>
              <w:spacing w:before="60" w:after="60" w:line="276" w:lineRule="auto"/>
              <w:contextualSpacing/>
              <w:jc w:val="left"/>
              <w:rPr>
                <w:rFonts w:cs="Arial"/>
                <w:bCs/>
                <w:sz w:val="20"/>
              </w:rPr>
            </w:pPr>
            <w:r w:rsidRPr="002A37B2">
              <w:rPr>
                <w:rFonts w:cs="Arial"/>
                <w:bCs/>
                <w:sz w:val="20"/>
              </w:rPr>
              <w:t>The effecti</w:t>
            </w:r>
            <w:r w:rsidR="00100469" w:rsidRPr="002A37B2">
              <w:rPr>
                <w:rFonts w:cs="Arial"/>
                <w:bCs/>
                <w:sz w:val="20"/>
              </w:rPr>
              <w:t xml:space="preserve">veness of management arrangements </w:t>
            </w:r>
            <w:r w:rsidR="00C52BF2">
              <w:rPr>
                <w:rFonts w:cs="Arial"/>
                <w:bCs/>
                <w:sz w:val="20"/>
              </w:rPr>
              <w:t>is</w:t>
            </w:r>
            <w:r w:rsidR="00614B8A" w:rsidRPr="002A37B2">
              <w:rPr>
                <w:rFonts w:cs="Arial"/>
                <w:bCs/>
                <w:sz w:val="20"/>
              </w:rPr>
              <w:t xml:space="preserve"> measured </w:t>
            </w:r>
            <w:r w:rsidR="003411FE" w:rsidRPr="002A37B2">
              <w:rPr>
                <w:rFonts w:cs="Arial"/>
                <w:bCs/>
                <w:sz w:val="20"/>
              </w:rPr>
              <w:t>through</w:t>
            </w:r>
            <w:r w:rsidR="00614B8A" w:rsidRPr="002A37B2">
              <w:rPr>
                <w:rFonts w:cs="Arial"/>
                <w:bCs/>
                <w:sz w:val="20"/>
              </w:rPr>
              <w:t xml:space="preserve"> </w:t>
            </w:r>
            <w:r w:rsidR="003411FE" w:rsidRPr="002A37B2">
              <w:rPr>
                <w:rFonts w:cs="Arial"/>
                <w:bCs/>
                <w:sz w:val="20"/>
              </w:rPr>
              <w:t xml:space="preserve">monthly </w:t>
            </w:r>
            <w:r w:rsidR="00005A8F" w:rsidRPr="002A37B2">
              <w:rPr>
                <w:rFonts w:cs="Arial"/>
                <w:bCs/>
                <w:sz w:val="20"/>
              </w:rPr>
              <w:t>General Permit Activity</w:t>
            </w:r>
            <w:r w:rsidR="00614B8A" w:rsidRPr="002A37B2">
              <w:rPr>
                <w:rFonts w:cs="Arial"/>
                <w:bCs/>
                <w:sz w:val="20"/>
              </w:rPr>
              <w:t xml:space="preserve"> </w:t>
            </w:r>
            <w:r w:rsidR="00005A8F" w:rsidRPr="002A37B2">
              <w:rPr>
                <w:rFonts w:cs="Arial"/>
                <w:bCs/>
                <w:sz w:val="20"/>
              </w:rPr>
              <w:t>R</w:t>
            </w:r>
            <w:r w:rsidR="00F755AF" w:rsidRPr="002A37B2">
              <w:rPr>
                <w:rFonts w:cs="Arial"/>
                <w:bCs/>
                <w:sz w:val="20"/>
              </w:rPr>
              <w:t>eports</w:t>
            </w:r>
            <w:r w:rsidR="003411FE" w:rsidRPr="002A37B2">
              <w:rPr>
                <w:rFonts w:cs="Arial"/>
                <w:bCs/>
                <w:sz w:val="20"/>
              </w:rPr>
              <w:t>,</w:t>
            </w:r>
            <w:r w:rsidR="00F755AF" w:rsidRPr="002A37B2">
              <w:rPr>
                <w:rFonts w:cs="Arial"/>
                <w:bCs/>
                <w:sz w:val="20"/>
              </w:rPr>
              <w:t xml:space="preserve"> </w:t>
            </w:r>
            <w:r w:rsidR="003411FE" w:rsidRPr="002A37B2">
              <w:rPr>
                <w:rFonts w:cs="Arial"/>
                <w:bCs/>
                <w:sz w:val="20"/>
              </w:rPr>
              <w:t>which provide specific details of harvesting</w:t>
            </w:r>
            <w:r w:rsidR="0056443D" w:rsidRPr="002A37B2">
              <w:rPr>
                <w:rFonts w:cs="Arial"/>
                <w:bCs/>
                <w:sz w:val="20"/>
              </w:rPr>
              <w:t xml:space="preserve"> and operational</w:t>
            </w:r>
            <w:r w:rsidR="003411FE" w:rsidRPr="002A37B2">
              <w:rPr>
                <w:rFonts w:cs="Arial"/>
                <w:bCs/>
                <w:sz w:val="20"/>
              </w:rPr>
              <w:t xml:space="preserve"> activities</w:t>
            </w:r>
            <w:r w:rsidR="00A65EC8" w:rsidRPr="002A37B2">
              <w:rPr>
                <w:rFonts w:cs="Arial"/>
                <w:bCs/>
                <w:sz w:val="20"/>
              </w:rPr>
              <w:t xml:space="preserve"> to the VFA. </w:t>
            </w:r>
            <w:r w:rsidR="003003B9">
              <w:rPr>
                <w:rFonts w:cs="Arial"/>
                <w:bCs/>
                <w:sz w:val="20"/>
              </w:rPr>
              <w:t xml:space="preserve">Major reporting </w:t>
            </w:r>
            <w:r w:rsidR="00C46B5C">
              <w:rPr>
                <w:rFonts w:cs="Arial"/>
                <w:bCs/>
                <w:sz w:val="20"/>
              </w:rPr>
              <w:t xml:space="preserve">details include </w:t>
            </w:r>
            <w:r w:rsidR="003F4E7E">
              <w:rPr>
                <w:rFonts w:cs="Arial"/>
                <w:bCs/>
                <w:sz w:val="20"/>
              </w:rPr>
              <w:t xml:space="preserve">harvesting locations, </w:t>
            </w:r>
            <w:r w:rsidR="003003B9">
              <w:rPr>
                <w:rFonts w:cs="Arial"/>
                <w:bCs/>
                <w:sz w:val="20"/>
              </w:rPr>
              <w:t xml:space="preserve">collection dates and times, </w:t>
            </w:r>
            <w:r w:rsidR="00884B6B">
              <w:rPr>
                <w:rFonts w:cs="Arial"/>
                <w:bCs/>
                <w:sz w:val="20"/>
              </w:rPr>
              <w:t>the number of harvested specimens</w:t>
            </w:r>
            <w:r w:rsidR="0070226D">
              <w:rPr>
                <w:rFonts w:cs="Arial"/>
                <w:bCs/>
                <w:sz w:val="20"/>
              </w:rPr>
              <w:t xml:space="preserve"> and their respective sexes, reproductive state (i.e. gravid), </w:t>
            </w:r>
            <w:r w:rsidR="00C12B72">
              <w:rPr>
                <w:rFonts w:cs="Arial"/>
                <w:bCs/>
                <w:sz w:val="20"/>
              </w:rPr>
              <w:t xml:space="preserve">eggs released, </w:t>
            </w:r>
            <w:r w:rsidR="00884B6B">
              <w:rPr>
                <w:rFonts w:cs="Arial"/>
                <w:bCs/>
                <w:sz w:val="20"/>
              </w:rPr>
              <w:t>hatchling survival</w:t>
            </w:r>
            <w:r w:rsidR="00C940E6">
              <w:rPr>
                <w:rFonts w:cs="Arial"/>
                <w:bCs/>
                <w:sz w:val="20"/>
              </w:rPr>
              <w:t>, growth rates and</w:t>
            </w:r>
            <w:r w:rsidR="00626824">
              <w:rPr>
                <w:rFonts w:cs="Arial"/>
                <w:bCs/>
                <w:sz w:val="20"/>
              </w:rPr>
              <w:t xml:space="preserve"> overseas</w:t>
            </w:r>
            <w:r w:rsidR="00C940E6">
              <w:rPr>
                <w:rFonts w:cs="Arial"/>
                <w:bCs/>
                <w:sz w:val="20"/>
              </w:rPr>
              <w:t xml:space="preserve"> sale records. </w:t>
            </w:r>
            <w:r w:rsidR="005F4778" w:rsidRPr="002A37B2">
              <w:rPr>
                <w:rFonts w:cs="Arial"/>
                <w:bCs/>
                <w:sz w:val="20"/>
              </w:rPr>
              <w:t xml:space="preserve">The </w:t>
            </w:r>
            <w:r w:rsidR="00D57FC1">
              <w:rPr>
                <w:rFonts w:cs="Arial"/>
                <w:bCs/>
                <w:sz w:val="20"/>
              </w:rPr>
              <w:t>d</w:t>
            </w:r>
            <w:r w:rsidR="005F4778" w:rsidRPr="002A37B2">
              <w:rPr>
                <w:rFonts w:cs="Arial"/>
                <w:bCs/>
                <w:sz w:val="20"/>
              </w:rPr>
              <w:t>epartment will also monitor harvest levels</w:t>
            </w:r>
            <w:r w:rsidR="00FB23F3" w:rsidRPr="002A37B2">
              <w:rPr>
                <w:rFonts w:cs="Arial"/>
                <w:bCs/>
                <w:sz w:val="20"/>
              </w:rPr>
              <w:t xml:space="preserve"> through annual reporting, as a condition on the</w:t>
            </w:r>
            <w:r w:rsidR="00CE1BA1" w:rsidRPr="002A37B2">
              <w:rPr>
                <w:rFonts w:cs="Arial"/>
                <w:bCs/>
                <w:sz w:val="20"/>
              </w:rPr>
              <w:t xml:space="preserve"> renewed approval of</w:t>
            </w:r>
            <w:r w:rsidR="00FB23F3" w:rsidRPr="002A37B2">
              <w:rPr>
                <w:rFonts w:cs="Arial"/>
                <w:bCs/>
                <w:sz w:val="20"/>
              </w:rPr>
              <w:t xml:space="preserve"> </w:t>
            </w:r>
            <w:r w:rsidR="003B4C2E" w:rsidRPr="002A37B2">
              <w:rPr>
                <w:rFonts w:cs="Arial"/>
                <w:bCs/>
                <w:sz w:val="20"/>
              </w:rPr>
              <w:t>the PQ Aquatics WTO.</w:t>
            </w:r>
          </w:p>
          <w:p w14:paraId="1DAE5048" w14:textId="2600412D" w:rsidR="00885298" w:rsidRPr="00E22A97" w:rsidRDefault="00885298" w:rsidP="00FC2EBF">
            <w:pPr>
              <w:pStyle w:val="BodyText1"/>
              <w:spacing w:before="60" w:after="60" w:line="276" w:lineRule="auto"/>
              <w:contextualSpacing/>
              <w:jc w:val="left"/>
              <w:rPr>
                <w:rFonts w:cs="Arial"/>
                <w:bCs/>
                <w:sz w:val="20"/>
              </w:rPr>
            </w:pPr>
          </w:p>
        </w:tc>
      </w:tr>
      <w:tr w:rsidR="00885298" w:rsidRPr="00433FCA" w14:paraId="73791D4D" w14:textId="77777777" w:rsidTr="009F6D6D">
        <w:trPr>
          <w:cantSplit/>
        </w:trPr>
        <w:tc>
          <w:tcPr>
            <w:tcW w:w="1500" w:type="pct"/>
            <w:shd w:val="clear" w:color="auto" w:fill="92D050"/>
          </w:tcPr>
          <w:p w14:paraId="77416607" w14:textId="77777777" w:rsidR="00885298" w:rsidRPr="00433FCA" w:rsidRDefault="00885298" w:rsidP="00FC2EBF">
            <w:pPr>
              <w:spacing w:before="60" w:after="60" w:line="276" w:lineRule="auto"/>
              <w:contextualSpacing/>
              <w:rPr>
                <w:rFonts w:cs="Arial"/>
                <w:sz w:val="20"/>
                <w:szCs w:val="20"/>
              </w:rPr>
            </w:pPr>
            <w:r w:rsidRPr="00433FCA">
              <w:rPr>
                <w:rFonts w:cs="Arial"/>
                <w:sz w:val="20"/>
                <w:szCs w:val="20"/>
              </w:rPr>
              <w:t>Be capable of controlling the level of harvest in the fishery using input and/or output controls</w:t>
            </w:r>
            <w:r w:rsidR="006B6EF9" w:rsidRPr="00433FCA">
              <w:rPr>
                <w:rFonts w:cs="Arial"/>
                <w:sz w:val="20"/>
                <w:szCs w:val="20"/>
              </w:rPr>
              <w:t>.</w:t>
            </w:r>
          </w:p>
          <w:p w14:paraId="1EB80B0F" w14:textId="42B1B36D" w:rsidR="004649FA" w:rsidRPr="00433FCA" w:rsidRDefault="004649FA" w:rsidP="00FC2EBF">
            <w:pPr>
              <w:spacing w:before="60" w:after="60" w:line="276" w:lineRule="auto"/>
              <w:contextualSpacing/>
              <w:rPr>
                <w:rFonts w:cs="Arial"/>
                <w:sz w:val="20"/>
                <w:szCs w:val="20"/>
              </w:rPr>
            </w:pPr>
          </w:p>
        </w:tc>
        <w:tc>
          <w:tcPr>
            <w:tcW w:w="3500" w:type="pct"/>
            <w:shd w:val="clear" w:color="auto" w:fill="auto"/>
          </w:tcPr>
          <w:p w14:paraId="7DC10D8C" w14:textId="58CB2526" w:rsidR="00C841DD" w:rsidRPr="009936F4" w:rsidRDefault="0005384E" w:rsidP="00FC2EBF">
            <w:pPr>
              <w:spacing w:before="60" w:after="60" w:line="276" w:lineRule="auto"/>
              <w:contextualSpacing/>
              <w:rPr>
                <w:rFonts w:cs="Arial"/>
                <w:b/>
                <w:sz w:val="20"/>
                <w:szCs w:val="20"/>
              </w:rPr>
            </w:pPr>
            <w:r w:rsidRPr="009936F4">
              <w:rPr>
                <w:rFonts w:cs="Arial"/>
                <w:b/>
                <w:sz w:val="20"/>
                <w:szCs w:val="20"/>
              </w:rPr>
              <w:t>Meets</w:t>
            </w:r>
          </w:p>
          <w:p w14:paraId="045D18D2" w14:textId="028DE6FE" w:rsidR="0005384E" w:rsidRDefault="0005384E" w:rsidP="00FC2EBF">
            <w:pPr>
              <w:spacing w:before="60" w:after="60" w:line="276" w:lineRule="auto"/>
              <w:contextualSpacing/>
              <w:rPr>
                <w:rFonts w:cs="Arial"/>
                <w:bCs/>
                <w:sz w:val="20"/>
                <w:szCs w:val="20"/>
              </w:rPr>
            </w:pPr>
          </w:p>
          <w:p w14:paraId="31B49FCF" w14:textId="0AF6B556" w:rsidR="00885298" w:rsidRDefault="0005384E" w:rsidP="00FC2EBF">
            <w:pPr>
              <w:spacing w:before="60" w:after="60" w:line="276" w:lineRule="auto"/>
              <w:contextualSpacing/>
              <w:rPr>
                <w:rFonts w:cs="Arial"/>
                <w:bCs/>
                <w:sz w:val="20"/>
                <w:szCs w:val="20"/>
              </w:rPr>
            </w:pPr>
            <w:r>
              <w:rPr>
                <w:rFonts w:cs="Arial"/>
                <w:bCs/>
                <w:sz w:val="20"/>
                <w:szCs w:val="20"/>
              </w:rPr>
              <w:t xml:space="preserve">The level of harvest is controlled through a </w:t>
            </w:r>
            <w:r w:rsidR="00735FB7">
              <w:rPr>
                <w:rFonts w:cs="Arial"/>
                <w:bCs/>
                <w:sz w:val="20"/>
                <w:szCs w:val="20"/>
              </w:rPr>
              <w:t xml:space="preserve">harvest </w:t>
            </w:r>
            <w:r w:rsidR="00025C49">
              <w:rPr>
                <w:rFonts w:cs="Arial"/>
                <w:bCs/>
                <w:sz w:val="20"/>
                <w:szCs w:val="20"/>
              </w:rPr>
              <w:t xml:space="preserve">quota </w:t>
            </w:r>
            <w:r w:rsidR="00C52193">
              <w:rPr>
                <w:rFonts w:cs="Arial"/>
                <w:bCs/>
                <w:sz w:val="20"/>
                <w:szCs w:val="20"/>
              </w:rPr>
              <w:t xml:space="preserve">for the </w:t>
            </w:r>
            <w:r w:rsidR="007C729C">
              <w:rPr>
                <w:rFonts w:cs="Arial"/>
                <w:bCs/>
                <w:sz w:val="20"/>
                <w:szCs w:val="20"/>
              </w:rPr>
              <w:t xml:space="preserve">three </w:t>
            </w:r>
            <w:r w:rsidR="00C52193">
              <w:rPr>
                <w:rFonts w:cs="Arial"/>
                <w:bCs/>
                <w:sz w:val="20"/>
                <w:szCs w:val="20"/>
              </w:rPr>
              <w:t xml:space="preserve">specified </w:t>
            </w:r>
            <w:r w:rsidR="008A52D5">
              <w:rPr>
                <w:rFonts w:cs="Arial"/>
                <w:bCs/>
                <w:sz w:val="20"/>
                <w:szCs w:val="20"/>
              </w:rPr>
              <w:t>s</w:t>
            </w:r>
            <w:r w:rsidR="00C52193">
              <w:rPr>
                <w:rFonts w:cs="Arial"/>
                <w:bCs/>
                <w:sz w:val="20"/>
                <w:szCs w:val="20"/>
              </w:rPr>
              <w:t>yngnathid species</w:t>
            </w:r>
            <w:r w:rsidR="00735FB7">
              <w:rPr>
                <w:rFonts w:cs="Arial"/>
                <w:bCs/>
                <w:sz w:val="20"/>
                <w:szCs w:val="20"/>
              </w:rPr>
              <w:t xml:space="preserve">. The </w:t>
            </w:r>
            <w:r w:rsidR="00D85D3A">
              <w:rPr>
                <w:rFonts w:cs="Arial"/>
                <w:bCs/>
                <w:sz w:val="20"/>
                <w:szCs w:val="20"/>
              </w:rPr>
              <w:t>harve</w:t>
            </w:r>
            <w:r w:rsidR="00B861CB">
              <w:rPr>
                <w:rFonts w:cs="Arial"/>
                <w:bCs/>
                <w:sz w:val="20"/>
                <w:szCs w:val="20"/>
              </w:rPr>
              <w:t>s</w:t>
            </w:r>
            <w:r w:rsidR="00D85D3A">
              <w:rPr>
                <w:rFonts w:cs="Arial"/>
                <w:bCs/>
                <w:sz w:val="20"/>
                <w:szCs w:val="20"/>
              </w:rPr>
              <w:t xml:space="preserve">t </w:t>
            </w:r>
            <w:r w:rsidR="00735FB7">
              <w:rPr>
                <w:rFonts w:cs="Arial"/>
                <w:bCs/>
                <w:sz w:val="20"/>
                <w:szCs w:val="20"/>
              </w:rPr>
              <w:t>qu</w:t>
            </w:r>
            <w:r w:rsidR="0059111D">
              <w:rPr>
                <w:rFonts w:cs="Arial"/>
                <w:bCs/>
                <w:sz w:val="20"/>
                <w:szCs w:val="20"/>
              </w:rPr>
              <w:t>ota</w:t>
            </w:r>
            <w:r w:rsidR="00D85D3A">
              <w:rPr>
                <w:rFonts w:cs="Arial"/>
                <w:bCs/>
                <w:sz w:val="20"/>
                <w:szCs w:val="20"/>
              </w:rPr>
              <w:t xml:space="preserve">, which allows </w:t>
            </w:r>
            <w:r w:rsidR="00494B32">
              <w:rPr>
                <w:rFonts w:cs="Arial"/>
                <w:bCs/>
                <w:sz w:val="20"/>
                <w:szCs w:val="20"/>
              </w:rPr>
              <w:t xml:space="preserve">a maximum of </w:t>
            </w:r>
            <w:r w:rsidR="007C729C">
              <w:rPr>
                <w:rFonts w:cs="Arial"/>
                <w:bCs/>
                <w:sz w:val="20"/>
                <w:szCs w:val="20"/>
              </w:rPr>
              <w:t>four</w:t>
            </w:r>
            <w:r w:rsidR="00D85D3A">
              <w:rPr>
                <w:rFonts w:cs="Arial"/>
                <w:bCs/>
                <w:sz w:val="20"/>
                <w:szCs w:val="20"/>
              </w:rPr>
              <w:t xml:space="preserve"> specimens </w:t>
            </w:r>
            <w:r w:rsidR="001317BB">
              <w:rPr>
                <w:rFonts w:cs="Arial"/>
                <w:bCs/>
                <w:sz w:val="20"/>
                <w:szCs w:val="20"/>
              </w:rPr>
              <w:t xml:space="preserve">(including gravid specimens) </w:t>
            </w:r>
            <w:r w:rsidR="00717D5E">
              <w:rPr>
                <w:rFonts w:cs="Arial"/>
                <w:bCs/>
                <w:sz w:val="20"/>
                <w:szCs w:val="20"/>
              </w:rPr>
              <w:t>of</w:t>
            </w:r>
            <w:r w:rsidR="00D85D3A">
              <w:rPr>
                <w:rFonts w:cs="Arial"/>
                <w:bCs/>
                <w:sz w:val="20"/>
                <w:szCs w:val="20"/>
              </w:rPr>
              <w:t xml:space="preserve"> each species to be collected,</w:t>
            </w:r>
            <w:r w:rsidR="0059111D">
              <w:rPr>
                <w:rFonts w:cs="Arial"/>
                <w:bCs/>
                <w:sz w:val="20"/>
                <w:szCs w:val="20"/>
              </w:rPr>
              <w:t xml:space="preserve"> is </w:t>
            </w:r>
            <w:r w:rsidR="00A177D1">
              <w:rPr>
                <w:rFonts w:cs="Arial"/>
                <w:bCs/>
                <w:sz w:val="20"/>
                <w:szCs w:val="20"/>
              </w:rPr>
              <w:t>implemented</w:t>
            </w:r>
            <w:r w:rsidR="0059111D">
              <w:rPr>
                <w:rFonts w:cs="Arial"/>
                <w:bCs/>
                <w:sz w:val="20"/>
                <w:szCs w:val="20"/>
              </w:rPr>
              <w:t xml:space="preserve"> as a condition </w:t>
            </w:r>
            <w:r w:rsidR="00025C49">
              <w:rPr>
                <w:rFonts w:cs="Arial"/>
                <w:bCs/>
                <w:sz w:val="20"/>
                <w:szCs w:val="20"/>
              </w:rPr>
              <w:t>on the</w:t>
            </w:r>
            <w:r w:rsidR="009936F4">
              <w:rPr>
                <w:rFonts w:cs="Arial"/>
                <w:bCs/>
                <w:sz w:val="20"/>
                <w:szCs w:val="20"/>
              </w:rPr>
              <w:t xml:space="preserve"> applicant’s</w:t>
            </w:r>
            <w:r w:rsidR="00025C49">
              <w:rPr>
                <w:rFonts w:cs="Arial"/>
                <w:bCs/>
                <w:sz w:val="20"/>
                <w:szCs w:val="20"/>
              </w:rPr>
              <w:t xml:space="preserve"> VFA</w:t>
            </w:r>
            <w:r w:rsidR="00735FB7">
              <w:rPr>
                <w:rFonts w:cs="Arial"/>
                <w:bCs/>
                <w:sz w:val="20"/>
                <w:szCs w:val="20"/>
              </w:rPr>
              <w:t xml:space="preserve"> permit for Protected Aquatic Biota</w:t>
            </w:r>
            <w:r w:rsidR="00C52193">
              <w:rPr>
                <w:rFonts w:cs="Arial"/>
                <w:bCs/>
                <w:sz w:val="20"/>
                <w:szCs w:val="20"/>
              </w:rPr>
              <w:t xml:space="preserve">. </w:t>
            </w:r>
            <w:r w:rsidR="007C729C">
              <w:rPr>
                <w:rFonts w:cs="Arial"/>
                <w:bCs/>
                <w:sz w:val="20"/>
                <w:szCs w:val="20"/>
              </w:rPr>
              <w:t xml:space="preserve">Further controls </w:t>
            </w:r>
            <w:r w:rsidR="00BC2837">
              <w:rPr>
                <w:rFonts w:cs="Arial"/>
                <w:bCs/>
                <w:sz w:val="20"/>
                <w:szCs w:val="20"/>
              </w:rPr>
              <w:t>include</w:t>
            </w:r>
            <w:r w:rsidR="00C746DF">
              <w:rPr>
                <w:rFonts w:cs="Arial"/>
                <w:bCs/>
                <w:sz w:val="20"/>
                <w:szCs w:val="20"/>
              </w:rPr>
              <w:t xml:space="preserve"> </w:t>
            </w:r>
            <w:r w:rsidR="008D6FAC">
              <w:rPr>
                <w:rFonts w:cs="Arial"/>
                <w:bCs/>
                <w:sz w:val="20"/>
                <w:szCs w:val="20"/>
              </w:rPr>
              <w:t xml:space="preserve">permit conditions which require the </w:t>
            </w:r>
            <w:r w:rsidR="00F1770C">
              <w:rPr>
                <w:rFonts w:cs="Arial"/>
                <w:bCs/>
                <w:sz w:val="20"/>
                <w:szCs w:val="20"/>
              </w:rPr>
              <w:t xml:space="preserve">VFA to be notified before harvesting activities commence, </w:t>
            </w:r>
            <w:r w:rsidR="0035140F">
              <w:rPr>
                <w:rFonts w:cs="Arial"/>
                <w:bCs/>
                <w:sz w:val="20"/>
                <w:szCs w:val="20"/>
              </w:rPr>
              <w:t xml:space="preserve">the return of </w:t>
            </w:r>
            <w:r w:rsidR="000C4F71">
              <w:rPr>
                <w:rFonts w:cs="Arial"/>
                <w:bCs/>
                <w:sz w:val="20"/>
                <w:szCs w:val="20"/>
              </w:rPr>
              <w:t xml:space="preserve">monthly </w:t>
            </w:r>
            <w:r w:rsidR="0035140F">
              <w:rPr>
                <w:rFonts w:cs="Arial"/>
                <w:bCs/>
                <w:sz w:val="20"/>
                <w:szCs w:val="20"/>
              </w:rPr>
              <w:t>harvest reports</w:t>
            </w:r>
            <w:r w:rsidR="00D57FC1">
              <w:rPr>
                <w:rFonts w:cs="Arial"/>
                <w:bCs/>
                <w:sz w:val="20"/>
                <w:szCs w:val="20"/>
              </w:rPr>
              <w:t xml:space="preserve"> </w:t>
            </w:r>
            <w:r w:rsidR="0035140F">
              <w:rPr>
                <w:rFonts w:cs="Arial"/>
                <w:bCs/>
                <w:sz w:val="20"/>
                <w:szCs w:val="20"/>
              </w:rPr>
              <w:t xml:space="preserve">and </w:t>
            </w:r>
            <w:r w:rsidR="00B95645">
              <w:rPr>
                <w:rFonts w:cs="Arial"/>
                <w:bCs/>
                <w:sz w:val="20"/>
                <w:szCs w:val="20"/>
              </w:rPr>
              <w:t xml:space="preserve">the performance of </w:t>
            </w:r>
            <w:r w:rsidR="00F179D1">
              <w:rPr>
                <w:rFonts w:cs="Arial"/>
                <w:bCs/>
                <w:sz w:val="20"/>
                <w:szCs w:val="20"/>
              </w:rPr>
              <w:t>site inspections by VFA officers.</w:t>
            </w:r>
          </w:p>
          <w:p w14:paraId="0FD82E69" w14:textId="372F6EA6" w:rsidR="00B335A2" w:rsidRPr="00E22A97" w:rsidRDefault="00B335A2" w:rsidP="00FC2EBF">
            <w:pPr>
              <w:spacing w:before="60" w:after="60" w:line="276" w:lineRule="auto"/>
              <w:contextualSpacing/>
              <w:rPr>
                <w:rFonts w:cs="Arial"/>
                <w:bCs/>
                <w:sz w:val="20"/>
                <w:szCs w:val="20"/>
              </w:rPr>
            </w:pPr>
          </w:p>
        </w:tc>
      </w:tr>
      <w:tr w:rsidR="00885298" w:rsidRPr="00433FCA" w14:paraId="1E480671" w14:textId="77777777" w:rsidTr="009F6D6D">
        <w:trPr>
          <w:cantSplit/>
        </w:trPr>
        <w:tc>
          <w:tcPr>
            <w:tcW w:w="1500" w:type="pct"/>
            <w:shd w:val="clear" w:color="auto" w:fill="92D050"/>
          </w:tcPr>
          <w:p w14:paraId="22F41D85" w14:textId="77777777" w:rsidR="00885298" w:rsidRPr="00433FCA" w:rsidRDefault="00885298" w:rsidP="00FC2EBF">
            <w:pPr>
              <w:spacing w:before="60" w:after="60" w:line="276" w:lineRule="auto"/>
              <w:contextualSpacing/>
              <w:rPr>
                <w:rFonts w:cs="Arial"/>
                <w:sz w:val="20"/>
                <w:szCs w:val="20"/>
              </w:rPr>
            </w:pPr>
            <w:r w:rsidRPr="00433FCA">
              <w:rPr>
                <w:rFonts w:cs="Arial"/>
                <w:sz w:val="20"/>
                <w:szCs w:val="20"/>
              </w:rPr>
              <w:t>Contain the means of enforcing critical aspects of the management arrangements</w:t>
            </w:r>
            <w:r w:rsidR="006B6EF9" w:rsidRPr="00433FCA">
              <w:rPr>
                <w:rFonts w:cs="Arial"/>
                <w:sz w:val="20"/>
                <w:szCs w:val="20"/>
              </w:rPr>
              <w:t>.</w:t>
            </w:r>
          </w:p>
          <w:p w14:paraId="086604CB" w14:textId="2B986CD8" w:rsidR="004649FA" w:rsidRPr="00433FCA" w:rsidRDefault="004649FA" w:rsidP="00FC2EBF">
            <w:pPr>
              <w:spacing w:before="60" w:after="60" w:line="276" w:lineRule="auto"/>
              <w:contextualSpacing/>
              <w:rPr>
                <w:rFonts w:cs="Arial"/>
                <w:sz w:val="20"/>
                <w:szCs w:val="20"/>
              </w:rPr>
            </w:pPr>
          </w:p>
        </w:tc>
        <w:tc>
          <w:tcPr>
            <w:tcW w:w="3500" w:type="pct"/>
            <w:shd w:val="clear" w:color="auto" w:fill="auto"/>
          </w:tcPr>
          <w:p w14:paraId="5194FB1E" w14:textId="212C0676" w:rsidR="00355C0A" w:rsidRPr="00FB4AC3" w:rsidRDefault="008E6916" w:rsidP="00FC2EBF">
            <w:pPr>
              <w:spacing w:before="60" w:after="60" w:line="276" w:lineRule="auto"/>
              <w:contextualSpacing/>
              <w:rPr>
                <w:rFonts w:cs="Arial"/>
                <w:b/>
                <w:sz w:val="20"/>
                <w:szCs w:val="20"/>
              </w:rPr>
            </w:pPr>
            <w:r w:rsidRPr="00FB4AC3">
              <w:rPr>
                <w:rFonts w:cs="Arial"/>
                <w:b/>
                <w:sz w:val="20"/>
                <w:szCs w:val="20"/>
              </w:rPr>
              <w:t>Meets</w:t>
            </w:r>
          </w:p>
          <w:p w14:paraId="3100AC5E" w14:textId="01E16147" w:rsidR="008E6916" w:rsidRDefault="008E6916" w:rsidP="00FC2EBF">
            <w:pPr>
              <w:spacing w:before="60" w:after="60" w:line="276" w:lineRule="auto"/>
              <w:contextualSpacing/>
              <w:rPr>
                <w:rFonts w:cs="Arial"/>
                <w:bCs/>
                <w:sz w:val="20"/>
                <w:szCs w:val="20"/>
              </w:rPr>
            </w:pPr>
          </w:p>
          <w:p w14:paraId="3E5D8D13" w14:textId="32E88E10" w:rsidR="008E6916" w:rsidRPr="00E22A97" w:rsidRDefault="006768E5" w:rsidP="00FC2EBF">
            <w:pPr>
              <w:spacing w:before="60" w:after="60" w:line="276" w:lineRule="auto"/>
              <w:contextualSpacing/>
              <w:rPr>
                <w:rFonts w:cs="Arial"/>
                <w:bCs/>
                <w:sz w:val="20"/>
                <w:szCs w:val="20"/>
              </w:rPr>
            </w:pPr>
            <w:r>
              <w:rPr>
                <w:rFonts w:cs="Arial"/>
                <w:bCs/>
                <w:sz w:val="20"/>
                <w:szCs w:val="20"/>
              </w:rPr>
              <w:t>Critical</w:t>
            </w:r>
            <w:r w:rsidR="008E6916">
              <w:rPr>
                <w:rFonts w:cs="Arial"/>
                <w:bCs/>
                <w:sz w:val="20"/>
                <w:szCs w:val="20"/>
              </w:rPr>
              <w:t xml:space="preserve"> aspects of the management arrangement</w:t>
            </w:r>
            <w:r w:rsidR="006E17BF">
              <w:rPr>
                <w:rFonts w:cs="Arial"/>
                <w:bCs/>
                <w:sz w:val="20"/>
                <w:szCs w:val="20"/>
              </w:rPr>
              <w:t>s are enforced</w:t>
            </w:r>
            <w:r w:rsidR="001E0E02">
              <w:rPr>
                <w:rFonts w:cs="Arial"/>
                <w:bCs/>
                <w:sz w:val="20"/>
                <w:szCs w:val="20"/>
              </w:rPr>
              <w:t xml:space="preserve"> through </w:t>
            </w:r>
            <w:r w:rsidR="00DD4FB7">
              <w:rPr>
                <w:rFonts w:cs="Arial"/>
                <w:bCs/>
                <w:sz w:val="20"/>
                <w:szCs w:val="20"/>
              </w:rPr>
              <w:t>spots</w:t>
            </w:r>
            <w:r w:rsidR="007C40C4">
              <w:rPr>
                <w:rFonts w:cs="Arial"/>
                <w:bCs/>
                <w:sz w:val="20"/>
                <w:szCs w:val="20"/>
              </w:rPr>
              <w:t xml:space="preserve"> checks</w:t>
            </w:r>
            <w:r w:rsidR="001E415A">
              <w:rPr>
                <w:rFonts w:cs="Arial"/>
                <w:bCs/>
                <w:sz w:val="20"/>
                <w:szCs w:val="20"/>
              </w:rPr>
              <w:t xml:space="preserve"> of </w:t>
            </w:r>
            <w:r w:rsidR="00C121C3">
              <w:rPr>
                <w:rFonts w:cs="Arial"/>
                <w:bCs/>
                <w:sz w:val="20"/>
                <w:szCs w:val="20"/>
              </w:rPr>
              <w:t xml:space="preserve">current </w:t>
            </w:r>
            <w:r w:rsidR="001E415A">
              <w:rPr>
                <w:rFonts w:cs="Arial"/>
                <w:bCs/>
                <w:sz w:val="20"/>
                <w:szCs w:val="20"/>
              </w:rPr>
              <w:t>stock</w:t>
            </w:r>
            <w:r w:rsidR="00171459">
              <w:rPr>
                <w:rFonts w:cs="Arial"/>
                <w:bCs/>
                <w:sz w:val="20"/>
                <w:szCs w:val="20"/>
              </w:rPr>
              <w:t xml:space="preserve"> on hand, relevant collection permits</w:t>
            </w:r>
            <w:r w:rsidR="00C121C3">
              <w:rPr>
                <w:rFonts w:cs="Arial"/>
                <w:bCs/>
                <w:sz w:val="20"/>
                <w:szCs w:val="20"/>
              </w:rPr>
              <w:t xml:space="preserve"> for syngnathids</w:t>
            </w:r>
            <w:r w:rsidR="00B15B6C">
              <w:rPr>
                <w:rFonts w:cs="Arial"/>
                <w:bCs/>
                <w:sz w:val="20"/>
                <w:szCs w:val="20"/>
              </w:rPr>
              <w:t xml:space="preserve"> in state waters,</w:t>
            </w:r>
            <w:r w:rsidR="00C121C3">
              <w:rPr>
                <w:rFonts w:cs="Arial"/>
                <w:bCs/>
                <w:sz w:val="20"/>
                <w:szCs w:val="20"/>
              </w:rPr>
              <w:t xml:space="preserve"> and </w:t>
            </w:r>
            <w:r w:rsidR="00B15B6C">
              <w:rPr>
                <w:rFonts w:cs="Arial"/>
                <w:bCs/>
                <w:sz w:val="20"/>
                <w:szCs w:val="20"/>
              </w:rPr>
              <w:t>the condition of c</w:t>
            </w:r>
            <w:r w:rsidR="00396108">
              <w:rPr>
                <w:rFonts w:cs="Arial"/>
                <w:bCs/>
                <w:sz w:val="20"/>
                <w:szCs w:val="20"/>
              </w:rPr>
              <w:t xml:space="preserve">aptive operation </w:t>
            </w:r>
            <w:r w:rsidR="00FB4AC3">
              <w:rPr>
                <w:rFonts w:cs="Arial"/>
                <w:bCs/>
                <w:sz w:val="20"/>
                <w:szCs w:val="20"/>
              </w:rPr>
              <w:t>facilities</w:t>
            </w:r>
            <w:r w:rsidR="00A2001B">
              <w:rPr>
                <w:rFonts w:cs="Arial"/>
                <w:bCs/>
                <w:sz w:val="20"/>
                <w:szCs w:val="20"/>
              </w:rPr>
              <w:t xml:space="preserve">. Such checks are performed by VFA </w:t>
            </w:r>
            <w:r w:rsidR="00242C1D">
              <w:rPr>
                <w:rFonts w:cs="Arial"/>
                <w:bCs/>
                <w:sz w:val="20"/>
                <w:szCs w:val="20"/>
              </w:rPr>
              <w:t>o</w:t>
            </w:r>
            <w:r w:rsidR="00A2001B">
              <w:rPr>
                <w:rFonts w:cs="Arial"/>
                <w:bCs/>
                <w:sz w:val="20"/>
                <w:szCs w:val="20"/>
              </w:rPr>
              <w:t>fficers</w:t>
            </w:r>
            <w:r w:rsidR="00FB4AC3">
              <w:rPr>
                <w:rFonts w:cs="Arial"/>
                <w:bCs/>
                <w:sz w:val="20"/>
                <w:szCs w:val="20"/>
              </w:rPr>
              <w:t>, local police and water police.</w:t>
            </w:r>
          </w:p>
          <w:p w14:paraId="44E84912" w14:textId="3DAEA75C" w:rsidR="00885298" w:rsidRPr="00E22A97" w:rsidRDefault="00885298" w:rsidP="00FC2EBF">
            <w:pPr>
              <w:spacing w:before="60" w:after="60" w:line="276" w:lineRule="auto"/>
              <w:contextualSpacing/>
              <w:rPr>
                <w:rFonts w:cs="Arial"/>
                <w:bCs/>
                <w:sz w:val="20"/>
                <w:szCs w:val="20"/>
              </w:rPr>
            </w:pPr>
          </w:p>
        </w:tc>
      </w:tr>
      <w:tr w:rsidR="00885298" w:rsidRPr="00433FCA" w14:paraId="050DB205" w14:textId="77777777" w:rsidTr="009F6D6D">
        <w:trPr>
          <w:cantSplit/>
        </w:trPr>
        <w:tc>
          <w:tcPr>
            <w:tcW w:w="1500" w:type="pct"/>
            <w:shd w:val="clear" w:color="auto" w:fill="92D050"/>
          </w:tcPr>
          <w:p w14:paraId="0A1D3E47" w14:textId="77777777" w:rsidR="00885298" w:rsidRPr="00433FCA" w:rsidRDefault="00885298" w:rsidP="00FC2EBF">
            <w:pPr>
              <w:spacing w:before="60" w:after="60" w:line="276" w:lineRule="auto"/>
              <w:contextualSpacing/>
              <w:rPr>
                <w:rFonts w:cs="Arial"/>
                <w:sz w:val="20"/>
                <w:szCs w:val="20"/>
              </w:rPr>
            </w:pPr>
            <w:r w:rsidRPr="00433FCA">
              <w:rPr>
                <w:rFonts w:cs="Arial"/>
                <w:sz w:val="20"/>
                <w:szCs w:val="20"/>
              </w:rPr>
              <w:t>Provide for the periodic review of the performance of the fishery management arrangements and the management strategies, objectives and criteria</w:t>
            </w:r>
            <w:r w:rsidR="006B6EF9" w:rsidRPr="00433FCA">
              <w:rPr>
                <w:rFonts w:cs="Arial"/>
                <w:sz w:val="20"/>
                <w:szCs w:val="20"/>
              </w:rPr>
              <w:t>.</w:t>
            </w:r>
          </w:p>
          <w:p w14:paraId="4C2BDACB" w14:textId="0F524F03" w:rsidR="004649FA" w:rsidRPr="00433FCA" w:rsidRDefault="004649FA" w:rsidP="00FC2EBF">
            <w:pPr>
              <w:spacing w:before="60" w:after="60" w:line="276" w:lineRule="auto"/>
              <w:contextualSpacing/>
              <w:rPr>
                <w:rFonts w:cs="Arial"/>
                <w:sz w:val="20"/>
                <w:szCs w:val="20"/>
              </w:rPr>
            </w:pPr>
          </w:p>
        </w:tc>
        <w:tc>
          <w:tcPr>
            <w:tcW w:w="3500" w:type="pct"/>
            <w:shd w:val="clear" w:color="auto" w:fill="auto"/>
          </w:tcPr>
          <w:p w14:paraId="08AD9A61" w14:textId="5105613F" w:rsidR="001F2AA4" w:rsidRPr="00BE0593" w:rsidRDefault="00634334" w:rsidP="00FC2EBF">
            <w:pPr>
              <w:spacing w:before="60" w:after="60" w:line="276" w:lineRule="auto"/>
              <w:contextualSpacing/>
              <w:rPr>
                <w:rFonts w:cs="Arial"/>
                <w:b/>
                <w:sz w:val="20"/>
                <w:szCs w:val="20"/>
              </w:rPr>
            </w:pPr>
            <w:r w:rsidRPr="00BE0593">
              <w:rPr>
                <w:rFonts w:cs="Arial"/>
                <w:b/>
                <w:sz w:val="20"/>
                <w:szCs w:val="20"/>
              </w:rPr>
              <w:t>Meets</w:t>
            </w:r>
          </w:p>
          <w:p w14:paraId="567096EF" w14:textId="163FD26F" w:rsidR="00634334" w:rsidRDefault="00634334" w:rsidP="00FC2EBF">
            <w:pPr>
              <w:spacing w:before="60" w:after="60" w:line="276" w:lineRule="auto"/>
              <w:contextualSpacing/>
              <w:rPr>
                <w:rFonts w:cs="Arial"/>
                <w:bCs/>
                <w:sz w:val="20"/>
                <w:szCs w:val="20"/>
              </w:rPr>
            </w:pPr>
          </w:p>
          <w:p w14:paraId="5C6944CE" w14:textId="10B3DD62" w:rsidR="00F54AF5" w:rsidRDefault="009326F5" w:rsidP="00FC2EBF">
            <w:pPr>
              <w:spacing w:before="60" w:after="60" w:line="276" w:lineRule="auto"/>
              <w:contextualSpacing/>
              <w:rPr>
                <w:rFonts w:cs="Arial"/>
                <w:bCs/>
                <w:sz w:val="20"/>
                <w:szCs w:val="20"/>
              </w:rPr>
            </w:pPr>
            <w:r>
              <w:rPr>
                <w:rFonts w:cs="Arial"/>
                <w:bCs/>
                <w:sz w:val="20"/>
                <w:szCs w:val="20"/>
              </w:rPr>
              <w:t xml:space="preserve">Regular performance reviews </w:t>
            </w:r>
            <w:r w:rsidR="00F57F7D">
              <w:rPr>
                <w:rFonts w:cs="Arial"/>
                <w:bCs/>
                <w:sz w:val="20"/>
                <w:szCs w:val="20"/>
              </w:rPr>
              <w:t>have been built into the management</w:t>
            </w:r>
            <w:r w:rsidR="00237554">
              <w:rPr>
                <w:rFonts w:cs="Arial"/>
                <w:bCs/>
                <w:sz w:val="20"/>
                <w:szCs w:val="20"/>
              </w:rPr>
              <w:t xml:space="preserve"> arrangement</w:t>
            </w:r>
            <w:r w:rsidR="00F57F7D">
              <w:rPr>
                <w:rFonts w:cs="Arial"/>
                <w:bCs/>
                <w:sz w:val="20"/>
                <w:szCs w:val="20"/>
              </w:rPr>
              <w:t xml:space="preserve"> </w:t>
            </w:r>
            <w:r w:rsidR="006C393A">
              <w:rPr>
                <w:rFonts w:cs="Arial"/>
                <w:bCs/>
                <w:sz w:val="20"/>
                <w:szCs w:val="20"/>
              </w:rPr>
              <w:t>for</w:t>
            </w:r>
            <w:r w:rsidR="00F57F7D">
              <w:rPr>
                <w:rFonts w:cs="Arial"/>
                <w:bCs/>
                <w:sz w:val="20"/>
                <w:szCs w:val="20"/>
              </w:rPr>
              <w:t xml:space="preserve"> PQ Aquatics</w:t>
            </w:r>
            <w:r w:rsidR="00237554">
              <w:rPr>
                <w:rFonts w:cs="Arial"/>
                <w:bCs/>
                <w:sz w:val="20"/>
                <w:szCs w:val="20"/>
              </w:rPr>
              <w:t xml:space="preserve"> in the form of permit conditions. </w:t>
            </w:r>
            <w:r w:rsidR="00E73E79">
              <w:rPr>
                <w:rFonts w:cs="Arial"/>
                <w:bCs/>
                <w:sz w:val="20"/>
                <w:szCs w:val="20"/>
              </w:rPr>
              <w:t>R</w:t>
            </w:r>
            <w:r w:rsidR="00F54AF5">
              <w:rPr>
                <w:rFonts w:cs="Arial"/>
                <w:bCs/>
                <w:sz w:val="20"/>
                <w:szCs w:val="20"/>
              </w:rPr>
              <w:t xml:space="preserve">eports containing accurate records of </w:t>
            </w:r>
            <w:r w:rsidR="00E73E79">
              <w:rPr>
                <w:rFonts w:cs="Arial"/>
                <w:bCs/>
                <w:sz w:val="20"/>
                <w:szCs w:val="20"/>
              </w:rPr>
              <w:t xml:space="preserve">harvesting activities, captive breeding outcomes, stock on hand, and sales are provided to the </w:t>
            </w:r>
            <w:r w:rsidR="00853E17">
              <w:rPr>
                <w:rFonts w:cs="Arial"/>
                <w:bCs/>
                <w:sz w:val="20"/>
                <w:szCs w:val="20"/>
              </w:rPr>
              <w:t>d</w:t>
            </w:r>
            <w:r w:rsidR="00E73E79">
              <w:rPr>
                <w:rFonts w:cs="Arial"/>
                <w:bCs/>
                <w:sz w:val="20"/>
                <w:szCs w:val="20"/>
              </w:rPr>
              <w:t>epartment on an annual basis.</w:t>
            </w:r>
            <w:r w:rsidR="00237554">
              <w:rPr>
                <w:rFonts w:cs="Arial"/>
                <w:bCs/>
                <w:sz w:val="20"/>
                <w:szCs w:val="20"/>
              </w:rPr>
              <w:t xml:space="preserve"> This allows the </w:t>
            </w:r>
            <w:r w:rsidR="00853E17">
              <w:rPr>
                <w:rFonts w:cs="Arial"/>
                <w:bCs/>
                <w:sz w:val="20"/>
                <w:szCs w:val="20"/>
              </w:rPr>
              <w:t>d</w:t>
            </w:r>
            <w:r w:rsidR="00237554">
              <w:rPr>
                <w:rFonts w:cs="Arial"/>
                <w:bCs/>
                <w:sz w:val="20"/>
                <w:szCs w:val="20"/>
              </w:rPr>
              <w:t xml:space="preserve">epartment to </w:t>
            </w:r>
            <w:r w:rsidR="008B3CEA">
              <w:rPr>
                <w:rFonts w:cs="Arial"/>
                <w:bCs/>
                <w:sz w:val="20"/>
                <w:szCs w:val="20"/>
              </w:rPr>
              <w:t xml:space="preserve">monitor the level of </w:t>
            </w:r>
            <w:r w:rsidR="006C393A">
              <w:rPr>
                <w:rFonts w:cs="Arial"/>
                <w:bCs/>
                <w:sz w:val="20"/>
                <w:szCs w:val="20"/>
              </w:rPr>
              <w:t>syngnathid</w:t>
            </w:r>
            <w:r w:rsidR="005C1F4F">
              <w:rPr>
                <w:rFonts w:cs="Arial"/>
                <w:bCs/>
                <w:sz w:val="20"/>
                <w:szCs w:val="20"/>
              </w:rPr>
              <w:t>s</w:t>
            </w:r>
            <w:r w:rsidR="006C393A">
              <w:rPr>
                <w:rFonts w:cs="Arial"/>
                <w:bCs/>
                <w:sz w:val="20"/>
                <w:szCs w:val="20"/>
              </w:rPr>
              <w:t xml:space="preserve"> </w:t>
            </w:r>
            <w:r w:rsidR="008B3CEA">
              <w:rPr>
                <w:rFonts w:cs="Arial"/>
                <w:bCs/>
                <w:sz w:val="20"/>
                <w:szCs w:val="20"/>
              </w:rPr>
              <w:t>harvest</w:t>
            </w:r>
            <w:r w:rsidR="00853E17">
              <w:rPr>
                <w:rFonts w:cs="Arial"/>
                <w:bCs/>
                <w:sz w:val="20"/>
                <w:szCs w:val="20"/>
              </w:rPr>
              <w:t>ed</w:t>
            </w:r>
            <w:r w:rsidR="001D5E93">
              <w:rPr>
                <w:rFonts w:cs="Arial"/>
                <w:bCs/>
                <w:sz w:val="20"/>
                <w:szCs w:val="20"/>
              </w:rPr>
              <w:t xml:space="preserve"> and determine whether the operation is maintaining an appropriate level of ecological sustainability.</w:t>
            </w:r>
          </w:p>
          <w:p w14:paraId="38969CE4" w14:textId="477D6D44" w:rsidR="00885298" w:rsidRPr="00E22A97" w:rsidRDefault="00885298" w:rsidP="00FC2EBF">
            <w:pPr>
              <w:spacing w:before="60" w:after="60" w:line="276" w:lineRule="auto"/>
              <w:contextualSpacing/>
              <w:rPr>
                <w:rFonts w:cs="Arial"/>
                <w:bCs/>
                <w:sz w:val="20"/>
                <w:szCs w:val="20"/>
              </w:rPr>
            </w:pPr>
          </w:p>
        </w:tc>
      </w:tr>
      <w:tr w:rsidR="00885298" w:rsidRPr="00433FCA" w14:paraId="7F16FB15" w14:textId="77777777" w:rsidTr="009F6D6D">
        <w:trPr>
          <w:cantSplit/>
        </w:trPr>
        <w:tc>
          <w:tcPr>
            <w:tcW w:w="1500" w:type="pct"/>
            <w:shd w:val="clear" w:color="auto" w:fill="92D050"/>
          </w:tcPr>
          <w:p w14:paraId="1EEADDCC" w14:textId="77777777" w:rsidR="00885298" w:rsidRPr="00433FCA" w:rsidRDefault="00885298" w:rsidP="00FC2EBF">
            <w:pPr>
              <w:spacing w:before="60" w:after="60" w:line="276" w:lineRule="auto"/>
              <w:contextualSpacing/>
              <w:rPr>
                <w:rFonts w:cs="Arial"/>
                <w:sz w:val="20"/>
                <w:szCs w:val="20"/>
              </w:rPr>
            </w:pPr>
            <w:r w:rsidRPr="00433FCA">
              <w:rPr>
                <w:rFonts w:cs="Arial"/>
                <w:sz w:val="20"/>
                <w:szCs w:val="20"/>
              </w:rPr>
              <w:t>Be capable of assessing, monitoring and avoiding, remedying or mitigating any adverse impacts on the wider marine ecosystem in which the target species lives and the fishery operates</w:t>
            </w:r>
            <w:r w:rsidR="006B6EF9" w:rsidRPr="00433FCA">
              <w:rPr>
                <w:rFonts w:cs="Arial"/>
                <w:sz w:val="20"/>
                <w:szCs w:val="20"/>
              </w:rPr>
              <w:t>.</w:t>
            </w:r>
          </w:p>
          <w:p w14:paraId="79731F76" w14:textId="63F0A939" w:rsidR="004649FA" w:rsidRPr="00433FCA" w:rsidRDefault="004649FA" w:rsidP="00FC2EBF">
            <w:pPr>
              <w:spacing w:before="60" w:after="60" w:line="276" w:lineRule="auto"/>
              <w:contextualSpacing/>
              <w:rPr>
                <w:rFonts w:cs="Arial"/>
                <w:sz w:val="20"/>
                <w:szCs w:val="20"/>
              </w:rPr>
            </w:pPr>
          </w:p>
        </w:tc>
        <w:tc>
          <w:tcPr>
            <w:tcW w:w="3500" w:type="pct"/>
            <w:shd w:val="clear" w:color="auto" w:fill="auto"/>
          </w:tcPr>
          <w:p w14:paraId="45DFD360" w14:textId="1F87F487" w:rsidR="00CA15F9" w:rsidRPr="00693458" w:rsidRDefault="00CA15F9" w:rsidP="00FC2EBF">
            <w:pPr>
              <w:pStyle w:val="BodyText1"/>
              <w:spacing w:before="60" w:after="60" w:line="276" w:lineRule="auto"/>
              <w:contextualSpacing/>
              <w:jc w:val="left"/>
              <w:rPr>
                <w:rFonts w:cs="Arial"/>
                <w:b/>
                <w:sz w:val="20"/>
              </w:rPr>
            </w:pPr>
            <w:r w:rsidRPr="00693458">
              <w:rPr>
                <w:rFonts w:cs="Arial"/>
                <w:b/>
                <w:sz w:val="20"/>
              </w:rPr>
              <w:t>Meets</w:t>
            </w:r>
          </w:p>
          <w:p w14:paraId="3DBC9451" w14:textId="0692C6E3" w:rsidR="00CA15F9" w:rsidRDefault="00CA15F9" w:rsidP="00FC2EBF">
            <w:pPr>
              <w:pStyle w:val="BodyText1"/>
              <w:spacing w:before="60" w:after="60" w:line="276" w:lineRule="auto"/>
              <w:contextualSpacing/>
              <w:jc w:val="left"/>
              <w:rPr>
                <w:rFonts w:cs="Arial"/>
                <w:bCs/>
                <w:sz w:val="20"/>
              </w:rPr>
            </w:pPr>
          </w:p>
          <w:p w14:paraId="47E4B5AD" w14:textId="5C45E1DD" w:rsidR="00CA15F9" w:rsidRPr="00E22A97" w:rsidRDefault="0055164F" w:rsidP="00FC2EBF">
            <w:pPr>
              <w:pStyle w:val="BodyText1"/>
              <w:spacing w:before="60" w:after="60" w:line="276" w:lineRule="auto"/>
              <w:contextualSpacing/>
              <w:jc w:val="left"/>
              <w:rPr>
                <w:rFonts w:cs="Arial"/>
                <w:bCs/>
                <w:sz w:val="20"/>
              </w:rPr>
            </w:pPr>
            <w:r>
              <w:rPr>
                <w:rFonts w:cs="Arial"/>
                <w:bCs/>
                <w:sz w:val="20"/>
              </w:rPr>
              <w:t xml:space="preserve">The adverse impacts </w:t>
            </w:r>
            <w:r w:rsidR="0036631D">
              <w:rPr>
                <w:rFonts w:cs="Arial"/>
                <w:bCs/>
                <w:sz w:val="20"/>
              </w:rPr>
              <w:t xml:space="preserve">of this operation </w:t>
            </w:r>
            <w:r>
              <w:rPr>
                <w:rFonts w:cs="Arial"/>
                <w:bCs/>
                <w:sz w:val="20"/>
              </w:rPr>
              <w:t>on the</w:t>
            </w:r>
            <w:r w:rsidR="003F61C0">
              <w:rPr>
                <w:rFonts w:cs="Arial"/>
                <w:bCs/>
                <w:sz w:val="20"/>
              </w:rPr>
              <w:t xml:space="preserve"> wider marine ecosystem </w:t>
            </w:r>
            <w:r w:rsidR="0036631D">
              <w:rPr>
                <w:rFonts w:cs="Arial"/>
                <w:bCs/>
                <w:sz w:val="20"/>
              </w:rPr>
              <w:t>is</w:t>
            </w:r>
            <w:r>
              <w:rPr>
                <w:rFonts w:cs="Arial"/>
                <w:bCs/>
                <w:sz w:val="20"/>
              </w:rPr>
              <w:t xml:space="preserve"> </w:t>
            </w:r>
            <w:r w:rsidR="00A143B1">
              <w:rPr>
                <w:rFonts w:cs="Arial"/>
                <w:bCs/>
                <w:sz w:val="20"/>
              </w:rPr>
              <w:t xml:space="preserve">negligible, </w:t>
            </w:r>
            <w:r w:rsidR="00DE729A">
              <w:rPr>
                <w:rFonts w:cs="Arial"/>
                <w:bCs/>
                <w:sz w:val="20"/>
              </w:rPr>
              <w:t>given t</w:t>
            </w:r>
            <w:r w:rsidR="00DF7782">
              <w:rPr>
                <w:rFonts w:cs="Arial"/>
                <w:bCs/>
                <w:sz w:val="20"/>
              </w:rPr>
              <w:t>he low level of harvest</w:t>
            </w:r>
            <w:r w:rsidR="00D75D72">
              <w:rPr>
                <w:rFonts w:cs="Arial"/>
                <w:bCs/>
                <w:sz w:val="20"/>
              </w:rPr>
              <w:t xml:space="preserve">, </w:t>
            </w:r>
            <w:r w:rsidR="00044C1B">
              <w:rPr>
                <w:rFonts w:cs="Arial"/>
                <w:bCs/>
                <w:sz w:val="20"/>
              </w:rPr>
              <w:t xml:space="preserve">highly selective </w:t>
            </w:r>
            <w:r w:rsidR="00FC2190">
              <w:rPr>
                <w:rFonts w:cs="Arial"/>
                <w:bCs/>
                <w:sz w:val="20"/>
              </w:rPr>
              <w:t xml:space="preserve">method of </w:t>
            </w:r>
            <w:r w:rsidR="005C7C8A">
              <w:rPr>
                <w:rFonts w:cs="Arial"/>
                <w:bCs/>
                <w:sz w:val="20"/>
              </w:rPr>
              <w:t xml:space="preserve">hand </w:t>
            </w:r>
            <w:r w:rsidR="00FC2190">
              <w:rPr>
                <w:rFonts w:cs="Arial"/>
                <w:bCs/>
                <w:sz w:val="20"/>
              </w:rPr>
              <w:t>collection</w:t>
            </w:r>
            <w:r w:rsidR="00D71E96">
              <w:rPr>
                <w:rFonts w:cs="Arial"/>
                <w:bCs/>
                <w:sz w:val="20"/>
              </w:rPr>
              <w:t>, and limited use of fishing equipment</w:t>
            </w:r>
            <w:r w:rsidR="00FC2190">
              <w:rPr>
                <w:rFonts w:cs="Arial"/>
                <w:bCs/>
                <w:sz w:val="20"/>
              </w:rPr>
              <w:t xml:space="preserve">. </w:t>
            </w:r>
            <w:r w:rsidR="00545CA9">
              <w:rPr>
                <w:rFonts w:cs="Arial"/>
                <w:bCs/>
                <w:sz w:val="20"/>
              </w:rPr>
              <w:t>Monthly harvest reports are also provided to the VFA</w:t>
            </w:r>
            <w:r w:rsidR="00693458">
              <w:rPr>
                <w:rFonts w:cs="Arial"/>
                <w:bCs/>
                <w:sz w:val="20"/>
              </w:rPr>
              <w:t xml:space="preserve">, allowing </w:t>
            </w:r>
            <w:r w:rsidR="00302927">
              <w:rPr>
                <w:rFonts w:cs="Arial"/>
                <w:bCs/>
                <w:sz w:val="20"/>
              </w:rPr>
              <w:t>Victorian authorities</w:t>
            </w:r>
            <w:r w:rsidR="00693458">
              <w:rPr>
                <w:rFonts w:cs="Arial"/>
                <w:bCs/>
                <w:sz w:val="20"/>
              </w:rPr>
              <w:t xml:space="preserve"> to </w:t>
            </w:r>
            <w:r w:rsidR="00D71E96">
              <w:rPr>
                <w:rFonts w:cs="Arial"/>
                <w:bCs/>
                <w:sz w:val="20"/>
              </w:rPr>
              <w:t xml:space="preserve">further </w:t>
            </w:r>
            <w:r w:rsidR="00693458">
              <w:rPr>
                <w:rFonts w:cs="Arial"/>
                <w:bCs/>
                <w:sz w:val="20"/>
              </w:rPr>
              <w:t xml:space="preserve">determine whether adverse impacts </w:t>
            </w:r>
            <w:r w:rsidR="00302927">
              <w:rPr>
                <w:rFonts w:cs="Arial"/>
                <w:bCs/>
                <w:sz w:val="20"/>
              </w:rPr>
              <w:t xml:space="preserve">may exist </w:t>
            </w:r>
            <w:r w:rsidR="0020239A">
              <w:rPr>
                <w:rFonts w:cs="Arial"/>
                <w:bCs/>
                <w:sz w:val="20"/>
              </w:rPr>
              <w:t>for</w:t>
            </w:r>
            <w:r w:rsidR="00302927">
              <w:rPr>
                <w:rFonts w:cs="Arial"/>
                <w:bCs/>
                <w:sz w:val="20"/>
              </w:rPr>
              <w:t xml:space="preserve"> </w:t>
            </w:r>
            <w:r w:rsidR="007347DF">
              <w:rPr>
                <w:rFonts w:cs="Arial"/>
                <w:bCs/>
                <w:sz w:val="20"/>
              </w:rPr>
              <w:t xml:space="preserve">any </w:t>
            </w:r>
            <w:r w:rsidR="00302927">
              <w:rPr>
                <w:rFonts w:cs="Arial"/>
                <w:bCs/>
                <w:sz w:val="20"/>
              </w:rPr>
              <w:t xml:space="preserve">relevant </w:t>
            </w:r>
            <w:r w:rsidR="0020239A">
              <w:rPr>
                <w:rFonts w:cs="Arial"/>
                <w:bCs/>
                <w:sz w:val="20"/>
              </w:rPr>
              <w:t xml:space="preserve">marine </w:t>
            </w:r>
            <w:r w:rsidR="00302927">
              <w:rPr>
                <w:rFonts w:cs="Arial"/>
                <w:bCs/>
                <w:sz w:val="20"/>
              </w:rPr>
              <w:t>ecosystem</w:t>
            </w:r>
            <w:r w:rsidR="0020239A">
              <w:rPr>
                <w:rFonts w:cs="Arial"/>
                <w:bCs/>
                <w:sz w:val="20"/>
              </w:rPr>
              <w:t>s</w:t>
            </w:r>
            <w:r w:rsidR="00302927">
              <w:rPr>
                <w:rFonts w:cs="Arial"/>
                <w:bCs/>
                <w:sz w:val="20"/>
              </w:rPr>
              <w:t>.</w:t>
            </w:r>
          </w:p>
          <w:p w14:paraId="4EB133A4" w14:textId="0C8C6B0B" w:rsidR="00885298" w:rsidRPr="00E22A97" w:rsidRDefault="00885298" w:rsidP="00FC2EBF">
            <w:pPr>
              <w:pStyle w:val="BodyText1"/>
              <w:spacing w:before="60" w:after="60" w:line="276" w:lineRule="auto"/>
              <w:contextualSpacing/>
              <w:jc w:val="left"/>
              <w:rPr>
                <w:rFonts w:cs="Arial"/>
                <w:bCs/>
                <w:sz w:val="20"/>
              </w:rPr>
            </w:pPr>
          </w:p>
        </w:tc>
      </w:tr>
      <w:tr w:rsidR="00885298" w:rsidRPr="00433FCA" w14:paraId="257A30C9" w14:textId="77777777" w:rsidTr="009F6D6D">
        <w:trPr>
          <w:cantSplit/>
        </w:trPr>
        <w:tc>
          <w:tcPr>
            <w:tcW w:w="1500" w:type="pct"/>
            <w:shd w:val="clear" w:color="auto" w:fill="92D050"/>
          </w:tcPr>
          <w:p w14:paraId="334B90D6" w14:textId="77777777" w:rsidR="00885298" w:rsidRPr="00433FCA" w:rsidRDefault="00885298" w:rsidP="00FC2EBF">
            <w:pPr>
              <w:spacing w:before="60" w:after="60" w:line="276" w:lineRule="auto"/>
              <w:contextualSpacing/>
              <w:rPr>
                <w:rFonts w:cs="Arial"/>
                <w:sz w:val="20"/>
                <w:szCs w:val="20"/>
              </w:rPr>
            </w:pPr>
            <w:r w:rsidRPr="00433FCA">
              <w:rPr>
                <w:rFonts w:cs="Arial"/>
                <w:sz w:val="20"/>
                <w:szCs w:val="20"/>
              </w:rPr>
              <w:t>Requires compliance with relevant threat abatement plans, recovery plans, the National Policy on Fisheries Bycatch, and bycatch action strategies developed under the policy</w:t>
            </w:r>
            <w:r w:rsidR="006B6EF9" w:rsidRPr="00433FCA">
              <w:rPr>
                <w:rFonts w:cs="Arial"/>
                <w:sz w:val="20"/>
                <w:szCs w:val="20"/>
              </w:rPr>
              <w:t>.</w:t>
            </w:r>
          </w:p>
          <w:p w14:paraId="2FAB5309" w14:textId="0F6B3941" w:rsidR="004649FA" w:rsidRPr="00433FCA" w:rsidRDefault="004649FA" w:rsidP="00FC2EBF">
            <w:pPr>
              <w:spacing w:before="60" w:after="60" w:line="276" w:lineRule="auto"/>
              <w:contextualSpacing/>
              <w:rPr>
                <w:rFonts w:cs="Arial"/>
                <w:sz w:val="20"/>
                <w:szCs w:val="20"/>
              </w:rPr>
            </w:pPr>
          </w:p>
        </w:tc>
        <w:tc>
          <w:tcPr>
            <w:tcW w:w="3500" w:type="pct"/>
            <w:shd w:val="clear" w:color="auto" w:fill="auto"/>
          </w:tcPr>
          <w:p w14:paraId="360AF81F" w14:textId="0F1D5C2A" w:rsidR="00AD670B" w:rsidRPr="004D29ED" w:rsidRDefault="00810725" w:rsidP="00FC2EBF">
            <w:pPr>
              <w:spacing w:before="60" w:after="60" w:line="276" w:lineRule="auto"/>
              <w:contextualSpacing/>
              <w:rPr>
                <w:rFonts w:cs="Arial"/>
                <w:b/>
                <w:sz w:val="20"/>
                <w:szCs w:val="20"/>
              </w:rPr>
            </w:pPr>
            <w:r w:rsidRPr="004D29ED">
              <w:rPr>
                <w:rFonts w:cs="Arial"/>
                <w:b/>
                <w:sz w:val="20"/>
                <w:szCs w:val="20"/>
              </w:rPr>
              <w:t>Meets</w:t>
            </w:r>
          </w:p>
          <w:p w14:paraId="746574C5" w14:textId="5034900D" w:rsidR="00810725" w:rsidRDefault="00810725" w:rsidP="00FC2EBF">
            <w:pPr>
              <w:spacing w:before="60" w:after="60" w:line="276" w:lineRule="auto"/>
              <w:contextualSpacing/>
              <w:rPr>
                <w:rFonts w:cs="Arial"/>
                <w:bCs/>
                <w:sz w:val="20"/>
                <w:szCs w:val="20"/>
              </w:rPr>
            </w:pPr>
          </w:p>
          <w:p w14:paraId="0B8729FA" w14:textId="40E90CFF" w:rsidR="00C25DF2" w:rsidRDefault="00A0768D" w:rsidP="00FC2EBF">
            <w:pPr>
              <w:spacing w:before="60" w:after="60" w:line="276" w:lineRule="auto"/>
              <w:contextualSpacing/>
              <w:rPr>
                <w:rFonts w:cs="Arial"/>
                <w:bCs/>
                <w:sz w:val="20"/>
                <w:szCs w:val="20"/>
              </w:rPr>
            </w:pPr>
            <w:r>
              <w:rPr>
                <w:rFonts w:cs="Arial"/>
                <w:bCs/>
                <w:sz w:val="20"/>
                <w:szCs w:val="20"/>
              </w:rPr>
              <w:t>The use of a highly selective fishing method (hand collection) with minimal gear means that t</w:t>
            </w:r>
            <w:r w:rsidR="00C25DF2">
              <w:rPr>
                <w:rFonts w:cs="Arial"/>
                <w:bCs/>
                <w:sz w:val="20"/>
                <w:szCs w:val="20"/>
              </w:rPr>
              <w:t xml:space="preserve">he </w:t>
            </w:r>
            <w:r w:rsidR="00C354E7">
              <w:rPr>
                <w:rFonts w:cs="Arial"/>
                <w:bCs/>
                <w:sz w:val="20"/>
                <w:szCs w:val="20"/>
              </w:rPr>
              <w:t>impact on bycatch species</w:t>
            </w:r>
            <w:r w:rsidR="004055F0">
              <w:rPr>
                <w:rFonts w:cs="Arial"/>
                <w:bCs/>
                <w:sz w:val="20"/>
                <w:szCs w:val="20"/>
              </w:rPr>
              <w:t xml:space="preserve"> and their </w:t>
            </w:r>
            <w:r w:rsidR="00F00600">
              <w:rPr>
                <w:rFonts w:cs="Arial"/>
                <w:bCs/>
                <w:sz w:val="20"/>
                <w:szCs w:val="20"/>
              </w:rPr>
              <w:t xml:space="preserve">relevant </w:t>
            </w:r>
            <w:r w:rsidR="004055F0">
              <w:rPr>
                <w:rFonts w:cs="Arial"/>
                <w:bCs/>
                <w:sz w:val="20"/>
                <w:szCs w:val="20"/>
              </w:rPr>
              <w:t>ecosystem</w:t>
            </w:r>
            <w:r w:rsidR="00E546D7">
              <w:rPr>
                <w:rFonts w:cs="Arial"/>
                <w:bCs/>
                <w:sz w:val="20"/>
                <w:szCs w:val="20"/>
              </w:rPr>
              <w:t xml:space="preserve"> </w:t>
            </w:r>
            <w:r w:rsidR="00C354E7">
              <w:rPr>
                <w:rFonts w:cs="Arial"/>
                <w:bCs/>
                <w:sz w:val="20"/>
                <w:szCs w:val="20"/>
              </w:rPr>
              <w:t>is negli</w:t>
            </w:r>
            <w:r w:rsidR="00886154">
              <w:rPr>
                <w:rFonts w:cs="Arial"/>
                <w:bCs/>
                <w:sz w:val="20"/>
                <w:szCs w:val="20"/>
              </w:rPr>
              <w:t>gi</w:t>
            </w:r>
            <w:r w:rsidR="00C354E7">
              <w:rPr>
                <w:rFonts w:cs="Arial"/>
                <w:bCs/>
                <w:sz w:val="20"/>
                <w:szCs w:val="20"/>
              </w:rPr>
              <w:t>ble</w:t>
            </w:r>
            <w:r>
              <w:rPr>
                <w:rFonts w:cs="Arial"/>
                <w:bCs/>
                <w:sz w:val="20"/>
                <w:szCs w:val="20"/>
              </w:rPr>
              <w:t>.</w:t>
            </w:r>
            <w:r w:rsidR="00F94813">
              <w:rPr>
                <w:rFonts w:cs="Arial"/>
                <w:bCs/>
                <w:sz w:val="20"/>
                <w:szCs w:val="20"/>
              </w:rPr>
              <w:t xml:space="preserve"> </w:t>
            </w:r>
            <w:r w:rsidR="00274B21">
              <w:rPr>
                <w:rFonts w:cs="Arial"/>
                <w:bCs/>
                <w:sz w:val="20"/>
                <w:szCs w:val="20"/>
              </w:rPr>
              <w:t xml:space="preserve">Where relevant, </w:t>
            </w:r>
            <w:r w:rsidR="00F94813">
              <w:rPr>
                <w:rFonts w:cs="Arial"/>
                <w:bCs/>
                <w:sz w:val="20"/>
                <w:szCs w:val="20"/>
              </w:rPr>
              <w:t>PQ Aquatics</w:t>
            </w:r>
            <w:r w:rsidR="00274B21">
              <w:rPr>
                <w:rFonts w:cs="Arial"/>
                <w:bCs/>
                <w:sz w:val="20"/>
                <w:szCs w:val="20"/>
              </w:rPr>
              <w:t xml:space="preserve"> complies</w:t>
            </w:r>
            <w:r w:rsidR="0009689A">
              <w:rPr>
                <w:rFonts w:cs="Arial"/>
                <w:bCs/>
                <w:sz w:val="20"/>
                <w:szCs w:val="20"/>
              </w:rPr>
              <w:t xml:space="preserve"> with </w:t>
            </w:r>
            <w:r w:rsidR="00772887">
              <w:rPr>
                <w:rFonts w:cs="Arial"/>
                <w:bCs/>
                <w:sz w:val="20"/>
                <w:szCs w:val="20"/>
              </w:rPr>
              <w:t>management plans</w:t>
            </w:r>
            <w:r w:rsidR="007B3FCF">
              <w:rPr>
                <w:rFonts w:cs="Arial"/>
                <w:bCs/>
                <w:sz w:val="20"/>
                <w:szCs w:val="20"/>
              </w:rPr>
              <w:t xml:space="preserve"> (e.g. threat abatement, recovery plans)</w:t>
            </w:r>
            <w:r w:rsidR="00772887">
              <w:rPr>
                <w:rFonts w:cs="Arial"/>
                <w:bCs/>
                <w:sz w:val="20"/>
                <w:szCs w:val="20"/>
              </w:rPr>
              <w:t>, action strategies and policies</w:t>
            </w:r>
            <w:r w:rsidR="00BB45B1">
              <w:rPr>
                <w:rFonts w:cs="Arial"/>
                <w:bCs/>
                <w:sz w:val="20"/>
                <w:szCs w:val="20"/>
              </w:rPr>
              <w:t xml:space="preserve"> at the state and Commonwealth level.</w:t>
            </w:r>
            <w:r w:rsidR="0009689A">
              <w:rPr>
                <w:rFonts w:cs="Arial"/>
                <w:bCs/>
                <w:sz w:val="20"/>
                <w:szCs w:val="20"/>
              </w:rPr>
              <w:t xml:space="preserve"> </w:t>
            </w:r>
          </w:p>
          <w:p w14:paraId="5E4F5B9B" w14:textId="569D258B" w:rsidR="00885298" w:rsidRPr="00433FCA" w:rsidRDefault="00885298" w:rsidP="00FC2EBF">
            <w:pPr>
              <w:spacing w:before="60" w:after="60" w:line="276" w:lineRule="auto"/>
              <w:contextualSpacing/>
              <w:rPr>
                <w:rFonts w:cs="Arial"/>
                <w:sz w:val="20"/>
                <w:szCs w:val="20"/>
              </w:rPr>
            </w:pPr>
          </w:p>
        </w:tc>
      </w:tr>
      <w:tr w:rsidR="00885298" w:rsidRPr="00433FCA" w14:paraId="4C167BCF" w14:textId="77777777" w:rsidTr="002F0C8B">
        <w:trPr>
          <w:cantSplit/>
        </w:trPr>
        <w:tc>
          <w:tcPr>
            <w:tcW w:w="5000" w:type="pct"/>
            <w:gridSpan w:val="2"/>
            <w:shd w:val="clear" w:color="auto" w:fill="92CDDC"/>
          </w:tcPr>
          <w:p w14:paraId="5BAE62F0" w14:textId="77777777" w:rsidR="00885298" w:rsidRPr="00433FCA" w:rsidRDefault="00885298" w:rsidP="00E22A97">
            <w:pPr>
              <w:keepNext/>
              <w:autoSpaceDE w:val="0"/>
              <w:autoSpaceDN w:val="0"/>
              <w:adjustRightInd w:val="0"/>
              <w:spacing w:before="60" w:after="60" w:line="276" w:lineRule="auto"/>
              <w:contextualSpacing/>
              <w:rPr>
                <w:rFonts w:cs="Arial"/>
                <w:b/>
                <w:bCs/>
                <w:sz w:val="20"/>
                <w:szCs w:val="20"/>
              </w:rPr>
            </w:pPr>
            <w:r w:rsidRPr="00433FCA">
              <w:rPr>
                <w:rFonts w:cs="Arial"/>
                <w:b/>
                <w:bCs/>
                <w:sz w:val="20"/>
                <w:szCs w:val="20"/>
              </w:rPr>
              <w:t xml:space="preserve">PRINCIPLE 1 - </w:t>
            </w:r>
            <w:r w:rsidRPr="00433FCA">
              <w:rPr>
                <w:rFonts w:cs="Arial"/>
                <w:sz w:val="20"/>
                <w:szCs w:val="20"/>
              </w:rPr>
              <w:t>A fishery must be conducted in a manner that does not lead to over-fishing, or for those stocks that are over-fished, the fishery must be conducted such that there is a high degree of probability the stock(s) will recover</w:t>
            </w:r>
            <w:r w:rsidRPr="00433FCA">
              <w:rPr>
                <w:rFonts w:cs="Arial"/>
                <w:b/>
                <w:bCs/>
                <w:sz w:val="20"/>
                <w:szCs w:val="20"/>
              </w:rPr>
              <w:t xml:space="preserve">. </w:t>
            </w:r>
          </w:p>
        </w:tc>
      </w:tr>
      <w:tr w:rsidR="00885298" w:rsidRPr="00433FCA" w14:paraId="1B4867E2" w14:textId="77777777" w:rsidTr="002F0C8B">
        <w:trPr>
          <w:cantSplit/>
        </w:trPr>
        <w:tc>
          <w:tcPr>
            <w:tcW w:w="5000" w:type="pct"/>
            <w:gridSpan w:val="2"/>
            <w:shd w:val="clear" w:color="auto" w:fill="B6DDE8"/>
          </w:tcPr>
          <w:p w14:paraId="1598A040" w14:textId="0115D611" w:rsidR="00885298" w:rsidRPr="00433FCA" w:rsidRDefault="00885298" w:rsidP="00E22A97">
            <w:pPr>
              <w:keepNext/>
              <w:spacing w:before="60" w:after="60" w:line="276" w:lineRule="auto"/>
              <w:contextualSpacing/>
              <w:rPr>
                <w:rFonts w:cs="Arial"/>
                <w:b/>
                <w:bCs/>
                <w:sz w:val="20"/>
                <w:szCs w:val="20"/>
              </w:rPr>
            </w:pPr>
            <w:r w:rsidRPr="00433FCA">
              <w:rPr>
                <w:rFonts w:cs="Arial"/>
                <w:b/>
                <w:bCs/>
                <w:sz w:val="20"/>
                <w:szCs w:val="20"/>
              </w:rPr>
              <w:t xml:space="preserve">Objective 1 - </w:t>
            </w:r>
            <w:r w:rsidRPr="00433FCA">
              <w:rPr>
                <w:rFonts w:cs="Arial"/>
                <w:sz w:val="20"/>
                <w:szCs w:val="20"/>
              </w:rPr>
              <w:t>The fishery shall be conducted at catch levels that maintain ecologically viable stock levels at an agreed point or range, with ac</w:t>
            </w:r>
            <w:r w:rsidR="006B6EF9" w:rsidRPr="00433FCA">
              <w:rPr>
                <w:rFonts w:cs="Arial"/>
                <w:sz w:val="20"/>
                <w:szCs w:val="20"/>
              </w:rPr>
              <w:t>ceptable levels of probability.</w:t>
            </w:r>
          </w:p>
        </w:tc>
      </w:tr>
      <w:tr w:rsidR="00885298" w:rsidRPr="00433FCA" w14:paraId="1CCDF312" w14:textId="77777777" w:rsidTr="002F0C8B">
        <w:trPr>
          <w:cantSplit/>
        </w:trPr>
        <w:tc>
          <w:tcPr>
            <w:tcW w:w="5000" w:type="pct"/>
            <w:gridSpan w:val="2"/>
            <w:shd w:val="clear" w:color="auto" w:fill="DAEEF3"/>
          </w:tcPr>
          <w:p w14:paraId="43C5F828" w14:textId="77777777" w:rsidR="00885298" w:rsidRPr="00433FCA" w:rsidRDefault="00885298" w:rsidP="00E22A97">
            <w:pPr>
              <w:keepNext/>
              <w:spacing w:before="60" w:after="60" w:line="276" w:lineRule="auto"/>
              <w:contextualSpacing/>
              <w:rPr>
                <w:rFonts w:cs="Arial"/>
                <w:b/>
                <w:bCs/>
                <w:i/>
                <w:iCs/>
                <w:sz w:val="20"/>
                <w:szCs w:val="20"/>
              </w:rPr>
            </w:pPr>
            <w:r w:rsidRPr="00433FCA">
              <w:rPr>
                <w:rFonts w:cs="Arial"/>
                <w:b/>
                <w:bCs/>
                <w:i/>
                <w:iCs/>
                <w:sz w:val="20"/>
                <w:szCs w:val="20"/>
              </w:rPr>
              <w:t xml:space="preserve">Information requirements </w:t>
            </w:r>
          </w:p>
        </w:tc>
      </w:tr>
      <w:tr w:rsidR="00885298" w:rsidRPr="00433FCA" w14:paraId="40E94611" w14:textId="77777777" w:rsidTr="009F6D6D">
        <w:trPr>
          <w:cantSplit/>
        </w:trPr>
        <w:tc>
          <w:tcPr>
            <w:tcW w:w="1500" w:type="pct"/>
            <w:shd w:val="clear" w:color="auto" w:fill="92D050"/>
          </w:tcPr>
          <w:p w14:paraId="144AC722" w14:textId="626FE5E9" w:rsidR="00A0129B" w:rsidRPr="00433FCA" w:rsidRDefault="00885298" w:rsidP="00FC2EBF">
            <w:pPr>
              <w:spacing w:before="60" w:after="60" w:line="276" w:lineRule="auto"/>
              <w:contextualSpacing/>
              <w:rPr>
                <w:rFonts w:cs="Arial"/>
                <w:sz w:val="20"/>
                <w:szCs w:val="20"/>
              </w:rPr>
            </w:pPr>
            <w:r w:rsidRPr="00433FCA">
              <w:rPr>
                <w:rFonts w:cs="Arial"/>
                <w:b/>
                <w:bCs/>
                <w:i/>
                <w:iCs/>
                <w:sz w:val="20"/>
                <w:szCs w:val="20"/>
              </w:rPr>
              <w:t xml:space="preserve">1.1.1 </w:t>
            </w:r>
            <w:r w:rsidRPr="00433FCA">
              <w:rPr>
                <w:rFonts w:cs="Arial"/>
                <w:sz w:val="20"/>
                <w:szCs w:val="20"/>
              </w:rPr>
              <w:t>There is a reliable information collection system in place appropriate to the scale of the fishery. The level of data collection should be based upon an appropriate mix of fishery independent and dep</w:t>
            </w:r>
            <w:r w:rsidR="006B6EF9" w:rsidRPr="00433FCA">
              <w:rPr>
                <w:rFonts w:cs="Arial"/>
                <w:sz w:val="20"/>
                <w:szCs w:val="20"/>
              </w:rPr>
              <w:t>endent research and monitoring.</w:t>
            </w:r>
          </w:p>
          <w:p w14:paraId="31C44E87" w14:textId="67073DC3" w:rsidR="00A0129B" w:rsidRPr="00433FCA" w:rsidRDefault="00A0129B" w:rsidP="00FC2EBF">
            <w:pPr>
              <w:spacing w:before="60" w:after="60" w:line="276" w:lineRule="auto"/>
              <w:contextualSpacing/>
              <w:rPr>
                <w:rFonts w:cs="Arial"/>
                <w:sz w:val="20"/>
                <w:szCs w:val="20"/>
              </w:rPr>
            </w:pPr>
          </w:p>
        </w:tc>
        <w:tc>
          <w:tcPr>
            <w:tcW w:w="3500" w:type="pct"/>
            <w:shd w:val="clear" w:color="auto" w:fill="auto"/>
          </w:tcPr>
          <w:p w14:paraId="131B893B" w14:textId="6B93F9E9" w:rsidR="008968D2" w:rsidRDefault="008968D2" w:rsidP="00FC2EBF">
            <w:pPr>
              <w:spacing w:before="60" w:after="60" w:line="276" w:lineRule="auto"/>
              <w:contextualSpacing/>
              <w:rPr>
                <w:rFonts w:cs="Arial"/>
                <w:b/>
                <w:sz w:val="20"/>
                <w:szCs w:val="20"/>
              </w:rPr>
            </w:pPr>
            <w:r>
              <w:rPr>
                <w:rFonts w:cs="Arial"/>
                <w:b/>
                <w:sz w:val="20"/>
                <w:szCs w:val="20"/>
              </w:rPr>
              <w:t>Meets</w:t>
            </w:r>
          </w:p>
          <w:p w14:paraId="26E7610C" w14:textId="77777777" w:rsidR="000314E1" w:rsidRDefault="000314E1" w:rsidP="00FC2EBF">
            <w:pPr>
              <w:spacing w:before="60" w:after="60" w:line="276" w:lineRule="auto"/>
              <w:contextualSpacing/>
              <w:rPr>
                <w:rFonts w:cs="Arial"/>
                <w:b/>
                <w:sz w:val="20"/>
                <w:szCs w:val="20"/>
              </w:rPr>
            </w:pPr>
          </w:p>
          <w:p w14:paraId="5692192D" w14:textId="6D654530" w:rsidR="008968D2" w:rsidRPr="000314E1" w:rsidRDefault="00875D54" w:rsidP="00FC2EBF">
            <w:pPr>
              <w:spacing w:before="60" w:after="60" w:line="276" w:lineRule="auto"/>
              <w:contextualSpacing/>
              <w:rPr>
                <w:rFonts w:cs="Arial"/>
                <w:bCs/>
                <w:sz w:val="20"/>
                <w:szCs w:val="20"/>
              </w:rPr>
            </w:pPr>
            <w:r w:rsidRPr="000314E1">
              <w:rPr>
                <w:rFonts w:cs="Arial"/>
                <w:bCs/>
                <w:sz w:val="20"/>
                <w:szCs w:val="20"/>
              </w:rPr>
              <w:t xml:space="preserve">Harvesting and operational data </w:t>
            </w:r>
            <w:r w:rsidR="00844AFD">
              <w:rPr>
                <w:rFonts w:cs="Arial"/>
                <w:bCs/>
                <w:sz w:val="20"/>
                <w:szCs w:val="20"/>
              </w:rPr>
              <w:t>are</w:t>
            </w:r>
            <w:r w:rsidRPr="000314E1">
              <w:rPr>
                <w:rFonts w:cs="Arial"/>
                <w:bCs/>
                <w:sz w:val="20"/>
                <w:szCs w:val="20"/>
              </w:rPr>
              <w:t xml:space="preserve"> collected through monthly r</w:t>
            </w:r>
            <w:r w:rsidR="00C52BF2" w:rsidRPr="000314E1">
              <w:rPr>
                <w:rFonts w:cs="Arial"/>
                <w:bCs/>
                <w:sz w:val="20"/>
                <w:szCs w:val="20"/>
              </w:rPr>
              <w:t xml:space="preserve">eporting to the VFA, as well as annual reporting </w:t>
            </w:r>
            <w:r w:rsidR="000314E1" w:rsidRPr="000314E1">
              <w:rPr>
                <w:rFonts w:cs="Arial"/>
                <w:bCs/>
                <w:sz w:val="20"/>
                <w:szCs w:val="20"/>
              </w:rPr>
              <w:t xml:space="preserve">to the </w:t>
            </w:r>
            <w:r w:rsidR="00853E17">
              <w:rPr>
                <w:rFonts w:cs="Arial"/>
                <w:bCs/>
                <w:sz w:val="20"/>
                <w:szCs w:val="20"/>
              </w:rPr>
              <w:t>department</w:t>
            </w:r>
            <w:r w:rsidR="00BB6186">
              <w:rPr>
                <w:rFonts w:cs="Arial"/>
                <w:bCs/>
                <w:sz w:val="20"/>
                <w:szCs w:val="20"/>
              </w:rPr>
              <w:t xml:space="preserve">. </w:t>
            </w:r>
            <w:r w:rsidR="00156B0A">
              <w:rPr>
                <w:rFonts w:cs="Arial"/>
                <w:bCs/>
                <w:sz w:val="20"/>
                <w:szCs w:val="20"/>
              </w:rPr>
              <w:t>The a</w:t>
            </w:r>
            <w:r w:rsidR="00B11043">
              <w:rPr>
                <w:rFonts w:cs="Arial"/>
                <w:bCs/>
                <w:sz w:val="20"/>
                <w:szCs w:val="20"/>
              </w:rPr>
              <w:t xml:space="preserve">nnual reports </w:t>
            </w:r>
            <w:r w:rsidR="00156B0A">
              <w:rPr>
                <w:rFonts w:cs="Arial"/>
                <w:bCs/>
                <w:sz w:val="20"/>
                <w:szCs w:val="20"/>
              </w:rPr>
              <w:t xml:space="preserve">provide </w:t>
            </w:r>
            <w:r w:rsidR="00EA452B">
              <w:rPr>
                <w:rFonts w:cs="Arial"/>
                <w:bCs/>
                <w:sz w:val="20"/>
                <w:szCs w:val="20"/>
              </w:rPr>
              <w:t xml:space="preserve">species-specific details </w:t>
            </w:r>
            <w:r w:rsidR="00926503">
              <w:rPr>
                <w:rFonts w:cs="Arial"/>
                <w:bCs/>
                <w:sz w:val="20"/>
                <w:szCs w:val="20"/>
              </w:rPr>
              <w:t>for</w:t>
            </w:r>
            <w:r w:rsidR="00EA452B">
              <w:rPr>
                <w:rFonts w:cs="Arial"/>
                <w:bCs/>
                <w:sz w:val="20"/>
                <w:szCs w:val="20"/>
              </w:rPr>
              <w:t xml:space="preserve"> harvesting activities, including</w:t>
            </w:r>
            <w:r w:rsidR="00C73A8D">
              <w:rPr>
                <w:rFonts w:cs="Arial"/>
                <w:bCs/>
                <w:sz w:val="20"/>
                <w:szCs w:val="20"/>
              </w:rPr>
              <w:t xml:space="preserve"> </w:t>
            </w:r>
            <w:r w:rsidR="00E717B9">
              <w:rPr>
                <w:rFonts w:cs="Arial"/>
                <w:bCs/>
                <w:sz w:val="20"/>
                <w:szCs w:val="20"/>
              </w:rPr>
              <w:t xml:space="preserve">the </w:t>
            </w:r>
            <w:r w:rsidR="00C73A8D">
              <w:rPr>
                <w:rFonts w:cs="Arial"/>
                <w:bCs/>
                <w:sz w:val="20"/>
                <w:szCs w:val="20"/>
              </w:rPr>
              <w:t>number of specimens taken</w:t>
            </w:r>
            <w:r w:rsidR="00D638A2">
              <w:rPr>
                <w:rFonts w:cs="Arial"/>
                <w:bCs/>
                <w:sz w:val="20"/>
                <w:szCs w:val="20"/>
              </w:rPr>
              <w:t>,</w:t>
            </w:r>
            <w:r w:rsidR="00C73A8D">
              <w:rPr>
                <w:rFonts w:cs="Arial"/>
                <w:bCs/>
                <w:sz w:val="20"/>
                <w:szCs w:val="20"/>
              </w:rPr>
              <w:t xml:space="preserve"> </w:t>
            </w:r>
            <w:r w:rsidR="006D7424">
              <w:rPr>
                <w:rFonts w:cs="Arial"/>
                <w:bCs/>
                <w:sz w:val="20"/>
                <w:szCs w:val="20"/>
              </w:rPr>
              <w:t xml:space="preserve">their </w:t>
            </w:r>
            <w:r w:rsidR="00C73A8D">
              <w:rPr>
                <w:rFonts w:cs="Arial"/>
                <w:bCs/>
                <w:sz w:val="20"/>
                <w:szCs w:val="20"/>
              </w:rPr>
              <w:t>respective sex</w:t>
            </w:r>
            <w:r w:rsidR="006D7424">
              <w:rPr>
                <w:rFonts w:cs="Arial"/>
                <w:bCs/>
                <w:sz w:val="20"/>
                <w:szCs w:val="20"/>
              </w:rPr>
              <w:t xml:space="preserve"> and reproductive state (e.g. gravid)</w:t>
            </w:r>
            <w:r w:rsidR="00C73A8D">
              <w:rPr>
                <w:rFonts w:cs="Arial"/>
                <w:bCs/>
                <w:sz w:val="20"/>
                <w:szCs w:val="20"/>
              </w:rPr>
              <w:t xml:space="preserve">, </w:t>
            </w:r>
            <w:r w:rsidR="00D4536D">
              <w:rPr>
                <w:rFonts w:cs="Arial"/>
                <w:bCs/>
                <w:sz w:val="20"/>
                <w:szCs w:val="20"/>
              </w:rPr>
              <w:t xml:space="preserve">specimen </w:t>
            </w:r>
            <w:r w:rsidR="00E717B9">
              <w:rPr>
                <w:rFonts w:cs="Arial"/>
                <w:bCs/>
                <w:sz w:val="20"/>
                <w:szCs w:val="20"/>
              </w:rPr>
              <w:t>age group</w:t>
            </w:r>
            <w:r w:rsidR="00D4536D">
              <w:rPr>
                <w:rFonts w:cs="Arial"/>
                <w:bCs/>
                <w:sz w:val="20"/>
                <w:szCs w:val="20"/>
              </w:rPr>
              <w:t>s</w:t>
            </w:r>
            <w:r w:rsidR="00E717B9">
              <w:rPr>
                <w:rFonts w:cs="Arial"/>
                <w:bCs/>
                <w:sz w:val="20"/>
                <w:szCs w:val="20"/>
              </w:rPr>
              <w:t xml:space="preserve"> (e.g. </w:t>
            </w:r>
            <w:r w:rsidR="00CE2C65">
              <w:rPr>
                <w:rFonts w:cs="Arial"/>
                <w:bCs/>
                <w:sz w:val="20"/>
                <w:szCs w:val="20"/>
              </w:rPr>
              <w:t>juvenile, sub-adult and adult)</w:t>
            </w:r>
            <w:r w:rsidR="00D638A2">
              <w:rPr>
                <w:rFonts w:cs="Arial"/>
                <w:bCs/>
                <w:sz w:val="20"/>
                <w:szCs w:val="20"/>
              </w:rPr>
              <w:t>, and</w:t>
            </w:r>
            <w:r w:rsidR="00E717B9">
              <w:rPr>
                <w:rFonts w:cs="Arial"/>
                <w:bCs/>
                <w:sz w:val="20"/>
                <w:szCs w:val="20"/>
              </w:rPr>
              <w:t xml:space="preserve"> </w:t>
            </w:r>
            <w:r w:rsidR="00CE2C65">
              <w:rPr>
                <w:rFonts w:cs="Arial"/>
                <w:bCs/>
                <w:sz w:val="20"/>
                <w:szCs w:val="20"/>
              </w:rPr>
              <w:t>mortality rates.</w:t>
            </w:r>
            <w:r w:rsidR="00316E4A">
              <w:rPr>
                <w:rFonts w:cs="Arial"/>
                <w:bCs/>
                <w:sz w:val="20"/>
                <w:szCs w:val="20"/>
              </w:rPr>
              <w:t xml:space="preserve"> </w:t>
            </w:r>
            <w:r w:rsidR="00D60C59">
              <w:rPr>
                <w:rFonts w:cs="Arial"/>
                <w:bCs/>
                <w:sz w:val="20"/>
                <w:szCs w:val="20"/>
              </w:rPr>
              <w:t>Such reports will allow</w:t>
            </w:r>
            <w:r w:rsidR="00BB6186">
              <w:rPr>
                <w:rFonts w:cs="Arial"/>
                <w:bCs/>
                <w:sz w:val="20"/>
                <w:szCs w:val="20"/>
              </w:rPr>
              <w:t xml:space="preserve"> the </w:t>
            </w:r>
            <w:r w:rsidR="00844AFD">
              <w:rPr>
                <w:rFonts w:cs="Arial"/>
                <w:bCs/>
                <w:sz w:val="20"/>
                <w:szCs w:val="20"/>
              </w:rPr>
              <w:t>d</w:t>
            </w:r>
            <w:r w:rsidR="00BB6186">
              <w:rPr>
                <w:rFonts w:cs="Arial"/>
                <w:bCs/>
                <w:sz w:val="20"/>
                <w:szCs w:val="20"/>
              </w:rPr>
              <w:t xml:space="preserve">epartment to </w:t>
            </w:r>
            <w:r w:rsidR="00197CE6">
              <w:rPr>
                <w:rFonts w:cs="Arial"/>
                <w:bCs/>
                <w:sz w:val="20"/>
                <w:szCs w:val="20"/>
              </w:rPr>
              <w:t xml:space="preserve">directly </w:t>
            </w:r>
            <w:r w:rsidR="00BB6186">
              <w:rPr>
                <w:rFonts w:cs="Arial"/>
                <w:bCs/>
                <w:sz w:val="20"/>
                <w:szCs w:val="20"/>
              </w:rPr>
              <w:t xml:space="preserve">monitor </w:t>
            </w:r>
            <w:r w:rsidR="00D60C59">
              <w:rPr>
                <w:rFonts w:cs="Arial"/>
                <w:bCs/>
                <w:sz w:val="20"/>
                <w:szCs w:val="20"/>
              </w:rPr>
              <w:t>harvest levels</w:t>
            </w:r>
            <w:r w:rsidR="00316E4A">
              <w:rPr>
                <w:rFonts w:cs="Arial"/>
                <w:bCs/>
                <w:sz w:val="20"/>
                <w:szCs w:val="20"/>
              </w:rPr>
              <w:t xml:space="preserve"> </w:t>
            </w:r>
            <w:r w:rsidR="00ED3BF0">
              <w:rPr>
                <w:rFonts w:cs="Arial"/>
                <w:bCs/>
                <w:sz w:val="20"/>
                <w:szCs w:val="20"/>
              </w:rPr>
              <w:t xml:space="preserve">from the wild </w:t>
            </w:r>
            <w:r w:rsidR="00316E4A">
              <w:rPr>
                <w:rFonts w:cs="Arial"/>
                <w:bCs/>
                <w:sz w:val="20"/>
                <w:szCs w:val="20"/>
              </w:rPr>
              <w:t>and sale</w:t>
            </w:r>
            <w:r w:rsidR="00D4536D">
              <w:rPr>
                <w:rFonts w:cs="Arial"/>
                <w:bCs/>
                <w:sz w:val="20"/>
                <w:szCs w:val="20"/>
              </w:rPr>
              <w:t xml:space="preserve"> records</w:t>
            </w:r>
            <w:r w:rsidR="00316E4A">
              <w:rPr>
                <w:rFonts w:cs="Arial"/>
                <w:bCs/>
                <w:sz w:val="20"/>
                <w:szCs w:val="20"/>
              </w:rPr>
              <w:t xml:space="preserve"> to overseas institutions.</w:t>
            </w:r>
          </w:p>
          <w:p w14:paraId="4D7948C3" w14:textId="038D2F40" w:rsidR="00885298" w:rsidRPr="00433FCA" w:rsidRDefault="00885298" w:rsidP="00FC2EBF">
            <w:pPr>
              <w:spacing w:before="60" w:after="60" w:line="276" w:lineRule="auto"/>
              <w:contextualSpacing/>
              <w:rPr>
                <w:rFonts w:cs="Arial"/>
                <w:sz w:val="20"/>
                <w:szCs w:val="20"/>
              </w:rPr>
            </w:pPr>
          </w:p>
        </w:tc>
      </w:tr>
      <w:tr w:rsidR="00885298" w:rsidRPr="00433FCA" w14:paraId="24E6F4E0" w14:textId="77777777" w:rsidTr="002F0C8B">
        <w:trPr>
          <w:cantSplit/>
        </w:trPr>
        <w:tc>
          <w:tcPr>
            <w:tcW w:w="5000" w:type="pct"/>
            <w:gridSpan w:val="2"/>
            <w:shd w:val="clear" w:color="auto" w:fill="DAEEF3"/>
          </w:tcPr>
          <w:p w14:paraId="5031E339" w14:textId="77777777" w:rsidR="00885298" w:rsidRPr="00433FCA" w:rsidRDefault="00885298" w:rsidP="00FC2EBF">
            <w:pPr>
              <w:spacing w:before="60" w:after="60" w:line="276" w:lineRule="auto"/>
              <w:contextualSpacing/>
              <w:rPr>
                <w:rFonts w:cs="Arial"/>
                <w:b/>
                <w:bCs/>
                <w:i/>
                <w:iCs/>
                <w:sz w:val="20"/>
                <w:szCs w:val="20"/>
              </w:rPr>
            </w:pPr>
            <w:r w:rsidRPr="00433FCA">
              <w:rPr>
                <w:rFonts w:cs="Arial"/>
                <w:b/>
                <w:bCs/>
                <w:i/>
                <w:iCs/>
                <w:sz w:val="20"/>
                <w:szCs w:val="20"/>
              </w:rPr>
              <w:t xml:space="preserve">Assessment </w:t>
            </w:r>
          </w:p>
        </w:tc>
      </w:tr>
      <w:tr w:rsidR="00885298" w:rsidRPr="00433FCA" w14:paraId="4FB3EA8F" w14:textId="77777777" w:rsidTr="009F6D6D">
        <w:trPr>
          <w:cantSplit/>
        </w:trPr>
        <w:tc>
          <w:tcPr>
            <w:tcW w:w="1500" w:type="pct"/>
            <w:shd w:val="clear" w:color="auto" w:fill="92D050"/>
          </w:tcPr>
          <w:p w14:paraId="2096A75F" w14:textId="77777777" w:rsidR="00885298" w:rsidRPr="00433FCA" w:rsidRDefault="00885298" w:rsidP="00FC2EBF">
            <w:pPr>
              <w:spacing w:before="60" w:after="60" w:line="276" w:lineRule="auto"/>
              <w:contextualSpacing/>
              <w:rPr>
                <w:rFonts w:cs="Arial"/>
                <w:sz w:val="20"/>
                <w:szCs w:val="20"/>
              </w:rPr>
            </w:pPr>
            <w:r w:rsidRPr="00433FCA">
              <w:rPr>
                <w:rFonts w:cs="Arial"/>
                <w:b/>
                <w:bCs/>
                <w:i/>
                <w:iCs/>
                <w:sz w:val="20"/>
                <w:szCs w:val="20"/>
              </w:rPr>
              <w:t xml:space="preserve">1.1.2 </w:t>
            </w:r>
            <w:r w:rsidRPr="00433FCA">
              <w:rPr>
                <w:rFonts w:cs="Arial"/>
                <w:sz w:val="20"/>
                <w:szCs w:val="20"/>
              </w:rPr>
              <w:t>There is a robust assessment of the dynamics and status of the species/fishery and periodic review of the process and the data collected. Assessment should include a process to identify any reduction in biological diversity and /or reproductive capacity. Review should take place at regular intervals</w:t>
            </w:r>
            <w:r w:rsidR="006B6EF9" w:rsidRPr="00433FCA">
              <w:rPr>
                <w:rFonts w:cs="Arial"/>
                <w:sz w:val="20"/>
                <w:szCs w:val="20"/>
              </w:rPr>
              <w:t xml:space="preserve"> but at least every three years.</w:t>
            </w:r>
          </w:p>
          <w:p w14:paraId="619918D7" w14:textId="4E9ECF2E" w:rsidR="004649FA" w:rsidRPr="00433FCA" w:rsidRDefault="004649FA" w:rsidP="00FC2EBF">
            <w:pPr>
              <w:spacing w:before="60" w:after="60" w:line="276" w:lineRule="auto"/>
              <w:contextualSpacing/>
              <w:rPr>
                <w:rFonts w:cs="Arial"/>
                <w:sz w:val="20"/>
                <w:szCs w:val="20"/>
              </w:rPr>
            </w:pPr>
          </w:p>
        </w:tc>
        <w:tc>
          <w:tcPr>
            <w:tcW w:w="3500" w:type="pct"/>
            <w:shd w:val="clear" w:color="auto" w:fill="auto"/>
          </w:tcPr>
          <w:p w14:paraId="3BD17EC4" w14:textId="34E2B6F1" w:rsidR="00A0129B" w:rsidRDefault="006A551E" w:rsidP="00FC2EBF">
            <w:pPr>
              <w:spacing w:before="60" w:after="60" w:line="276" w:lineRule="auto"/>
              <w:contextualSpacing/>
              <w:rPr>
                <w:rFonts w:cs="Arial"/>
                <w:b/>
                <w:sz w:val="20"/>
                <w:szCs w:val="20"/>
              </w:rPr>
            </w:pPr>
            <w:r>
              <w:rPr>
                <w:rFonts w:cs="Arial"/>
                <w:b/>
                <w:sz w:val="20"/>
                <w:szCs w:val="20"/>
              </w:rPr>
              <w:t>Meets</w:t>
            </w:r>
          </w:p>
          <w:p w14:paraId="7890FEFC" w14:textId="6D92F5AA" w:rsidR="006A551E" w:rsidRDefault="006A551E" w:rsidP="00FC2EBF">
            <w:pPr>
              <w:spacing w:before="60" w:after="60" w:line="276" w:lineRule="auto"/>
              <w:contextualSpacing/>
              <w:rPr>
                <w:rFonts w:cs="Arial"/>
                <w:b/>
                <w:sz w:val="20"/>
                <w:szCs w:val="20"/>
              </w:rPr>
            </w:pPr>
          </w:p>
          <w:p w14:paraId="5ECF3F15" w14:textId="4BBF98A3" w:rsidR="0030256D" w:rsidRPr="00AF208A" w:rsidRDefault="00F11622" w:rsidP="00AF208A">
            <w:pPr>
              <w:spacing w:before="60" w:after="60" w:line="276" w:lineRule="auto"/>
              <w:contextualSpacing/>
              <w:rPr>
                <w:rFonts w:cs="Arial"/>
                <w:bCs/>
                <w:sz w:val="20"/>
                <w:szCs w:val="20"/>
              </w:rPr>
            </w:pPr>
            <w:r w:rsidRPr="0079230B">
              <w:rPr>
                <w:rFonts w:cs="Arial"/>
                <w:bCs/>
                <w:sz w:val="20"/>
                <w:szCs w:val="20"/>
              </w:rPr>
              <w:t xml:space="preserve">A stock assessment has not been undertaken for this operation. </w:t>
            </w:r>
            <w:r w:rsidR="00844AFD">
              <w:rPr>
                <w:rFonts w:cs="Arial"/>
                <w:bCs/>
                <w:sz w:val="20"/>
                <w:szCs w:val="20"/>
              </w:rPr>
              <w:t xml:space="preserve">The </w:t>
            </w:r>
            <w:r w:rsidR="006768E5">
              <w:rPr>
                <w:rFonts w:cs="Arial"/>
                <w:bCs/>
                <w:sz w:val="20"/>
                <w:szCs w:val="20"/>
              </w:rPr>
              <w:t>department’s</w:t>
            </w:r>
            <w:r w:rsidR="00FF403A">
              <w:rPr>
                <w:rFonts w:cs="Arial"/>
                <w:bCs/>
                <w:sz w:val="20"/>
                <w:szCs w:val="20"/>
              </w:rPr>
              <w:t xml:space="preserve"> NDF conducted in 2015 </w:t>
            </w:r>
            <w:r w:rsidR="00920F04">
              <w:rPr>
                <w:rFonts w:cs="Arial"/>
                <w:bCs/>
                <w:sz w:val="20"/>
                <w:szCs w:val="20"/>
              </w:rPr>
              <w:t xml:space="preserve">determined </w:t>
            </w:r>
            <w:r w:rsidR="008F7363">
              <w:rPr>
                <w:rFonts w:cs="Arial"/>
                <w:bCs/>
                <w:sz w:val="20"/>
                <w:szCs w:val="20"/>
              </w:rPr>
              <w:t>the CITES</w:t>
            </w:r>
            <w:r w:rsidR="00844AFD">
              <w:rPr>
                <w:rFonts w:cs="Arial"/>
                <w:bCs/>
                <w:sz w:val="20"/>
                <w:szCs w:val="20"/>
              </w:rPr>
              <w:t>-</w:t>
            </w:r>
            <w:r w:rsidR="008F7363">
              <w:rPr>
                <w:rFonts w:cs="Arial"/>
                <w:bCs/>
                <w:sz w:val="20"/>
                <w:szCs w:val="20"/>
              </w:rPr>
              <w:t xml:space="preserve">listed species, including </w:t>
            </w:r>
            <w:r w:rsidR="008F7363" w:rsidRPr="00D72731">
              <w:rPr>
                <w:rFonts w:cs="Arial"/>
                <w:bCs/>
                <w:i/>
                <w:iCs/>
                <w:sz w:val="20"/>
                <w:szCs w:val="20"/>
              </w:rPr>
              <w:t>Hippocampus breviceps</w:t>
            </w:r>
            <w:r w:rsidR="008F7363">
              <w:rPr>
                <w:rFonts w:cs="Arial"/>
                <w:bCs/>
                <w:sz w:val="20"/>
                <w:szCs w:val="20"/>
              </w:rPr>
              <w:t xml:space="preserve"> and</w:t>
            </w:r>
            <w:r w:rsidR="00C37E8F">
              <w:rPr>
                <w:rFonts w:cs="Arial"/>
                <w:bCs/>
                <w:sz w:val="20"/>
                <w:szCs w:val="20"/>
              </w:rPr>
              <w:t xml:space="preserve"> </w:t>
            </w:r>
            <w:r w:rsidR="00C37E8F" w:rsidRPr="00D72731">
              <w:rPr>
                <w:rFonts w:cs="Arial"/>
                <w:bCs/>
                <w:i/>
                <w:iCs/>
                <w:sz w:val="20"/>
                <w:szCs w:val="20"/>
              </w:rPr>
              <w:t>H. abdominalis</w:t>
            </w:r>
            <w:r w:rsidR="00C37E8F">
              <w:rPr>
                <w:rFonts w:cs="Arial"/>
                <w:bCs/>
                <w:sz w:val="20"/>
                <w:szCs w:val="20"/>
              </w:rPr>
              <w:t xml:space="preserve">, could be </w:t>
            </w:r>
            <w:r w:rsidR="00AF208A">
              <w:rPr>
                <w:rFonts w:cs="Arial"/>
                <w:bCs/>
                <w:sz w:val="20"/>
                <w:szCs w:val="20"/>
              </w:rPr>
              <w:t xml:space="preserve">wild </w:t>
            </w:r>
            <w:r w:rsidR="00C37E8F">
              <w:rPr>
                <w:rFonts w:cs="Arial"/>
                <w:bCs/>
                <w:sz w:val="20"/>
                <w:szCs w:val="20"/>
              </w:rPr>
              <w:t>harvested</w:t>
            </w:r>
            <w:r w:rsidR="00D72731">
              <w:rPr>
                <w:rFonts w:cs="Arial"/>
                <w:bCs/>
                <w:sz w:val="20"/>
                <w:szCs w:val="20"/>
              </w:rPr>
              <w:t xml:space="preserve"> and retained as broodstock without detriment to </w:t>
            </w:r>
            <w:r w:rsidR="00AF208A">
              <w:rPr>
                <w:rFonts w:cs="Arial"/>
                <w:bCs/>
                <w:sz w:val="20"/>
                <w:szCs w:val="20"/>
              </w:rPr>
              <w:t xml:space="preserve">the survival of </w:t>
            </w:r>
            <w:r w:rsidR="00595266">
              <w:rPr>
                <w:rFonts w:cs="Arial"/>
                <w:bCs/>
                <w:sz w:val="20"/>
                <w:szCs w:val="20"/>
              </w:rPr>
              <w:t>Victorian populations</w:t>
            </w:r>
            <w:r w:rsidR="00D72731">
              <w:rPr>
                <w:rFonts w:cs="Arial"/>
                <w:bCs/>
                <w:sz w:val="20"/>
                <w:szCs w:val="20"/>
              </w:rPr>
              <w:t xml:space="preserve">. </w:t>
            </w:r>
            <w:r w:rsidRPr="0079230B">
              <w:rPr>
                <w:rFonts w:cs="Arial"/>
                <w:bCs/>
                <w:sz w:val="20"/>
                <w:szCs w:val="20"/>
              </w:rPr>
              <w:t xml:space="preserve">Given </w:t>
            </w:r>
            <w:r w:rsidR="00865710">
              <w:rPr>
                <w:rFonts w:cs="Arial"/>
                <w:bCs/>
                <w:sz w:val="20"/>
                <w:szCs w:val="20"/>
              </w:rPr>
              <w:t>the small scale</w:t>
            </w:r>
            <w:r w:rsidRPr="0079230B">
              <w:rPr>
                <w:rFonts w:cs="Arial"/>
                <w:bCs/>
                <w:sz w:val="20"/>
                <w:szCs w:val="20"/>
              </w:rPr>
              <w:t xml:space="preserve"> of the </w:t>
            </w:r>
            <w:r w:rsidR="00865710">
              <w:rPr>
                <w:rFonts w:cs="Arial"/>
                <w:bCs/>
                <w:sz w:val="20"/>
                <w:szCs w:val="20"/>
              </w:rPr>
              <w:t xml:space="preserve">current </w:t>
            </w:r>
            <w:r w:rsidRPr="0079230B">
              <w:rPr>
                <w:rFonts w:cs="Arial"/>
                <w:bCs/>
                <w:sz w:val="20"/>
                <w:szCs w:val="20"/>
              </w:rPr>
              <w:t xml:space="preserve">operation </w:t>
            </w:r>
            <w:r w:rsidR="00865710">
              <w:rPr>
                <w:rFonts w:cs="Arial"/>
                <w:bCs/>
                <w:sz w:val="20"/>
                <w:szCs w:val="20"/>
              </w:rPr>
              <w:t>and</w:t>
            </w:r>
            <w:r w:rsidRPr="0079230B">
              <w:rPr>
                <w:rFonts w:cs="Arial"/>
                <w:bCs/>
                <w:sz w:val="20"/>
                <w:szCs w:val="20"/>
              </w:rPr>
              <w:t xml:space="preserve"> </w:t>
            </w:r>
            <w:r w:rsidR="00865710">
              <w:rPr>
                <w:rFonts w:cs="Arial"/>
                <w:bCs/>
                <w:sz w:val="20"/>
                <w:szCs w:val="20"/>
              </w:rPr>
              <w:t>the</w:t>
            </w:r>
            <w:r w:rsidR="004D4863" w:rsidRPr="0079230B">
              <w:rPr>
                <w:rFonts w:cs="Arial"/>
                <w:bCs/>
                <w:sz w:val="20"/>
                <w:szCs w:val="20"/>
              </w:rPr>
              <w:t xml:space="preserve"> </w:t>
            </w:r>
            <w:r w:rsidR="00BE4BE1">
              <w:rPr>
                <w:rFonts w:cs="Arial"/>
                <w:bCs/>
                <w:sz w:val="20"/>
                <w:szCs w:val="20"/>
              </w:rPr>
              <w:t xml:space="preserve">low </w:t>
            </w:r>
            <w:r w:rsidR="00F30527">
              <w:rPr>
                <w:rFonts w:cs="Arial"/>
                <w:bCs/>
                <w:sz w:val="20"/>
                <w:szCs w:val="20"/>
              </w:rPr>
              <w:t xml:space="preserve">level of </w:t>
            </w:r>
            <w:r w:rsidR="00F6767F">
              <w:rPr>
                <w:rFonts w:cs="Arial"/>
                <w:bCs/>
                <w:sz w:val="20"/>
                <w:szCs w:val="20"/>
              </w:rPr>
              <w:t xml:space="preserve">annual </w:t>
            </w:r>
            <w:r w:rsidR="00F30527">
              <w:rPr>
                <w:rFonts w:cs="Arial"/>
                <w:bCs/>
                <w:sz w:val="20"/>
                <w:szCs w:val="20"/>
              </w:rPr>
              <w:t>harvest</w:t>
            </w:r>
            <w:r w:rsidR="008810D0" w:rsidRPr="0079230B">
              <w:rPr>
                <w:rFonts w:cs="Arial"/>
                <w:bCs/>
                <w:sz w:val="20"/>
                <w:szCs w:val="20"/>
              </w:rPr>
              <w:t>, the target syngnathid species are</w:t>
            </w:r>
            <w:r w:rsidR="00C92189" w:rsidRPr="0079230B">
              <w:rPr>
                <w:rFonts w:cs="Arial"/>
                <w:bCs/>
                <w:sz w:val="20"/>
                <w:szCs w:val="20"/>
              </w:rPr>
              <w:t xml:space="preserve"> </w:t>
            </w:r>
            <w:r w:rsidR="0079230B" w:rsidRPr="0079230B">
              <w:rPr>
                <w:rFonts w:cs="Arial"/>
                <w:bCs/>
                <w:sz w:val="20"/>
                <w:szCs w:val="20"/>
              </w:rPr>
              <w:t>considered unlikely to be overharvested.</w:t>
            </w:r>
            <w:r w:rsidR="0052683B">
              <w:rPr>
                <w:rFonts w:cs="Arial"/>
                <w:bCs/>
                <w:sz w:val="20"/>
                <w:szCs w:val="20"/>
              </w:rPr>
              <w:t xml:space="preserve"> </w:t>
            </w:r>
          </w:p>
        </w:tc>
      </w:tr>
      <w:tr w:rsidR="00885298" w:rsidRPr="00433FCA" w14:paraId="554D6C9D" w14:textId="77777777" w:rsidTr="00074553">
        <w:trPr>
          <w:cantSplit/>
          <w:trHeight w:val="854"/>
        </w:trPr>
        <w:tc>
          <w:tcPr>
            <w:tcW w:w="1500" w:type="pct"/>
            <w:shd w:val="clear" w:color="auto" w:fill="92D050"/>
          </w:tcPr>
          <w:p w14:paraId="4E9F9AB0" w14:textId="77777777" w:rsidR="00885298" w:rsidRPr="00433FCA" w:rsidRDefault="00885298" w:rsidP="00FC2EBF">
            <w:pPr>
              <w:spacing w:before="60" w:after="60" w:line="276" w:lineRule="auto"/>
              <w:contextualSpacing/>
              <w:rPr>
                <w:rFonts w:cs="Arial"/>
                <w:i/>
                <w:iCs/>
                <w:sz w:val="20"/>
                <w:szCs w:val="20"/>
              </w:rPr>
            </w:pPr>
            <w:r w:rsidRPr="00433FCA">
              <w:rPr>
                <w:rFonts w:cs="Arial"/>
                <w:b/>
                <w:bCs/>
                <w:i/>
                <w:iCs/>
                <w:sz w:val="20"/>
                <w:szCs w:val="20"/>
              </w:rPr>
              <w:t xml:space="preserve">1.1.3 </w:t>
            </w:r>
            <w:r w:rsidRPr="00433FCA">
              <w:rPr>
                <w:rFonts w:cs="Arial"/>
                <w:sz w:val="20"/>
                <w:szCs w:val="20"/>
              </w:rPr>
              <w:t>The distribution and spatial structure of the stock(s) has been established and factored into management responses</w:t>
            </w:r>
            <w:r w:rsidR="006B6EF9" w:rsidRPr="00433FCA">
              <w:rPr>
                <w:rFonts w:cs="Arial"/>
                <w:i/>
                <w:iCs/>
                <w:sz w:val="20"/>
                <w:szCs w:val="20"/>
              </w:rPr>
              <w:t>.</w:t>
            </w:r>
          </w:p>
          <w:p w14:paraId="0D80A14A" w14:textId="315FCA83" w:rsidR="004649FA" w:rsidRPr="00433FCA" w:rsidRDefault="004649FA" w:rsidP="00FC2EBF">
            <w:pPr>
              <w:spacing w:before="60" w:after="60" w:line="276" w:lineRule="auto"/>
              <w:contextualSpacing/>
              <w:rPr>
                <w:rFonts w:cs="Arial"/>
                <w:i/>
                <w:iCs/>
                <w:sz w:val="20"/>
                <w:szCs w:val="20"/>
              </w:rPr>
            </w:pPr>
          </w:p>
        </w:tc>
        <w:tc>
          <w:tcPr>
            <w:tcW w:w="3500" w:type="pct"/>
            <w:shd w:val="clear" w:color="auto" w:fill="auto"/>
          </w:tcPr>
          <w:p w14:paraId="0F0648B1" w14:textId="00ACCE6D" w:rsidR="008F5315" w:rsidRPr="006477D8" w:rsidRDefault="007D2B38" w:rsidP="00FC2EBF">
            <w:pPr>
              <w:spacing w:before="60" w:after="60" w:line="276" w:lineRule="auto"/>
              <w:contextualSpacing/>
              <w:rPr>
                <w:rFonts w:cs="Arial"/>
                <w:b/>
                <w:sz w:val="20"/>
                <w:szCs w:val="20"/>
              </w:rPr>
            </w:pPr>
            <w:r w:rsidRPr="006477D8">
              <w:rPr>
                <w:rFonts w:cs="Arial"/>
                <w:b/>
                <w:sz w:val="20"/>
                <w:szCs w:val="20"/>
              </w:rPr>
              <w:t>Meets</w:t>
            </w:r>
          </w:p>
          <w:p w14:paraId="0077E85E" w14:textId="131A1D8B" w:rsidR="007D2B38" w:rsidRDefault="007D2B38" w:rsidP="00FC2EBF">
            <w:pPr>
              <w:spacing w:before="60" w:after="60" w:line="276" w:lineRule="auto"/>
              <w:contextualSpacing/>
              <w:rPr>
                <w:rFonts w:cs="Arial"/>
                <w:bCs/>
                <w:sz w:val="20"/>
                <w:szCs w:val="20"/>
              </w:rPr>
            </w:pPr>
          </w:p>
          <w:p w14:paraId="6BC56966" w14:textId="2B55C830" w:rsidR="00C44ACF" w:rsidRPr="00414E52" w:rsidRDefault="007D2B38" w:rsidP="00E636D3">
            <w:pPr>
              <w:spacing w:before="60" w:after="60" w:line="276" w:lineRule="auto"/>
              <w:contextualSpacing/>
              <w:rPr>
                <w:rFonts w:cs="Arial"/>
                <w:bCs/>
                <w:sz w:val="20"/>
                <w:szCs w:val="20"/>
              </w:rPr>
            </w:pPr>
            <w:r>
              <w:rPr>
                <w:rFonts w:cs="Arial"/>
                <w:bCs/>
                <w:sz w:val="20"/>
                <w:szCs w:val="20"/>
              </w:rPr>
              <w:t xml:space="preserve">A stock assessment has not been undertaken for this operation. </w:t>
            </w:r>
            <w:r w:rsidR="00E904D2">
              <w:rPr>
                <w:rFonts w:cs="Arial"/>
                <w:bCs/>
                <w:sz w:val="20"/>
                <w:szCs w:val="20"/>
              </w:rPr>
              <w:t xml:space="preserve">All three syngnathid species </w:t>
            </w:r>
            <w:r w:rsidR="00266EA9">
              <w:rPr>
                <w:rFonts w:cs="Arial"/>
                <w:bCs/>
                <w:sz w:val="20"/>
                <w:szCs w:val="20"/>
              </w:rPr>
              <w:t xml:space="preserve">are known to </w:t>
            </w:r>
            <w:r w:rsidR="00E904D2">
              <w:rPr>
                <w:rFonts w:cs="Arial"/>
                <w:bCs/>
                <w:sz w:val="20"/>
                <w:szCs w:val="20"/>
              </w:rPr>
              <w:t xml:space="preserve">inhabit </w:t>
            </w:r>
            <w:r w:rsidR="00127EBC">
              <w:rPr>
                <w:rFonts w:cs="Arial"/>
                <w:bCs/>
                <w:sz w:val="20"/>
                <w:szCs w:val="20"/>
              </w:rPr>
              <w:t>coastal waters throughout southern Australia</w:t>
            </w:r>
            <w:r w:rsidR="00C2347A">
              <w:rPr>
                <w:rFonts w:cs="Arial"/>
                <w:bCs/>
                <w:sz w:val="20"/>
                <w:szCs w:val="20"/>
              </w:rPr>
              <w:t>, while</w:t>
            </w:r>
            <w:r w:rsidR="00E17F85">
              <w:rPr>
                <w:rFonts w:cs="Arial"/>
                <w:bCs/>
                <w:sz w:val="20"/>
                <w:szCs w:val="20"/>
              </w:rPr>
              <w:t xml:space="preserve"> </w:t>
            </w:r>
            <w:r w:rsidR="00C2347A">
              <w:rPr>
                <w:rFonts w:cs="Arial"/>
                <w:bCs/>
                <w:sz w:val="20"/>
                <w:szCs w:val="20"/>
              </w:rPr>
              <w:t>p</w:t>
            </w:r>
            <w:r w:rsidR="003D1189">
              <w:rPr>
                <w:rFonts w:cs="Arial"/>
                <w:bCs/>
                <w:sz w:val="20"/>
                <w:szCs w:val="20"/>
              </w:rPr>
              <w:t xml:space="preserve">opulations of </w:t>
            </w:r>
            <w:r w:rsidR="00515312" w:rsidRPr="00515312">
              <w:rPr>
                <w:rFonts w:cs="Arial"/>
                <w:bCs/>
                <w:i/>
                <w:iCs/>
                <w:sz w:val="20"/>
                <w:szCs w:val="20"/>
              </w:rPr>
              <w:t>H. abdominalis</w:t>
            </w:r>
            <w:r w:rsidR="00630260">
              <w:rPr>
                <w:rFonts w:cs="Arial"/>
                <w:bCs/>
                <w:sz w:val="20"/>
                <w:szCs w:val="20"/>
              </w:rPr>
              <w:t xml:space="preserve"> also occur in the south-west of New Zealand</w:t>
            </w:r>
            <w:r w:rsidR="003D1189">
              <w:rPr>
                <w:rFonts w:cs="Arial"/>
                <w:bCs/>
                <w:sz w:val="20"/>
                <w:szCs w:val="20"/>
              </w:rPr>
              <w:t xml:space="preserve">. </w:t>
            </w:r>
            <w:r w:rsidR="00262993">
              <w:rPr>
                <w:rFonts w:cs="Arial"/>
                <w:sz w:val="20"/>
                <w:szCs w:val="20"/>
              </w:rPr>
              <w:t>Quantitative</w:t>
            </w:r>
            <w:r w:rsidR="00BE22E5">
              <w:rPr>
                <w:rFonts w:cs="Arial"/>
                <w:sz w:val="20"/>
                <w:szCs w:val="20"/>
              </w:rPr>
              <w:t xml:space="preserve"> d</w:t>
            </w:r>
            <w:r w:rsidR="006511CC">
              <w:rPr>
                <w:rFonts w:cs="Arial"/>
                <w:sz w:val="20"/>
                <w:szCs w:val="20"/>
              </w:rPr>
              <w:t>ata</w:t>
            </w:r>
            <w:r w:rsidR="00CC5B2A">
              <w:rPr>
                <w:rFonts w:cs="Arial"/>
                <w:sz w:val="20"/>
                <w:szCs w:val="20"/>
              </w:rPr>
              <w:t xml:space="preserve"> on the distribution and spatial structure of the target species is limited, particularly </w:t>
            </w:r>
            <w:r w:rsidR="0053652D">
              <w:rPr>
                <w:rFonts w:cs="Arial"/>
                <w:sz w:val="20"/>
                <w:szCs w:val="20"/>
              </w:rPr>
              <w:t xml:space="preserve">for </w:t>
            </w:r>
            <w:r w:rsidR="00262993">
              <w:rPr>
                <w:rFonts w:cs="Arial"/>
                <w:sz w:val="20"/>
                <w:szCs w:val="20"/>
              </w:rPr>
              <w:t>wild populations inhabiting</w:t>
            </w:r>
            <w:r w:rsidR="00CC5B2A">
              <w:rPr>
                <w:rFonts w:cs="Arial"/>
                <w:sz w:val="20"/>
                <w:szCs w:val="20"/>
              </w:rPr>
              <w:t xml:space="preserve"> </w:t>
            </w:r>
            <w:r w:rsidR="00F52A7E">
              <w:rPr>
                <w:rFonts w:cs="Arial"/>
                <w:sz w:val="20"/>
                <w:szCs w:val="20"/>
              </w:rPr>
              <w:t>Victorian</w:t>
            </w:r>
            <w:r w:rsidR="009D3300">
              <w:rPr>
                <w:rFonts w:cs="Arial"/>
                <w:sz w:val="20"/>
                <w:szCs w:val="20"/>
              </w:rPr>
              <w:t xml:space="preserve"> coasta</w:t>
            </w:r>
            <w:r w:rsidR="00BE497A">
              <w:rPr>
                <w:rFonts w:cs="Arial"/>
                <w:sz w:val="20"/>
                <w:szCs w:val="20"/>
              </w:rPr>
              <w:t>l waters</w:t>
            </w:r>
            <w:r w:rsidR="00CC5B2A">
              <w:rPr>
                <w:rFonts w:cs="Arial"/>
                <w:sz w:val="20"/>
                <w:szCs w:val="20"/>
              </w:rPr>
              <w:t>.</w:t>
            </w:r>
            <w:r w:rsidR="009D3300">
              <w:rPr>
                <w:rFonts w:cs="Arial"/>
                <w:sz w:val="20"/>
                <w:szCs w:val="20"/>
              </w:rPr>
              <w:t xml:space="preserve"> </w:t>
            </w:r>
            <w:r w:rsidR="00794871">
              <w:rPr>
                <w:rFonts w:cs="Arial"/>
                <w:sz w:val="20"/>
                <w:szCs w:val="20"/>
              </w:rPr>
              <w:t xml:space="preserve">Populations of </w:t>
            </w:r>
            <w:r w:rsidR="00794871" w:rsidRPr="007A4188">
              <w:rPr>
                <w:rFonts w:cs="Arial"/>
                <w:i/>
                <w:iCs/>
                <w:sz w:val="20"/>
                <w:szCs w:val="20"/>
              </w:rPr>
              <w:t>H. abdominalis</w:t>
            </w:r>
            <w:r w:rsidR="00794871">
              <w:rPr>
                <w:rFonts w:cs="Arial"/>
                <w:sz w:val="20"/>
                <w:szCs w:val="20"/>
              </w:rPr>
              <w:t xml:space="preserve"> have been found to be rare or scarce</w:t>
            </w:r>
            <w:r w:rsidR="009A14C7">
              <w:rPr>
                <w:rFonts w:cs="Arial"/>
                <w:sz w:val="20"/>
                <w:szCs w:val="20"/>
              </w:rPr>
              <w:t xml:space="preserve">, and widely distributed. </w:t>
            </w:r>
            <w:r w:rsidR="00C44ACF">
              <w:rPr>
                <w:rFonts w:cs="Arial"/>
                <w:sz w:val="20"/>
                <w:szCs w:val="20"/>
              </w:rPr>
              <w:t xml:space="preserve">A 2004 study in Port Phillip Bay observed high densities of </w:t>
            </w:r>
            <w:r w:rsidR="00C44ACF" w:rsidRPr="007A4188">
              <w:rPr>
                <w:rFonts w:cs="Arial"/>
                <w:i/>
                <w:iCs/>
                <w:sz w:val="20"/>
                <w:szCs w:val="20"/>
              </w:rPr>
              <w:t>H. breviceps</w:t>
            </w:r>
            <w:r w:rsidR="00C44ACF">
              <w:rPr>
                <w:rFonts w:cs="Arial"/>
                <w:sz w:val="20"/>
                <w:szCs w:val="20"/>
              </w:rPr>
              <w:t xml:space="preserve">, with 0.21 adults per square metre recorded at the studied location. </w:t>
            </w:r>
            <w:r w:rsidR="00844AFD">
              <w:rPr>
                <w:rFonts w:cs="Arial"/>
                <w:sz w:val="20"/>
                <w:szCs w:val="20"/>
              </w:rPr>
              <w:t>Large p</w:t>
            </w:r>
            <w:r w:rsidR="00C44ACF">
              <w:rPr>
                <w:rFonts w:cs="Arial"/>
                <w:sz w:val="20"/>
                <w:szCs w:val="20"/>
              </w:rPr>
              <w:t xml:space="preserve">opulations </w:t>
            </w:r>
            <w:r w:rsidR="00844AFD">
              <w:rPr>
                <w:rFonts w:cs="Arial"/>
                <w:sz w:val="20"/>
                <w:szCs w:val="20"/>
              </w:rPr>
              <w:t xml:space="preserve">of this species </w:t>
            </w:r>
            <w:r w:rsidR="00C44ACF">
              <w:rPr>
                <w:rFonts w:cs="Arial"/>
                <w:sz w:val="20"/>
                <w:szCs w:val="20"/>
              </w:rPr>
              <w:t xml:space="preserve">are not typically observed outside of this region. </w:t>
            </w:r>
          </w:p>
          <w:p w14:paraId="59AF379F" w14:textId="77777777" w:rsidR="00C44ACF" w:rsidRDefault="00C44ACF" w:rsidP="00E636D3">
            <w:pPr>
              <w:spacing w:before="60" w:after="60" w:line="276" w:lineRule="auto"/>
              <w:contextualSpacing/>
              <w:rPr>
                <w:rFonts w:cs="Arial"/>
                <w:sz w:val="20"/>
                <w:szCs w:val="20"/>
              </w:rPr>
            </w:pPr>
          </w:p>
          <w:p w14:paraId="7D1DBD5C" w14:textId="5FFEC2C4" w:rsidR="009E6E30" w:rsidRDefault="00005A86" w:rsidP="00302DBE">
            <w:pPr>
              <w:spacing w:before="60" w:after="60" w:line="276" w:lineRule="auto"/>
              <w:contextualSpacing/>
              <w:rPr>
                <w:rFonts w:cs="Arial"/>
                <w:sz w:val="20"/>
                <w:szCs w:val="20"/>
              </w:rPr>
            </w:pPr>
            <w:r>
              <w:rPr>
                <w:rFonts w:cs="Arial"/>
                <w:sz w:val="20"/>
                <w:szCs w:val="20"/>
              </w:rPr>
              <w:t xml:space="preserve">In 2020, </w:t>
            </w:r>
            <w:r w:rsidR="00C06059">
              <w:rPr>
                <w:rFonts w:cs="Arial"/>
                <w:sz w:val="20"/>
                <w:szCs w:val="20"/>
              </w:rPr>
              <w:t xml:space="preserve">a </w:t>
            </w:r>
            <w:r w:rsidR="0023554D">
              <w:rPr>
                <w:rFonts w:cs="Arial"/>
                <w:sz w:val="20"/>
                <w:szCs w:val="20"/>
              </w:rPr>
              <w:t xml:space="preserve">citizen-led marine </w:t>
            </w:r>
            <w:r w:rsidR="0023554D" w:rsidRPr="00F72875">
              <w:rPr>
                <w:rFonts w:cs="Arial"/>
                <w:sz w:val="20"/>
                <w:szCs w:val="20"/>
              </w:rPr>
              <w:t xml:space="preserve">survey </w:t>
            </w:r>
            <w:r w:rsidRPr="00F72875">
              <w:rPr>
                <w:rFonts w:cs="Arial"/>
                <w:sz w:val="20"/>
                <w:szCs w:val="20"/>
              </w:rPr>
              <w:t xml:space="preserve">undertaken in </w:t>
            </w:r>
            <w:r w:rsidR="00085099" w:rsidRPr="00F72875">
              <w:rPr>
                <w:rFonts w:cs="Arial"/>
                <w:sz w:val="20"/>
                <w:szCs w:val="20"/>
              </w:rPr>
              <w:t>Victorian coastal waters</w:t>
            </w:r>
            <w:r w:rsidR="00302DBE" w:rsidRPr="00F72875">
              <w:rPr>
                <w:rFonts w:cs="Arial"/>
                <w:sz w:val="20"/>
                <w:szCs w:val="20"/>
              </w:rPr>
              <w:t xml:space="preserve"> found that</w:t>
            </w:r>
            <w:r w:rsidR="00385B7C" w:rsidRPr="00F72875">
              <w:rPr>
                <w:rFonts w:cs="Arial"/>
                <w:sz w:val="20"/>
                <w:szCs w:val="20"/>
              </w:rPr>
              <w:t xml:space="preserve"> </w:t>
            </w:r>
            <w:r w:rsidR="00385B7C" w:rsidRPr="00F72875">
              <w:rPr>
                <w:rFonts w:cs="Arial"/>
                <w:i/>
                <w:iCs/>
                <w:sz w:val="20"/>
                <w:szCs w:val="20"/>
              </w:rPr>
              <w:t>H. abdominalis</w:t>
            </w:r>
            <w:r w:rsidR="00385B7C" w:rsidRPr="00F72875">
              <w:rPr>
                <w:rFonts w:cs="Arial"/>
                <w:sz w:val="20"/>
                <w:szCs w:val="20"/>
              </w:rPr>
              <w:t xml:space="preserve"> was a commonly sighted non-target species</w:t>
            </w:r>
            <w:r w:rsidR="006D1E94" w:rsidRPr="00F72875">
              <w:rPr>
                <w:rFonts w:cs="Arial"/>
                <w:sz w:val="20"/>
                <w:szCs w:val="20"/>
              </w:rPr>
              <w:t xml:space="preserve"> (</w:t>
            </w:r>
            <w:r w:rsidR="00FF5E5F" w:rsidRPr="00F72875">
              <w:rPr>
                <w:sz w:val="20"/>
                <w:szCs w:val="20"/>
              </w:rPr>
              <w:t>Yap, Mertens &amp; Mills</w:t>
            </w:r>
            <w:r w:rsidR="00D43D5C" w:rsidRPr="00F72875">
              <w:rPr>
                <w:sz w:val="20"/>
                <w:szCs w:val="20"/>
              </w:rPr>
              <w:t>,</w:t>
            </w:r>
            <w:r w:rsidR="00FF5E5F" w:rsidRPr="00F72875">
              <w:rPr>
                <w:sz w:val="20"/>
                <w:szCs w:val="20"/>
              </w:rPr>
              <w:t xml:space="preserve"> 2020</w:t>
            </w:r>
            <w:r w:rsidR="006D1E94" w:rsidRPr="00F72875">
              <w:rPr>
                <w:rFonts w:cs="Arial"/>
                <w:sz w:val="20"/>
                <w:szCs w:val="20"/>
              </w:rPr>
              <w:t>)</w:t>
            </w:r>
            <w:r w:rsidR="00385B7C" w:rsidRPr="00F72875">
              <w:rPr>
                <w:rFonts w:cs="Arial"/>
                <w:sz w:val="20"/>
                <w:szCs w:val="20"/>
              </w:rPr>
              <w:t>.</w:t>
            </w:r>
            <w:r w:rsidRPr="00F72875">
              <w:rPr>
                <w:rFonts w:cs="Arial"/>
                <w:sz w:val="20"/>
                <w:szCs w:val="20"/>
              </w:rPr>
              <w:t xml:space="preserve"> </w:t>
            </w:r>
            <w:r w:rsidR="00385B7C" w:rsidRPr="00F72875">
              <w:rPr>
                <w:rFonts w:cs="Arial"/>
                <w:sz w:val="20"/>
                <w:szCs w:val="20"/>
              </w:rPr>
              <w:t xml:space="preserve">The species </w:t>
            </w:r>
            <w:r w:rsidR="00085099" w:rsidRPr="00F72875">
              <w:rPr>
                <w:rFonts w:cs="Arial"/>
                <w:sz w:val="20"/>
                <w:szCs w:val="20"/>
              </w:rPr>
              <w:t>was sighted in 3 of 12 surveyed locations within Port Phillip Bay (</w:t>
            </w:r>
            <w:r w:rsidR="00D43D5C" w:rsidRPr="00F72875">
              <w:rPr>
                <w:sz w:val="20"/>
                <w:szCs w:val="20"/>
              </w:rPr>
              <w:t>Yap et al., 2020</w:t>
            </w:r>
            <w:r w:rsidR="00085099" w:rsidRPr="00F72875">
              <w:rPr>
                <w:rFonts w:cs="Arial"/>
                <w:sz w:val="20"/>
                <w:szCs w:val="20"/>
              </w:rPr>
              <w:t xml:space="preserve">). </w:t>
            </w:r>
            <w:r w:rsidR="006D1E94" w:rsidRPr="00F72875">
              <w:rPr>
                <w:rFonts w:cs="Arial"/>
                <w:i/>
                <w:iCs/>
                <w:sz w:val="20"/>
                <w:szCs w:val="20"/>
              </w:rPr>
              <w:t>H. breviceps</w:t>
            </w:r>
            <w:r w:rsidR="006D1E94" w:rsidRPr="00F72875">
              <w:rPr>
                <w:rFonts w:cs="Arial"/>
                <w:sz w:val="20"/>
                <w:szCs w:val="20"/>
              </w:rPr>
              <w:t xml:space="preserve"> was sighted in </w:t>
            </w:r>
            <w:r w:rsidR="00844AFD" w:rsidRPr="00F72875">
              <w:rPr>
                <w:rFonts w:cs="Arial"/>
                <w:sz w:val="20"/>
                <w:szCs w:val="20"/>
              </w:rPr>
              <w:t xml:space="preserve">only </w:t>
            </w:r>
            <w:r w:rsidR="006D1E94" w:rsidRPr="00F72875">
              <w:rPr>
                <w:rFonts w:cs="Arial"/>
                <w:sz w:val="20"/>
                <w:szCs w:val="20"/>
              </w:rPr>
              <w:t>1 o</w:t>
            </w:r>
            <w:r w:rsidR="00506887" w:rsidRPr="00F72875">
              <w:rPr>
                <w:rFonts w:cs="Arial"/>
                <w:sz w:val="20"/>
                <w:szCs w:val="20"/>
              </w:rPr>
              <w:t>f</w:t>
            </w:r>
            <w:r w:rsidR="006D1E94" w:rsidRPr="00F72875">
              <w:rPr>
                <w:rFonts w:cs="Arial"/>
                <w:sz w:val="20"/>
                <w:szCs w:val="20"/>
              </w:rPr>
              <w:t xml:space="preserve"> 12 surveyed locations (</w:t>
            </w:r>
            <w:r w:rsidR="00D43D5C" w:rsidRPr="00F72875">
              <w:rPr>
                <w:rFonts w:cs="Arial"/>
                <w:sz w:val="20"/>
                <w:szCs w:val="20"/>
              </w:rPr>
              <w:t>Yap et al., 2020</w:t>
            </w:r>
            <w:r w:rsidR="006D1E94" w:rsidRPr="00F72875">
              <w:rPr>
                <w:rFonts w:cs="Arial"/>
                <w:sz w:val="20"/>
                <w:szCs w:val="20"/>
              </w:rPr>
              <w:t>).</w:t>
            </w:r>
            <w:r w:rsidR="00C13F74" w:rsidRPr="00F72875">
              <w:rPr>
                <w:rFonts w:cs="Arial"/>
                <w:sz w:val="20"/>
                <w:szCs w:val="20"/>
              </w:rPr>
              <w:t xml:space="preserve"> </w:t>
            </w:r>
            <w:r w:rsidR="00C06059" w:rsidRPr="00F72875">
              <w:rPr>
                <w:rFonts w:cs="Arial"/>
                <w:sz w:val="20"/>
                <w:szCs w:val="20"/>
              </w:rPr>
              <w:t>In contrast, the Weedy Seadragon was found in less than 10</w:t>
            </w:r>
            <w:r w:rsidR="00844AFD">
              <w:rPr>
                <w:rFonts w:cs="Arial"/>
                <w:sz w:val="20"/>
                <w:szCs w:val="20"/>
              </w:rPr>
              <w:t xml:space="preserve"> per cent</w:t>
            </w:r>
            <w:r w:rsidR="00C06059" w:rsidRPr="00F72875">
              <w:rPr>
                <w:rFonts w:cs="Arial"/>
                <w:sz w:val="20"/>
                <w:szCs w:val="20"/>
              </w:rPr>
              <w:t xml:space="preserve"> of surveys </w:t>
            </w:r>
            <w:r w:rsidR="006F4C21" w:rsidRPr="00F72875">
              <w:rPr>
                <w:rFonts w:cs="Arial"/>
                <w:sz w:val="20"/>
                <w:szCs w:val="20"/>
              </w:rPr>
              <w:t xml:space="preserve">in and around Port Phillip Bay, </w:t>
            </w:r>
            <w:r w:rsidR="00060900" w:rsidRPr="00F72875">
              <w:rPr>
                <w:rFonts w:cs="Arial"/>
                <w:sz w:val="20"/>
                <w:szCs w:val="20"/>
              </w:rPr>
              <w:t xml:space="preserve">with a maximum of 20 specimens </w:t>
            </w:r>
            <w:r w:rsidR="00862DFC">
              <w:rPr>
                <w:rFonts w:cs="Arial"/>
                <w:sz w:val="20"/>
                <w:szCs w:val="20"/>
              </w:rPr>
              <w:t>in each sighted group</w:t>
            </w:r>
            <w:r w:rsidR="00D43D5C" w:rsidRPr="00F72875">
              <w:rPr>
                <w:rFonts w:cs="Arial"/>
                <w:sz w:val="20"/>
                <w:szCs w:val="20"/>
              </w:rPr>
              <w:t xml:space="preserve"> (Yap et al., 2020)</w:t>
            </w:r>
            <w:r w:rsidR="00060900" w:rsidRPr="00F72875">
              <w:rPr>
                <w:rFonts w:cs="Arial"/>
                <w:sz w:val="20"/>
                <w:szCs w:val="20"/>
              </w:rPr>
              <w:t>.</w:t>
            </w:r>
            <w:r w:rsidR="00E1762C" w:rsidRPr="00F72875">
              <w:rPr>
                <w:rFonts w:cs="Arial"/>
                <w:sz w:val="20"/>
                <w:szCs w:val="20"/>
              </w:rPr>
              <w:t xml:space="preserve"> </w:t>
            </w:r>
          </w:p>
          <w:p w14:paraId="22EE468F" w14:textId="77777777" w:rsidR="009E6E30" w:rsidRDefault="009E6E30" w:rsidP="00302DBE">
            <w:pPr>
              <w:spacing w:before="60" w:after="60" w:line="276" w:lineRule="auto"/>
              <w:contextualSpacing/>
              <w:rPr>
                <w:rFonts w:cs="Arial"/>
                <w:sz w:val="20"/>
                <w:szCs w:val="20"/>
              </w:rPr>
            </w:pPr>
          </w:p>
          <w:p w14:paraId="602A640F" w14:textId="469875E5" w:rsidR="00D24C62" w:rsidRPr="00302DBE" w:rsidRDefault="009E6E30" w:rsidP="00302DBE">
            <w:pPr>
              <w:spacing w:before="60" w:after="60" w:line="276" w:lineRule="auto"/>
              <w:contextualSpacing/>
              <w:rPr>
                <w:rFonts w:cs="Arial"/>
                <w:sz w:val="20"/>
                <w:szCs w:val="20"/>
              </w:rPr>
            </w:pPr>
            <w:r w:rsidRPr="009E6E30">
              <w:rPr>
                <w:rFonts w:cs="Arial"/>
                <w:bCs/>
                <w:sz w:val="20"/>
                <w:szCs w:val="20"/>
              </w:rPr>
              <w:t>The NDF conducted in 2015 determined that the CITES</w:t>
            </w:r>
            <w:r w:rsidR="00844AFD">
              <w:rPr>
                <w:rFonts w:cs="Arial"/>
                <w:bCs/>
                <w:sz w:val="20"/>
                <w:szCs w:val="20"/>
              </w:rPr>
              <w:t>-</w:t>
            </w:r>
            <w:r w:rsidRPr="009E6E30">
              <w:rPr>
                <w:rFonts w:cs="Arial"/>
                <w:bCs/>
                <w:sz w:val="20"/>
                <w:szCs w:val="20"/>
              </w:rPr>
              <w:t xml:space="preserve">listed species, including </w:t>
            </w:r>
            <w:r w:rsidRPr="009E6E30">
              <w:rPr>
                <w:rFonts w:cs="Arial"/>
                <w:bCs/>
                <w:i/>
                <w:iCs/>
                <w:sz w:val="20"/>
                <w:szCs w:val="20"/>
              </w:rPr>
              <w:t>Hippocampus breviceps</w:t>
            </w:r>
            <w:r w:rsidRPr="009E6E30">
              <w:rPr>
                <w:rFonts w:cs="Arial"/>
                <w:bCs/>
                <w:sz w:val="20"/>
                <w:szCs w:val="20"/>
              </w:rPr>
              <w:t xml:space="preserve"> and </w:t>
            </w:r>
            <w:r w:rsidR="00844AFD">
              <w:rPr>
                <w:rFonts w:cs="Arial"/>
                <w:bCs/>
                <w:sz w:val="20"/>
                <w:szCs w:val="20"/>
              </w:rPr>
              <w:br/>
            </w:r>
            <w:r w:rsidRPr="009E6E30">
              <w:rPr>
                <w:rFonts w:cs="Arial"/>
                <w:bCs/>
                <w:i/>
                <w:iCs/>
                <w:sz w:val="20"/>
                <w:szCs w:val="20"/>
              </w:rPr>
              <w:t>H. abdominalis</w:t>
            </w:r>
            <w:r w:rsidRPr="009E6E30">
              <w:rPr>
                <w:rFonts w:cs="Arial"/>
                <w:bCs/>
                <w:sz w:val="20"/>
                <w:szCs w:val="20"/>
              </w:rPr>
              <w:t xml:space="preserve">, could be wild harvested and retained as broodstock without detriment to the survival of Victorian populations. </w:t>
            </w:r>
            <w:r w:rsidR="00BC64DC" w:rsidRPr="00F72875">
              <w:rPr>
                <w:rFonts w:cs="Arial"/>
                <w:sz w:val="20"/>
                <w:szCs w:val="20"/>
              </w:rPr>
              <w:t xml:space="preserve">Given that the harvest scale of PQ Aquatics is </w:t>
            </w:r>
            <w:r w:rsidR="00ED4D5D" w:rsidRPr="00F72875">
              <w:rPr>
                <w:rFonts w:cs="Arial"/>
                <w:sz w:val="20"/>
                <w:szCs w:val="20"/>
              </w:rPr>
              <w:t>relatively low</w:t>
            </w:r>
            <w:r w:rsidR="00BC64DC" w:rsidRPr="00F72875">
              <w:rPr>
                <w:rFonts w:cs="Arial"/>
                <w:sz w:val="20"/>
                <w:szCs w:val="20"/>
              </w:rPr>
              <w:t xml:space="preserve">, </w:t>
            </w:r>
            <w:r w:rsidR="00FE6459" w:rsidRPr="00F72875">
              <w:rPr>
                <w:rFonts w:cs="Arial"/>
                <w:sz w:val="20"/>
                <w:szCs w:val="20"/>
              </w:rPr>
              <w:t>the target species are considered unlikely to be overharvested</w:t>
            </w:r>
            <w:r w:rsidR="00FE6459">
              <w:rPr>
                <w:rFonts w:cs="Arial"/>
                <w:sz w:val="20"/>
                <w:szCs w:val="20"/>
              </w:rPr>
              <w:t xml:space="preserve"> from Victorian coastal waters. </w:t>
            </w:r>
            <w:r w:rsidR="004F1527">
              <w:rPr>
                <w:rFonts w:cs="Arial"/>
                <w:sz w:val="20"/>
                <w:szCs w:val="20"/>
              </w:rPr>
              <w:t xml:space="preserve">The </w:t>
            </w:r>
            <w:r w:rsidR="000E6155">
              <w:rPr>
                <w:rFonts w:cs="Arial"/>
                <w:sz w:val="20"/>
                <w:szCs w:val="20"/>
              </w:rPr>
              <w:t xml:space="preserve">lack of population data has been </w:t>
            </w:r>
            <w:r w:rsidR="00F70202">
              <w:rPr>
                <w:rFonts w:cs="Arial"/>
                <w:sz w:val="20"/>
                <w:szCs w:val="20"/>
              </w:rPr>
              <w:t>appropriately factored into management responses</w:t>
            </w:r>
            <w:r w:rsidR="008F4607">
              <w:rPr>
                <w:rFonts w:cs="Arial"/>
                <w:sz w:val="20"/>
                <w:szCs w:val="20"/>
              </w:rPr>
              <w:t xml:space="preserve"> </w:t>
            </w:r>
            <w:r w:rsidR="000E6155">
              <w:rPr>
                <w:rFonts w:cs="Arial"/>
                <w:sz w:val="20"/>
                <w:szCs w:val="20"/>
              </w:rPr>
              <w:t xml:space="preserve">through </w:t>
            </w:r>
            <w:r w:rsidR="00A9368A">
              <w:rPr>
                <w:rFonts w:cs="Arial"/>
                <w:sz w:val="20"/>
                <w:szCs w:val="20"/>
              </w:rPr>
              <w:t xml:space="preserve">continued </w:t>
            </w:r>
            <w:r w:rsidR="002344FA">
              <w:rPr>
                <w:rFonts w:cs="Arial"/>
                <w:sz w:val="20"/>
                <w:szCs w:val="20"/>
              </w:rPr>
              <w:t xml:space="preserve">restrictions on </w:t>
            </w:r>
            <w:r w:rsidR="00526808">
              <w:rPr>
                <w:rFonts w:cs="Arial"/>
                <w:sz w:val="20"/>
                <w:szCs w:val="20"/>
              </w:rPr>
              <w:t xml:space="preserve">harvested </w:t>
            </w:r>
            <w:r w:rsidR="002344FA">
              <w:rPr>
                <w:rFonts w:cs="Arial"/>
                <w:sz w:val="20"/>
                <w:szCs w:val="20"/>
              </w:rPr>
              <w:t>species and numbers</w:t>
            </w:r>
            <w:r w:rsidR="005355F8">
              <w:rPr>
                <w:rFonts w:cs="Arial"/>
                <w:sz w:val="20"/>
                <w:szCs w:val="20"/>
              </w:rPr>
              <w:t>.</w:t>
            </w:r>
          </w:p>
        </w:tc>
      </w:tr>
      <w:tr w:rsidR="00885298" w:rsidRPr="00433FCA" w14:paraId="3F52708C" w14:textId="77777777" w:rsidTr="00074553">
        <w:trPr>
          <w:cantSplit/>
        </w:trPr>
        <w:tc>
          <w:tcPr>
            <w:tcW w:w="1500" w:type="pct"/>
            <w:shd w:val="clear" w:color="auto" w:fill="92D050"/>
          </w:tcPr>
          <w:p w14:paraId="5BFE2E19" w14:textId="77777777" w:rsidR="00885298" w:rsidRPr="00433FCA" w:rsidRDefault="00885298" w:rsidP="00FC2EBF">
            <w:pPr>
              <w:spacing w:before="60" w:after="60" w:line="276" w:lineRule="auto"/>
              <w:contextualSpacing/>
              <w:rPr>
                <w:rFonts w:cs="Arial"/>
                <w:sz w:val="20"/>
                <w:szCs w:val="20"/>
              </w:rPr>
            </w:pPr>
            <w:r w:rsidRPr="00433FCA">
              <w:rPr>
                <w:rFonts w:cs="Arial"/>
                <w:b/>
                <w:bCs/>
                <w:i/>
                <w:iCs/>
                <w:sz w:val="20"/>
                <w:szCs w:val="20"/>
              </w:rPr>
              <w:t xml:space="preserve">1.1.4 </w:t>
            </w:r>
            <w:r w:rsidRPr="00433FCA">
              <w:rPr>
                <w:rFonts w:cs="Arial"/>
                <w:sz w:val="20"/>
                <w:szCs w:val="20"/>
              </w:rPr>
              <w:t>There are reliable estimates of all removals, including commercial (landings and discards), recreational and indigenous, from the fished stock. These estimates have been factored into stock assessments a</w:t>
            </w:r>
            <w:r w:rsidR="006B6EF9" w:rsidRPr="00433FCA">
              <w:rPr>
                <w:rFonts w:cs="Arial"/>
                <w:sz w:val="20"/>
                <w:szCs w:val="20"/>
              </w:rPr>
              <w:t>nd target species catch levels.</w:t>
            </w:r>
          </w:p>
          <w:p w14:paraId="150B44F6" w14:textId="33DE543E" w:rsidR="004E6C95" w:rsidRPr="00433FCA" w:rsidRDefault="004E6C95" w:rsidP="00FC2EBF">
            <w:pPr>
              <w:spacing w:before="60" w:after="60" w:line="276" w:lineRule="auto"/>
              <w:contextualSpacing/>
              <w:rPr>
                <w:rFonts w:cs="Arial"/>
                <w:sz w:val="20"/>
                <w:szCs w:val="20"/>
              </w:rPr>
            </w:pPr>
          </w:p>
        </w:tc>
        <w:tc>
          <w:tcPr>
            <w:tcW w:w="3500" w:type="pct"/>
            <w:shd w:val="clear" w:color="auto" w:fill="auto"/>
          </w:tcPr>
          <w:p w14:paraId="130BD845" w14:textId="0BA5572B" w:rsidR="004E6C95" w:rsidRPr="00836F69" w:rsidRDefault="000D6E4F" w:rsidP="00FC2EBF">
            <w:pPr>
              <w:spacing w:before="60" w:after="60" w:line="276" w:lineRule="auto"/>
              <w:contextualSpacing/>
              <w:rPr>
                <w:rFonts w:cs="Arial"/>
                <w:b/>
                <w:bCs/>
                <w:sz w:val="20"/>
                <w:szCs w:val="20"/>
                <w:lang w:eastAsia="en-AU"/>
              </w:rPr>
            </w:pPr>
            <w:r w:rsidRPr="00836F69">
              <w:rPr>
                <w:rFonts w:cs="Arial"/>
                <w:b/>
                <w:bCs/>
                <w:sz w:val="20"/>
                <w:szCs w:val="20"/>
                <w:lang w:eastAsia="en-AU"/>
              </w:rPr>
              <w:t>Meets</w:t>
            </w:r>
          </w:p>
          <w:p w14:paraId="610DB515" w14:textId="65E8C3C3" w:rsidR="000D6E4F" w:rsidRDefault="000D6E4F" w:rsidP="00FC2EBF">
            <w:pPr>
              <w:spacing w:before="60" w:after="60" w:line="276" w:lineRule="auto"/>
              <w:contextualSpacing/>
              <w:rPr>
                <w:rFonts w:cs="Arial"/>
                <w:sz w:val="20"/>
                <w:szCs w:val="20"/>
                <w:lang w:eastAsia="en-AU"/>
              </w:rPr>
            </w:pPr>
          </w:p>
          <w:p w14:paraId="7C84FC06" w14:textId="7C4310A3" w:rsidR="00403312" w:rsidRPr="00426A65" w:rsidRDefault="00F617EC" w:rsidP="00426A65">
            <w:pPr>
              <w:spacing w:before="60" w:after="60" w:line="276" w:lineRule="auto"/>
              <w:contextualSpacing/>
              <w:rPr>
                <w:rFonts w:cs="Arial"/>
                <w:sz w:val="20"/>
                <w:szCs w:val="20"/>
                <w:lang w:eastAsia="en-AU"/>
              </w:rPr>
            </w:pPr>
            <w:r w:rsidRPr="00426A65">
              <w:rPr>
                <w:rFonts w:cs="Arial"/>
                <w:sz w:val="20"/>
                <w:szCs w:val="20"/>
                <w:lang w:eastAsia="en-AU"/>
              </w:rPr>
              <w:t xml:space="preserve">Syngnathid removal by PQ Aquatics can be reliably </w:t>
            </w:r>
            <w:r w:rsidR="00F52A7E" w:rsidRPr="00426A65">
              <w:rPr>
                <w:rFonts w:cs="Arial"/>
                <w:sz w:val="20"/>
                <w:szCs w:val="20"/>
                <w:lang w:eastAsia="en-AU"/>
              </w:rPr>
              <w:t>estimated</w:t>
            </w:r>
            <w:r w:rsidRPr="00426A65">
              <w:rPr>
                <w:rFonts w:cs="Arial"/>
                <w:sz w:val="20"/>
                <w:szCs w:val="20"/>
                <w:lang w:eastAsia="en-AU"/>
              </w:rPr>
              <w:t xml:space="preserve"> through the harvest quantities prescribed by the VFA. </w:t>
            </w:r>
            <w:r w:rsidR="000D4F5E" w:rsidRPr="00426A65">
              <w:rPr>
                <w:rFonts w:cs="Arial"/>
                <w:sz w:val="20"/>
                <w:szCs w:val="20"/>
                <w:lang w:eastAsia="en-AU"/>
              </w:rPr>
              <w:t xml:space="preserve">The Protected Aquatic Biota </w:t>
            </w:r>
            <w:r w:rsidR="00844AFD">
              <w:rPr>
                <w:rFonts w:cs="Arial"/>
                <w:sz w:val="20"/>
                <w:szCs w:val="20"/>
                <w:lang w:eastAsia="en-AU"/>
              </w:rPr>
              <w:t>P</w:t>
            </w:r>
            <w:r w:rsidR="000D4F5E" w:rsidRPr="00426A65">
              <w:rPr>
                <w:rFonts w:cs="Arial"/>
                <w:sz w:val="20"/>
                <w:szCs w:val="20"/>
                <w:lang w:eastAsia="en-AU"/>
              </w:rPr>
              <w:t xml:space="preserve">ermit authorises a maximum of 4 specimens </w:t>
            </w:r>
            <w:r w:rsidR="00717D5E">
              <w:rPr>
                <w:rFonts w:cs="Arial"/>
                <w:sz w:val="20"/>
                <w:szCs w:val="20"/>
                <w:lang w:eastAsia="en-AU"/>
              </w:rPr>
              <w:t>of</w:t>
            </w:r>
            <w:r w:rsidR="000D4F5E" w:rsidRPr="00426A65">
              <w:rPr>
                <w:rFonts w:cs="Arial"/>
                <w:sz w:val="20"/>
                <w:szCs w:val="20"/>
                <w:lang w:eastAsia="en-AU"/>
              </w:rPr>
              <w:t xml:space="preserve"> each syngnathid species to be </w:t>
            </w:r>
            <w:r w:rsidR="00280276" w:rsidRPr="00426A65">
              <w:rPr>
                <w:rFonts w:cs="Arial"/>
                <w:sz w:val="20"/>
                <w:szCs w:val="20"/>
                <w:lang w:eastAsia="en-AU"/>
              </w:rPr>
              <w:t xml:space="preserve">harvested on an annual basis. </w:t>
            </w:r>
            <w:r w:rsidR="00012087" w:rsidRPr="00426A65">
              <w:rPr>
                <w:rFonts w:cs="Arial"/>
                <w:sz w:val="20"/>
                <w:szCs w:val="20"/>
                <w:lang w:eastAsia="en-AU"/>
              </w:rPr>
              <w:t xml:space="preserve">Syngnathid removal </w:t>
            </w:r>
            <w:r w:rsidR="0061306F" w:rsidRPr="00426A65">
              <w:rPr>
                <w:rFonts w:cs="Arial"/>
                <w:sz w:val="20"/>
                <w:szCs w:val="20"/>
                <w:lang w:eastAsia="en-AU"/>
              </w:rPr>
              <w:t>in state waters by other operations must</w:t>
            </w:r>
            <w:r w:rsidR="00426A65" w:rsidRPr="00426A65">
              <w:rPr>
                <w:rFonts w:cs="Arial"/>
                <w:sz w:val="20"/>
                <w:szCs w:val="20"/>
                <w:lang w:eastAsia="en-AU"/>
              </w:rPr>
              <w:t xml:space="preserve"> also</w:t>
            </w:r>
            <w:r w:rsidR="0061306F" w:rsidRPr="00426A65">
              <w:rPr>
                <w:rFonts w:cs="Arial"/>
                <w:sz w:val="20"/>
                <w:szCs w:val="20"/>
                <w:lang w:eastAsia="en-AU"/>
              </w:rPr>
              <w:t xml:space="preserve"> </w:t>
            </w:r>
            <w:r w:rsidR="001F4867" w:rsidRPr="00426A65">
              <w:rPr>
                <w:rFonts w:cs="Arial"/>
                <w:sz w:val="20"/>
                <w:szCs w:val="20"/>
                <w:lang w:eastAsia="en-AU"/>
              </w:rPr>
              <w:t>occur in accordance with a VFA permit</w:t>
            </w:r>
            <w:r w:rsidR="00403312" w:rsidRPr="00426A65">
              <w:rPr>
                <w:rFonts w:cs="Arial"/>
                <w:sz w:val="20"/>
                <w:szCs w:val="20"/>
                <w:lang w:eastAsia="en-AU"/>
              </w:rPr>
              <w:t>.</w:t>
            </w:r>
            <w:r w:rsidR="00426A65">
              <w:rPr>
                <w:rFonts w:cs="Arial"/>
                <w:sz w:val="20"/>
                <w:szCs w:val="20"/>
                <w:lang w:eastAsia="en-AU"/>
              </w:rPr>
              <w:t xml:space="preserve"> </w:t>
            </w:r>
            <w:r w:rsidR="00280276" w:rsidRPr="00426A65">
              <w:rPr>
                <w:rFonts w:cs="Arial"/>
                <w:sz w:val="20"/>
                <w:szCs w:val="20"/>
                <w:lang w:eastAsia="en-AU"/>
              </w:rPr>
              <w:t>Given that the harvest</w:t>
            </w:r>
            <w:r w:rsidR="00ED4D5D" w:rsidRPr="00426A65">
              <w:rPr>
                <w:rFonts w:cs="Arial"/>
                <w:sz w:val="20"/>
                <w:szCs w:val="20"/>
                <w:lang w:eastAsia="en-AU"/>
              </w:rPr>
              <w:t xml:space="preserve"> scale of PQ Aquatics is relatively low, the target species are considered unlikely to be overharvested from Victorian coastal waters.</w:t>
            </w:r>
          </w:p>
          <w:p w14:paraId="7647E613" w14:textId="4602AF49" w:rsidR="00885298" w:rsidRPr="00433FCA" w:rsidRDefault="00885298" w:rsidP="00FC2EBF">
            <w:pPr>
              <w:spacing w:before="60" w:after="60" w:line="276" w:lineRule="auto"/>
              <w:contextualSpacing/>
              <w:rPr>
                <w:rFonts w:cs="Arial"/>
                <w:sz w:val="20"/>
                <w:szCs w:val="20"/>
                <w:lang w:eastAsia="en-AU"/>
              </w:rPr>
            </w:pPr>
          </w:p>
        </w:tc>
      </w:tr>
      <w:tr w:rsidR="00885298" w:rsidRPr="00433FCA" w14:paraId="4048E040" w14:textId="77777777" w:rsidTr="00074553">
        <w:trPr>
          <w:cantSplit/>
        </w:trPr>
        <w:tc>
          <w:tcPr>
            <w:tcW w:w="1500" w:type="pct"/>
            <w:shd w:val="clear" w:color="auto" w:fill="92D050"/>
          </w:tcPr>
          <w:p w14:paraId="413B5EF5" w14:textId="77777777" w:rsidR="00885298" w:rsidRPr="00433FCA" w:rsidRDefault="00885298" w:rsidP="00FC2EBF">
            <w:pPr>
              <w:spacing w:before="60" w:after="60" w:line="276" w:lineRule="auto"/>
              <w:contextualSpacing/>
              <w:rPr>
                <w:rFonts w:cs="Arial"/>
                <w:sz w:val="20"/>
                <w:szCs w:val="20"/>
              </w:rPr>
            </w:pPr>
            <w:r w:rsidRPr="00433FCA">
              <w:rPr>
                <w:rFonts w:cs="Arial"/>
                <w:b/>
                <w:bCs/>
                <w:i/>
                <w:iCs/>
                <w:sz w:val="20"/>
                <w:szCs w:val="20"/>
              </w:rPr>
              <w:t xml:space="preserve">1.1.5 </w:t>
            </w:r>
            <w:r w:rsidRPr="00433FCA">
              <w:rPr>
                <w:rFonts w:cs="Arial"/>
                <w:sz w:val="20"/>
                <w:szCs w:val="20"/>
              </w:rPr>
              <w:t>There is a sound estimate of the potential productivity of the fished stock/s and the prop</w:t>
            </w:r>
            <w:r w:rsidR="006B6EF9" w:rsidRPr="00433FCA">
              <w:rPr>
                <w:rFonts w:cs="Arial"/>
                <w:sz w:val="20"/>
                <w:szCs w:val="20"/>
              </w:rPr>
              <w:t>ortion that could be harvested.</w:t>
            </w:r>
          </w:p>
          <w:p w14:paraId="1E766E2B" w14:textId="5EB12E47" w:rsidR="004E6C95" w:rsidRPr="00433FCA" w:rsidRDefault="004E6C95" w:rsidP="00FC2EBF">
            <w:pPr>
              <w:spacing w:before="60" w:after="60" w:line="276" w:lineRule="auto"/>
              <w:contextualSpacing/>
              <w:rPr>
                <w:rFonts w:cs="Arial"/>
                <w:sz w:val="20"/>
                <w:szCs w:val="20"/>
              </w:rPr>
            </w:pPr>
          </w:p>
        </w:tc>
        <w:tc>
          <w:tcPr>
            <w:tcW w:w="3500" w:type="pct"/>
            <w:shd w:val="clear" w:color="auto" w:fill="auto"/>
          </w:tcPr>
          <w:p w14:paraId="3B224B2E" w14:textId="50A925E3" w:rsidR="005F5153" w:rsidRDefault="005F5153" w:rsidP="00FC2EBF">
            <w:pPr>
              <w:spacing w:before="60" w:after="60" w:line="276" w:lineRule="auto"/>
              <w:contextualSpacing/>
              <w:rPr>
                <w:rFonts w:cs="Arial"/>
                <w:b/>
                <w:bCs/>
                <w:sz w:val="20"/>
                <w:szCs w:val="20"/>
              </w:rPr>
            </w:pPr>
            <w:r>
              <w:rPr>
                <w:rFonts w:cs="Arial"/>
                <w:b/>
                <w:bCs/>
                <w:sz w:val="20"/>
                <w:szCs w:val="20"/>
              </w:rPr>
              <w:t>Meets</w:t>
            </w:r>
          </w:p>
          <w:p w14:paraId="041F5933" w14:textId="41ADA3F0" w:rsidR="005F5153" w:rsidRDefault="005F5153" w:rsidP="00FC2EBF">
            <w:pPr>
              <w:spacing w:before="60" w:after="60" w:line="276" w:lineRule="auto"/>
              <w:contextualSpacing/>
              <w:rPr>
                <w:rFonts w:cs="Arial"/>
                <w:b/>
                <w:bCs/>
                <w:sz w:val="20"/>
                <w:szCs w:val="20"/>
              </w:rPr>
            </w:pPr>
          </w:p>
          <w:p w14:paraId="7ED297B2" w14:textId="544A77CC" w:rsidR="00C74B33" w:rsidRDefault="00332736" w:rsidP="00FC2EBF">
            <w:pPr>
              <w:spacing w:before="60" w:after="60" w:line="276" w:lineRule="auto"/>
              <w:contextualSpacing/>
              <w:rPr>
                <w:rFonts w:cs="Arial"/>
                <w:sz w:val="20"/>
                <w:szCs w:val="20"/>
              </w:rPr>
            </w:pPr>
            <w:r>
              <w:rPr>
                <w:rFonts w:cs="Arial"/>
                <w:sz w:val="20"/>
                <w:szCs w:val="20"/>
              </w:rPr>
              <w:t>A stock assessment has not been undertaken for this operation.</w:t>
            </w:r>
            <w:r w:rsidR="00F67C7C">
              <w:rPr>
                <w:rFonts w:cs="Arial"/>
                <w:sz w:val="20"/>
                <w:szCs w:val="20"/>
              </w:rPr>
              <w:t xml:space="preserve"> </w:t>
            </w:r>
            <w:r w:rsidR="00564E86">
              <w:rPr>
                <w:rFonts w:cs="Arial"/>
                <w:sz w:val="20"/>
                <w:szCs w:val="20"/>
              </w:rPr>
              <w:t xml:space="preserve">A sound estimate of productivity is available </w:t>
            </w:r>
            <w:r w:rsidR="007139F8">
              <w:rPr>
                <w:rFonts w:cs="Arial"/>
                <w:sz w:val="20"/>
                <w:szCs w:val="20"/>
              </w:rPr>
              <w:t>for the CITES</w:t>
            </w:r>
            <w:r w:rsidR="00844AFD">
              <w:rPr>
                <w:rFonts w:cs="Arial"/>
                <w:sz w:val="20"/>
                <w:szCs w:val="20"/>
              </w:rPr>
              <w:t>-</w:t>
            </w:r>
            <w:r w:rsidR="007139F8">
              <w:rPr>
                <w:rFonts w:cs="Arial"/>
                <w:sz w:val="20"/>
                <w:szCs w:val="20"/>
              </w:rPr>
              <w:t xml:space="preserve">listed </w:t>
            </w:r>
            <w:r w:rsidR="007139F8" w:rsidRPr="007139F8">
              <w:rPr>
                <w:rFonts w:cs="Arial"/>
                <w:i/>
                <w:iCs/>
                <w:sz w:val="20"/>
                <w:szCs w:val="20"/>
              </w:rPr>
              <w:t>Hippocampus</w:t>
            </w:r>
            <w:r w:rsidR="007139F8">
              <w:rPr>
                <w:rFonts w:cs="Arial"/>
                <w:sz w:val="20"/>
                <w:szCs w:val="20"/>
              </w:rPr>
              <w:t xml:space="preserve"> species. </w:t>
            </w:r>
            <w:r w:rsidR="00A5791D" w:rsidRPr="00FE5220">
              <w:rPr>
                <w:rFonts w:cs="Arial"/>
                <w:i/>
                <w:iCs/>
                <w:sz w:val="20"/>
                <w:szCs w:val="20"/>
              </w:rPr>
              <w:t>H. abdominalis</w:t>
            </w:r>
            <w:r w:rsidR="00A5791D">
              <w:rPr>
                <w:rFonts w:cs="Arial"/>
                <w:sz w:val="20"/>
                <w:szCs w:val="20"/>
              </w:rPr>
              <w:t xml:space="preserve"> is a highly fecund species which produces several hundred offspring per breeding pair</w:t>
            </w:r>
            <w:r w:rsidR="00D2019F">
              <w:rPr>
                <w:rFonts w:cs="Arial"/>
                <w:sz w:val="20"/>
                <w:szCs w:val="20"/>
              </w:rPr>
              <w:t xml:space="preserve"> (Department of the Environment, 2015)</w:t>
            </w:r>
            <w:r w:rsidR="0015174D">
              <w:rPr>
                <w:rFonts w:cs="Arial"/>
                <w:sz w:val="20"/>
                <w:szCs w:val="20"/>
              </w:rPr>
              <w:t xml:space="preserve">. </w:t>
            </w:r>
            <w:r w:rsidR="002A3B35" w:rsidRPr="00FE5220">
              <w:rPr>
                <w:rFonts w:cs="Arial"/>
                <w:i/>
                <w:iCs/>
                <w:sz w:val="20"/>
                <w:szCs w:val="20"/>
              </w:rPr>
              <w:t>H. breviceps</w:t>
            </w:r>
            <w:r w:rsidR="008021C0">
              <w:rPr>
                <w:rFonts w:cs="Arial"/>
                <w:sz w:val="20"/>
                <w:szCs w:val="20"/>
              </w:rPr>
              <w:t xml:space="preserve"> </w:t>
            </w:r>
            <w:r w:rsidR="0015174D">
              <w:rPr>
                <w:rFonts w:cs="Arial"/>
                <w:sz w:val="20"/>
                <w:szCs w:val="20"/>
              </w:rPr>
              <w:t>will commonly breed during summer, whe</w:t>
            </w:r>
            <w:r w:rsidR="00844AFD">
              <w:rPr>
                <w:rFonts w:cs="Arial"/>
                <w:sz w:val="20"/>
                <w:szCs w:val="20"/>
              </w:rPr>
              <w:t>n</w:t>
            </w:r>
            <w:r w:rsidR="0015174D">
              <w:rPr>
                <w:rFonts w:cs="Arial"/>
                <w:sz w:val="20"/>
                <w:szCs w:val="20"/>
              </w:rPr>
              <w:t xml:space="preserve"> up </w:t>
            </w:r>
            <w:r w:rsidR="006B0460">
              <w:rPr>
                <w:rFonts w:cs="Arial"/>
                <w:sz w:val="20"/>
                <w:szCs w:val="20"/>
              </w:rPr>
              <w:t>to 300 offspring</w:t>
            </w:r>
            <w:r w:rsidR="00FE5220">
              <w:rPr>
                <w:rFonts w:cs="Arial"/>
                <w:sz w:val="20"/>
                <w:szCs w:val="20"/>
              </w:rPr>
              <w:t xml:space="preserve"> </w:t>
            </w:r>
            <w:r w:rsidR="000D302D">
              <w:rPr>
                <w:rFonts w:cs="Arial"/>
                <w:sz w:val="20"/>
                <w:szCs w:val="20"/>
              </w:rPr>
              <w:t>can be</w:t>
            </w:r>
            <w:r w:rsidR="00FE5220">
              <w:rPr>
                <w:rFonts w:cs="Arial"/>
                <w:sz w:val="20"/>
                <w:szCs w:val="20"/>
              </w:rPr>
              <w:t xml:space="preserve"> produced by a single breeding pair</w:t>
            </w:r>
            <w:r w:rsidR="00D2019F">
              <w:rPr>
                <w:rFonts w:cs="Arial"/>
                <w:sz w:val="20"/>
                <w:szCs w:val="20"/>
              </w:rPr>
              <w:t xml:space="preserve"> (Department of the Environment, 2015)</w:t>
            </w:r>
            <w:r w:rsidR="00FE5220">
              <w:rPr>
                <w:rFonts w:cs="Arial"/>
                <w:sz w:val="20"/>
                <w:szCs w:val="20"/>
              </w:rPr>
              <w:t>.</w:t>
            </w:r>
            <w:r w:rsidR="00FE5220" w:rsidRPr="00FE5220">
              <w:rPr>
                <w:rFonts w:cs="Arial"/>
                <w:sz w:val="20"/>
                <w:szCs w:val="20"/>
              </w:rPr>
              <w:t xml:space="preserve"> Given that the harvest scale is relatively low, the target species are considered unlikely to be overharvested in Victorian coastal waters.</w:t>
            </w:r>
          </w:p>
          <w:p w14:paraId="18AD0295" w14:textId="7FB5DC55" w:rsidR="00885298" w:rsidRPr="00F448AB" w:rsidRDefault="00885298" w:rsidP="00F448AB">
            <w:pPr>
              <w:spacing w:before="60" w:after="60" w:line="276" w:lineRule="auto"/>
              <w:contextualSpacing/>
              <w:rPr>
                <w:rFonts w:cs="Arial"/>
                <w:sz w:val="20"/>
                <w:szCs w:val="20"/>
              </w:rPr>
            </w:pPr>
          </w:p>
        </w:tc>
      </w:tr>
      <w:tr w:rsidR="00867590" w:rsidRPr="00433FCA" w14:paraId="56D2C7E4" w14:textId="77777777" w:rsidTr="002F0C8B">
        <w:trPr>
          <w:cantSplit/>
        </w:trPr>
        <w:tc>
          <w:tcPr>
            <w:tcW w:w="5000" w:type="pct"/>
            <w:gridSpan w:val="2"/>
            <w:shd w:val="clear" w:color="auto" w:fill="DAEEF3"/>
          </w:tcPr>
          <w:p w14:paraId="7D91A0CD" w14:textId="77777777" w:rsidR="00867590" w:rsidRPr="00433FCA" w:rsidRDefault="00867590" w:rsidP="00FC2EBF">
            <w:pPr>
              <w:spacing w:before="60" w:after="60" w:line="276" w:lineRule="auto"/>
              <w:contextualSpacing/>
              <w:rPr>
                <w:rFonts w:cs="Arial"/>
                <w:b/>
                <w:bCs/>
                <w:i/>
                <w:iCs/>
                <w:sz w:val="20"/>
                <w:szCs w:val="20"/>
              </w:rPr>
            </w:pPr>
            <w:r w:rsidRPr="00433FCA">
              <w:rPr>
                <w:rFonts w:cs="Arial"/>
                <w:b/>
                <w:bCs/>
                <w:i/>
                <w:iCs/>
                <w:sz w:val="20"/>
                <w:szCs w:val="20"/>
              </w:rPr>
              <w:t xml:space="preserve">Management responses </w:t>
            </w:r>
          </w:p>
        </w:tc>
      </w:tr>
      <w:tr w:rsidR="00867590" w:rsidRPr="00433FCA" w14:paraId="51F6B96C" w14:textId="77777777" w:rsidTr="00074553">
        <w:trPr>
          <w:cantSplit/>
        </w:trPr>
        <w:tc>
          <w:tcPr>
            <w:tcW w:w="1500" w:type="pct"/>
            <w:shd w:val="clear" w:color="auto" w:fill="FFC000"/>
          </w:tcPr>
          <w:p w14:paraId="1DB6A9BC" w14:textId="77777777" w:rsidR="00867590" w:rsidRPr="00433FCA" w:rsidRDefault="00867590" w:rsidP="00FC2EBF">
            <w:pPr>
              <w:spacing w:before="60" w:after="60" w:line="276" w:lineRule="auto"/>
              <w:contextualSpacing/>
              <w:rPr>
                <w:rFonts w:cs="Arial"/>
                <w:sz w:val="20"/>
                <w:szCs w:val="20"/>
              </w:rPr>
            </w:pPr>
            <w:r w:rsidRPr="00433FCA">
              <w:rPr>
                <w:rFonts w:cs="Arial"/>
                <w:b/>
                <w:bCs/>
                <w:i/>
                <w:iCs/>
                <w:sz w:val="20"/>
                <w:szCs w:val="20"/>
              </w:rPr>
              <w:t xml:space="preserve">1.1.6 </w:t>
            </w:r>
            <w:r w:rsidRPr="00433FCA">
              <w:rPr>
                <w:rFonts w:cs="Arial"/>
                <w:sz w:val="20"/>
                <w:szCs w:val="20"/>
              </w:rPr>
              <w:t>There are reference points (target and/or limit), that trigger management actions including a biological bottom line and/or a catch or effort upper limit beyond which the stock should not be</w:t>
            </w:r>
            <w:r w:rsidR="006B6EF9" w:rsidRPr="00433FCA">
              <w:rPr>
                <w:rFonts w:cs="Arial"/>
                <w:sz w:val="20"/>
                <w:szCs w:val="20"/>
              </w:rPr>
              <w:t xml:space="preserve"> taken.</w:t>
            </w:r>
          </w:p>
          <w:p w14:paraId="37D19E12" w14:textId="5DA7B9DC" w:rsidR="004E6C95" w:rsidRPr="00433FCA" w:rsidRDefault="004E6C95" w:rsidP="00FC2EBF">
            <w:pPr>
              <w:spacing w:before="60" w:after="60" w:line="276" w:lineRule="auto"/>
              <w:contextualSpacing/>
              <w:rPr>
                <w:rFonts w:cs="Arial"/>
                <w:sz w:val="20"/>
                <w:szCs w:val="20"/>
              </w:rPr>
            </w:pPr>
          </w:p>
        </w:tc>
        <w:tc>
          <w:tcPr>
            <w:tcW w:w="3500" w:type="pct"/>
            <w:shd w:val="clear" w:color="auto" w:fill="auto"/>
          </w:tcPr>
          <w:p w14:paraId="4A005E90" w14:textId="03E4DEF9" w:rsidR="00F5515B" w:rsidRPr="005E32E0" w:rsidRDefault="00F52A7E" w:rsidP="00FC2EBF">
            <w:pPr>
              <w:spacing w:before="60" w:after="60" w:line="276" w:lineRule="auto"/>
              <w:contextualSpacing/>
              <w:rPr>
                <w:rFonts w:cs="Arial"/>
                <w:b/>
                <w:sz w:val="20"/>
                <w:szCs w:val="20"/>
              </w:rPr>
            </w:pPr>
            <w:r w:rsidRPr="005E32E0">
              <w:rPr>
                <w:rFonts w:cs="Arial"/>
                <w:b/>
                <w:sz w:val="20"/>
                <w:szCs w:val="20"/>
              </w:rPr>
              <w:t>Partially</w:t>
            </w:r>
            <w:r w:rsidR="00F5515B" w:rsidRPr="005E32E0">
              <w:rPr>
                <w:rFonts w:cs="Arial"/>
                <w:b/>
                <w:sz w:val="20"/>
                <w:szCs w:val="20"/>
              </w:rPr>
              <w:t xml:space="preserve"> Meets</w:t>
            </w:r>
          </w:p>
          <w:p w14:paraId="3F1FFA21" w14:textId="48CB96A2" w:rsidR="00F5515B" w:rsidRDefault="00F5515B" w:rsidP="00FC2EBF">
            <w:pPr>
              <w:spacing w:before="60" w:after="60" w:line="276" w:lineRule="auto"/>
              <w:contextualSpacing/>
              <w:rPr>
                <w:rFonts w:cs="Arial"/>
                <w:bCs/>
                <w:sz w:val="20"/>
                <w:szCs w:val="20"/>
              </w:rPr>
            </w:pPr>
          </w:p>
          <w:p w14:paraId="0B81BEAE" w14:textId="5BF79667" w:rsidR="00C74B33" w:rsidRPr="005D3536" w:rsidRDefault="00080980" w:rsidP="00FC2EBF">
            <w:pPr>
              <w:spacing w:before="60" w:after="60" w:line="276" w:lineRule="auto"/>
              <w:contextualSpacing/>
              <w:rPr>
                <w:rFonts w:cs="Arial"/>
                <w:bCs/>
                <w:sz w:val="20"/>
                <w:szCs w:val="20"/>
              </w:rPr>
            </w:pPr>
            <w:r>
              <w:rPr>
                <w:rFonts w:cs="Arial"/>
                <w:bCs/>
                <w:sz w:val="20"/>
                <w:szCs w:val="20"/>
              </w:rPr>
              <w:t>The VFA permit prescribes a maximum</w:t>
            </w:r>
            <w:r w:rsidR="00484C72">
              <w:rPr>
                <w:rFonts w:cs="Arial"/>
                <w:bCs/>
                <w:sz w:val="20"/>
                <w:szCs w:val="20"/>
              </w:rPr>
              <w:t xml:space="preserve"> level of harvest for each </w:t>
            </w:r>
            <w:r w:rsidR="00B065CC">
              <w:rPr>
                <w:rFonts w:cs="Arial"/>
                <w:bCs/>
                <w:sz w:val="20"/>
                <w:szCs w:val="20"/>
              </w:rPr>
              <w:t>s</w:t>
            </w:r>
            <w:r w:rsidR="00FB6175">
              <w:rPr>
                <w:rFonts w:cs="Arial"/>
                <w:bCs/>
                <w:sz w:val="20"/>
                <w:szCs w:val="20"/>
              </w:rPr>
              <w:t xml:space="preserve">yngnathid species. </w:t>
            </w:r>
            <w:r w:rsidR="00AB6D38">
              <w:rPr>
                <w:rFonts w:cs="Arial"/>
                <w:bCs/>
                <w:sz w:val="20"/>
                <w:szCs w:val="20"/>
              </w:rPr>
              <w:t>Up to</w:t>
            </w:r>
            <w:r w:rsidR="00FB6175">
              <w:rPr>
                <w:rFonts w:cs="Arial"/>
                <w:bCs/>
                <w:sz w:val="20"/>
                <w:szCs w:val="20"/>
              </w:rPr>
              <w:t xml:space="preserve"> four specimens</w:t>
            </w:r>
            <w:r w:rsidR="00714D79">
              <w:rPr>
                <w:rFonts w:cs="Arial"/>
                <w:bCs/>
                <w:sz w:val="20"/>
                <w:szCs w:val="20"/>
              </w:rPr>
              <w:t xml:space="preserve"> belonging to each species can be taken annually</w:t>
            </w:r>
            <w:r w:rsidR="00AB6D38">
              <w:rPr>
                <w:rFonts w:cs="Arial"/>
                <w:bCs/>
                <w:sz w:val="20"/>
                <w:szCs w:val="20"/>
              </w:rPr>
              <w:t xml:space="preserve"> from Victorian coastal waters</w:t>
            </w:r>
            <w:r w:rsidR="00714D79">
              <w:rPr>
                <w:rFonts w:cs="Arial"/>
                <w:bCs/>
                <w:sz w:val="20"/>
                <w:szCs w:val="20"/>
              </w:rPr>
              <w:t xml:space="preserve">. </w:t>
            </w:r>
            <w:r w:rsidR="00B11A30">
              <w:rPr>
                <w:rFonts w:cs="Arial"/>
                <w:bCs/>
                <w:sz w:val="20"/>
                <w:szCs w:val="20"/>
              </w:rPr>
              <w:t>T</w:t>
            </w:r>
            <w:r w:rsidR="00714D79">
              <w:rPr>
                <w:rFonts w:cs="Arial"/>
                <w:bCs/>
                <w:sz w:val="20"/>
                <w:szCs w:val="20"/>
              </w:rPr>
              <w:t xml:space="preserve">he VFA permit </w:t>
            </w:r>
            <w:r w:rsidR="00B11A30">
              <w:rPr>
                <w:rFonts w:cs="Arial"/>
                <w:bCs/>
                <w:sz w:val="20"/>
                <w:szCs w:val="20"/>
              </w:rPr>
              <w:t>has further limits on the take of Weedy Seadragon</w:t>
            </w:r>
            <w:r w:rsidR="008E558F">
              <w:rPr>
                <w:rFonts w:cs="Arial"/>
                <w:bCs/>
                <w:sz w:val="20"/>
                <w:szCs w:val="20"/>
              </w:rPr>
              <w:t>s</w:t>
            </w:r>
            <w:r w:rsidR="00B11A30">
              <w:rPr>
                <w:rFonts w:cs="Arial"/>
                <w:bCs/>
                <w:sz w:val="20"/>
                <w:szCs w:val="20"/>
              </w:rPr>
              <w:t xml:space="preserve">, </w:t>
            </w:r>
            <w:r w:rsidR="005A473A">
              <w:rPr>
                <w:rFonts w:cs="Arial"/>
                <w:bCs/>
                <w:sz w:val="20"/>
                <w:szCs w:val="20"/>
              </w:rPr>
              <w:t>where</w:t>
            </w:r>
            <w:r w:rsidR="00AB6D38">
              <w:rPr>
                <w:rFonts w:cs="Arial"/>
                <w:bCs/>
                <w:sz w:val="20"/>
                <w:szCs w:val="20"/>
              </w:rPr>
              <w:t xml:space="preserve"> only one specimen can be harvested during any </w:t>
            </w:r>
            <w:r w:rsidR="00237BD1">
              <w:rPr>
                <w:rFonts w:cs="Arial"/>
                <w:bCs/>
                <w:sz w:val="20"/>
                <w:szCs w:val="20"/>
              </w:rPr>
              <w:t>48 hour period</w:t>
            </w:r>
            <w:r w:rsidR="008E558F">
              <w:rPr>
                <w:rFonts w:cs="Arial"/>
                <w:bCs/>
                <w:sz w:val="20"/>
                <w:szCs w:val="20"/>
              </w:rPr>
              <w:t xml:space="preserve"> and wild harvest can occur </w:t>
            </w:r>
            <w:r w:rsidR="00844AFD">
              <w:rPr>
                <w:rFonts w:cs="Arial"/>
                <w:bCs/>
                <w:sz w:val="20"/>
                <w:szCs w:val="20"/>
              </w:rPr>
              <w:t xml:space="preserve">only </w:t>
            </w:r>
            <w:r w:rsidR="008E558F">
              <w:rPr>
                <w:rFonts w:cs="Arial"/>
                <w:bCs/>
                <w:sz w:val="20"/>
                <w:szCs w:val="20"/>
              </w:rPr>
              <w:t xml:space="preserve">during the summer months of November, December and January. </w:t>
            </w:r>
            <w:r w:rsidR="006A3682">
              <w:rPr>
                <w:rFonts w:cs="Arial"/>
                <w:bCs/>
                <w:sz w:val="20"/>
                <w:szCs w:val="20"/>
              </w:rPr>
              <w:t>While these management</w:t>
            </w:r>
            <w:r w:rsidR="00BD5154">
              <w:rPr>
                <w:rFonts w:cs="Arial"/>
                <w:bCs/>
                <w:sz w:val="20"/>
                <w:szCs w:val="20"/>
              </w:rPr>
              <w:t xml:space="preserve"> measures </w:t>
            </w:r>
            <w:r w:rsidR="001028B8">
              <w:rPr>
                <w:rFonts w:cs="Arial"/>
                <w:bCs/>
                <w:sz w:val="20"/>
                <w:szCs w:val="20"/>
              </w:rPr>
              <w:t>maintain</w:t>
            </w:r>
            <w:r w:rsidR="00BD5154">
              <w:rPr>
                <w:rFonts w:cs="Arial"/>
                <w:bCs/>
                <w:sz w:val="20"/>
                <w:szCs w:val="20"/>
              </w:rPr>
              <w:t xml:space="preserve"> </w:t>
            </w:r>
            <w:r w:rsidR="004026D3">
              <w:rPr>
                <w:rFonts w:cs="Arial"/>
                <w:bCs/>
                <w:sz w:val="20"/>
                <w:szCs w:val="20"/>
              </w:rPr>
              <w:t>s</w:t>
            </w:r>
            <w:r w:rsidR="008474B4">
              <w:rPr>
                <w:rFonts w:cs="Arial"/>
                <w:bCs/>
                <w:sz w:val="20"/>
                <w:szCs w:val="20"/>
              </w:rPr>
              <w:t>y</w:t>
            </w:r>
            <w:r w:rsidR="004026D3">
              <w:rPr>
                <w:rFonts w:cs="Arial"/>
                <w:bCs/>
                <w:sz w:val="20"/>
                <w:szCs w:val="20"/>
              </w:rPr>
              <w:t>n</w:t>
            </w:r>
            <w:r w:rsidR="008474B4">
              <w:rPr>
                <w:rFonts w:cs="Arial"/>
                <w:bCs/>
                <w:sz w:val="20"/>
                <w:szCs w:val="20"/>
              </w:rPr>
              <w:t xml:space="preserve">gnathid </w:t>
            </w:r>
            <w:r w:rsidR="00BD5154">
              <w:rPr>
                <w:rFonts w:cs="Arial"/>
                <w:bCs/>
                <w:sz w:val="20"/>
                <w:szCs w:val="20"/>
              </w:rPr>
              <w:t xml:space="preserve">harvest </w:t>
            </w:r>
            <w:r w:rsidR="001028B8">
              <w:rPr>
                <w:rFonts w:cs="Arial"/>
                <w:bCs/>
                <w:sz w:val="20"/>
                <w:szCs w:val="20"/>
              </w:rPr>
              <w:t>at</w:t>
            </w:r>
            <w:r w:rsidR="00BD5154">
              <w:rPr>
                <w:rFonts w:cs="Arial"/>
                <w:bCs/>
                <w:sz w:val="20"/>
                <w:szCs w:val="20"/>
              </w:rPr>
              <w:t xml:space="preserve"> a sustainable level</w:t>
            </w:r>
            <w:r w:rsidR="00127A9E">
              <w:rPr>
                <w:rFonts w:cs="Arial"/>
                <w:bCs/>
                <w:sz w:val="20"/>
                <w:szCs w:val="20"/>
              </w:rPr>
              <w:t xml:space="preserve">, there are no </w:t>
            </w:r>
            <w:r w:rsidR="00A46BAF">
              <w:rPr>
                <w:rFonts w:cs="Arial"/>
                <w:bCs/>
                <w:sz w:val="20"/>
                <w:szCs w:val="20"/>
              </w:rPr>
              <w:t xml:space="preserve">prescribed </w:t>
            </w:r>
            <w:r w:rsidR="00127A9E">
              <w:rPr>
                <w:rFonts w:cs="Arial"/>
                <w:bCs/>
                <w:sz w:val="20"/>
                <w:szCs w:val="20"/>
              </w:rPr>
              <w:t xml:space="preserve">species-specific reference points </w:t>
            </w:r>
            <w:r w:rsidR="006B6A13">
              <w:rPr>
                <w:rFonts w:cs="Arial"/>
                <w:bCs/>
                <w:sz w:val="20"/>
                <w:szCs w:val="20"/>
              </w:rPr>
              <w:t>which</w:t>
            </w:r>
            <w:r w:rsidR="00A46BAF">
              <w:rPr>
                <w:rFonts w:cs="Arial"/>
                <w:bCs/>
                <w:sz w:val="20"/>
                <w:szCs w:val="20"/>
              </w:rPr>
              <w:t xml:space="preserve"> would</w:t>
            </w:r>
            <w:r w:rsidR="006B6A13">
              <w:rPr>
                <w:rFonts w:cs="Arial"/>
                <w:bCs/>
                <w:sz w:val="20"/>
                <w:szCs w:val="20"/>
              </w:rPr>
              <w:t xml:space="preserve"> trigger further management</w:t>
            </w:r>
            <w:r w:rsidR="008474B4">
              <w:rPr>
                <w:rFonts w:cs="Arial"/>
                <w:bCs/>
                <w:sz w:val="20"/>
                <w:szCs w:val="20"/>
              </w:rPr>
              <w:t xml:space="preserve"> actions.</w:t>
            </w:r>
          </w:p>
          <w:p w14:paraId="325A6C3A" w14:textId="0FEDB8AD" w:rsidR="00867590" w:rsidRPr="00433FCA" w:rsidRDefault="00867590" w:rsidP="00FC2EBF">
            <w:pPr>
              <w:spacing w:before="60" w:after="60" w:line="276" w:lineRule="auto"/>
              <w:contextualSpacing/>
              <w:rPr>
                <w:rFonts w:cs="Arial"/>
                <w:sz w:val="20"/>
                <w:szCs w:val="20"/>
              </w:rPr>
            </w:pPr>
          </w:p>
        </w:tc>
      </w:tr>
      <w:tr w:rsidR="00867590" w:rsidRPr="00433FCA" w14:paraId="31A6BE89" w14:textId="77777777" w:rsidTr="00074553">
        <w:trPr>
          <w:cantSplit/>
        </w:trPr>
        <w:tc>
          <w:tcPr>
            <w:tcW w:w="1500" w:type="pct"/>
            <w:shd w:val="clear" w:color="auto" w:fill="92D050"/>
          </w:tcPr>
          <w:p w14:paraId="039A44C7" w14:textId="77777777" w:rsidR="00867590" w:rsidRPr="00433FCA" w:rsidRDefault="00867590" w:rsidP="00FC2EBF">
            <w:pPr>
              <w:spacing w:before="60" w:after="60" w:line="276" w:lineRule="auto"/>
              <w:contextualSpacing/>
              <w:rPr>
                <w:rFonts w:cs="Arial"/>
                <w:sz w:val="20"/>
                <w:szCs w:val="20"/>
              </w:rPr>
            </w:pPr>
            <w:r w:rsidRPr="00433FCA">
              <w:rPr>
                <w:rFonts w:cs="Arial"/>
                <w:b/>
                <w:bCs/>
                <w:i/>
                <w:iCs/>
                <w:sz w:val="20"/>
                <w:szCs w:val="20"/>
              </w:rPr>
              <w:t xml:space="preserve">1.1.7 </w:t>
            </w:r>
            <w:r w:rsidRPr="00433FCA">
              <w:rPr>
                <w:rFonts w:cs="Arial"/>
                <w:sz w:val="20"/>
                <w:szCs w:val="20"/>
              </w:rPr>
              <w:t xml:space="preserve">There are management strategies in place capable of controlling the level of take. </w:t>
            </w:r>
          </w:p>
          <w:p w14:paraId="4CC54A7F" w14:textId="4F8715F5" w:rsidR="004E6C95" w:rsidRPr="00433FCA" w:rsidRDefault="004E6C95" w:rsidP="00FC2EBF">
            <w:pPr>
              <w:spacing w:before="60" w:after="60" w:line="276" w:lineRule="auto"/>
              <w:contextualSpacing/>
              <w:rPr>
                <w:rFonts w:cs="Arial"/>
                <w:sz w:val="20"/>
                <w:szCs w:val="20"/>
              </w:rPr>
            </w:pPr>
          </w:p>
        </w:tc>
        <w:tc>
          <w:tcPr>
            <w:tcW w:w="3500" w:type="pct"/>
            <w:shd w:val="clear" w:color="auto" w:fill="auto"/>
          </w:tcPr>
          <w:p w14:paraId="1E7DDF7D" w14:textId="410D58F5" w:rsidR="00A46A2A" w:rsidRDefault="00A46A2A" w:rsidP="00FC2EBF">
            <w:pPr>
              <w:spacing w:before="60" w:after="60" w:line="276" w:lineRule="auto"/>
              <w:contextualSpacing/>
              <w:rPr>
                <w:rFonts w:cs="Arial"/>
                <w:b/>
                <w:sz w:val="20"/>
                <w:szCs w:val="20"/>
              </w:rPr>
            </w:pPr>
            <w:r w:rsidRPr="001028B8">
              <w:rPr>
                <w:rFonts w:cs="Arial"/>
                <w:b/>
                <w:sz w:val="20"/>
                <w:szCs w:val="20"/>
              </w:rPr>
              <w:t>Meets</w:t>
            </w:r>
          </w:p>
          <w:p w14:paraId="381A7B82" w14:textId="77777777" w:rsidR="002B4546" w:rsidRPr="001028B8" w:rsidRDefault="002B4546" w:rsidP="00FC2EBF">
            <w:pPr>
              <w:spacing w:before="60" w:after="60" w:line="276" w:lineRule="auto"/>
              <w:contextualSpacing/>
              <w:rPr>
                <w:rFonts w:cs="Arial"/>
                <w:b/>
                <w:sz w:val="20"/>
                <w:szCs w:val="20"/>
              </w:rPr>
            </w:pPr>
          </w:p>
          <w:p w14:paraId="15ACC255" w14:textId="77777777" w:rsidR="0058553A" w:rsidRDefault="001028B8" w:rsidP="00FC2EBF">
            <w:pPr>
              <w:spacing w:before="60" w:after="60" w:line="276" w:lineRule="auto"/>
              <w:contextualSpacing/>
              <w:rPr>
                <w:rFonts w:cs="Arial"/>
                <w:bCs/>
                <w:sz w:val="20"/>
                <w:szCs w:val="20"/>
              </w:rPr>
            </w:pPr>
            <w:r w:rsidRPr="002B4546">
              <w:rPr>
                <w:rFonts w:cs="Arial"/>
                <w:bCs/>
                <w:sz w:val="20"/>
                <w:szCs w:val="20"/>
              </w:rPr>
              <w:t>The level of take</w:t>
            </w:r>
            <w:r w:rsidR="00393F42" w:rsidRPr="002B4546">
              <w:rPr>
                <w:rFonts w:cs="Arial"/>
                <w:bCs/>
                <w:sz w:val="20"/>
                <w:szCs w:val="20"/>
              </w:rPr>
              <w:t xml:space="preserve"> is adequately controlled through </w:t>
            </w:r>
            <w:r w:rsidR="00526C02">
              <w:rPr>
                <w:rFonts w:cs="Arial"/>
                <w:bCs/>
                <w:sz w:val="20"/>
                <w:szCs w:val="20"/>
              </w:rPr>
              <w:t xml:space="preserve">various </w:t>
            </w:r>
            <w:r w:rsidR="00393F42" w:rsidRPr="002B4546">
              <w:rPr>
                <w:rFonts w:cs="Arial"/>
                <w:bCs/>
                <w:sz w:val="20"/>
                <w:szCs w:val="20"/>
              </w:rPr>
              <w:t>management strategies</w:t>
            </w:r>
            <w:r w:rsidR="00526C02">
              <w:rPr>
                <w:rFonts w:cs="Arial"/>
                <w:bCs/>
                <w:sz w:val="20"/>
                <w:szCs w:val="20"/>
              </w:rPr>
              <w:t xml:space="preserve">. </w:t>
            </w:r>
            <w:r w:rsidR="0058553A">
              <w:rPr>
                <w:rFonts w:cs="Arial"/>
                <w:bCs/>
                <w:sz w:val="20"/>
                <w:szCs w:val="20"/>
              </w:rPr>
              <w:t>Such strategies include:</w:t>
            </w:r>
          </w:p>
          <w:p w14:paraId="498C3DBF" w14:textId="298571C6" w:rsidR="0058553A" w:rsidRDefault="00D77E9D" w:rsidP="002502AE">
            <w:pPr>
              <w:pStyle w:val="ListParagraph"/>
              <w:numPr>
                <w:ilvl w:val="0"/>
                <w:numId w:val="13"/>
              </w:numPr>
              <w:spacing w:before="60" w:after="60" w:line="276" w:lineRule="auto"/>
              <w:contextualSpacing/>
              <w:rPr>
                <w:rFonts w:cs="Arial"/>
                <w:bCs/>
                <w:sz w:val="20"/>
                <w:szCs w:val="20"/>
              </w:rPr>
            </w:pPr>
            <w:r w:rsidRPr="0058553A">
              <w:rPr>
                <w:rFonts w:cs="Arial"/>
                <w:bCs/>
                <w:sz w:val="20"/>
                <w:szCs w:val="20"/>
              </w:rPr>
              <w:t>The</w:t>
            </w:r>
            <w:r w:rsidR="00520825" w:rsidRPr="0058553A">
              <w:rPr>
                <w:rFonts w:cs="Arial"/>
                <w:bCs/>
                <w:sz w:val="20"/>
                <w:szCs w:val="20"/>
              </w:rPr>
              <w:t xml:space="preserve"> VFA </w:t>
            </w:r>
            <w:r w:rsidR="006B291D" w:rsidRPr="0058553A">
              <w:rPr>
                <w:rFonts w:cs="Arial"/>
                <w:bCs/>
                <w:sz w:val="20"/>
                <w:szCs w:val="20"/>
              </w:rPr>
              <w:t>must be notified before any harvesting activit</w:t>
            </w:r>
            <w:r w:rsidR="0082744D">
              <w:rPr>
                <w:rFonts w:cs="Arial"/>
                <w:bCs/>
                <w:sz w:val="20"/>
                <w:szCs w:val="20"/>
              </w:rPr>
              <w:t>ies</w:t>
            </w:r>
            <w:r w:rsidR="006B291D" w:rsidRPr="0058553A">
              <w:rPr>
                <w:rFonts w:cs="Arial"/>
                <w:bCs/>
                <w:sz w:val="20"/>
                <w:szCs w:val="20"/>
              </w:rPr>
              <w:t xml:space="preserve"> take place</w:t>
            </w:r>
            <w:r w:rsidR="0058553A">
              <w:rPr>
                <w:rFonts w:cs="Arial"/>
                <w:bCs/>
                <w:sz w:val="20"/>
                <w:szCs w:val="20"/>
              </w:rPr>
              <w:t>.</w:t>
            </w:r>
            <w:r w:rsidR="0067690E" w:rsidRPr="0058553A">
              <w:rPr>
                <w:rFonts w:cs="Arial"/>
                <w:bCs/>
                <w:sz w:val="20"/>
                <w:szCs w:val="20"/>
              </w:rPr>
              <w:t xml:space="preserve"> </w:t>
            </w:r>
          </w:p>
          <w:p w14:paraId="6CA0DC61" w14:textId="352BCD79" w:rsidR="001028B8" w:rsidRDefault="0058553A" w:rsidP="002502AE">
            <w:pPr>
              <w:pStyle w:val="ListParagraph"/>
              <w:numPr>
                <w:ilvl w:val="0"/>
                <w:numId w:val="13"/>
              </w:numPr>
              <w:spacing w:before="60" w:after="60" w:line="276" w:lineRule="auto"/>
              <w:contextualSpacing/>
              <w:rPr>
                <w:rFonts w:cs="Arial"/>
                <w:bCs/>
                <w:sz w:val="20"/>
                <w:szCs w:val="20"/>
              </w:rPr>
            </w:pPr>
            <w:r>
              <w:rPr>
                <w:rFonts w:cs="Arial"/>
                <w:bCs/>
                <w:sz w:val="20"/>
                <w:szCs w:val="20"/>
              </w:rPr>
              <w:t>H</w:t>
            </w:r>
            <w:r w:rsidR="008153E6" w:rsidRPr="0058553A">
              <w:rPr>
                <w:rFonts w:cs="Arial"/>
                <w:bCs/>
                <w:sz w:val="20"/>
                <w:szCs w:val="20"/>
              </w:rPr>
              <w:t xml:space="preserve">arvesting </w:t>
            </w:r>
            <w:r w:rsidR="002C1AC1" w:rsidRPr="0058553A">
              <w:rPr>
                <w:rFonts w:cs="Arial"/>
                <w:bCs/>
                <w:sz w:val="20"/>
                <w:szCs w:val="20"/>
              </w:rPr>
              <w:t>is restricted to</w:t>
            </w:r>
            <w:r w:rsidR="007F35E9" w:rsidRPr="0058553A">
              <w:rPr>
                <w:rFonts w:cs="Arial"/>
                <w:bCs/>
                <w:sz w:val="20"/>
                <w:szCs w:val="20"/>
              </w:rPr>
              <w:t xml:space="preserve"> Victorian coastal waters</w:t>
            </w:r>
            <w:r>
              <w:rPr>
                <w:rFonts w:cs="Arial"/>
                <w:bCs/>
                <w:sz w:val="20"/>
                <w:szCs w:val="20"/>
              </w:rPr>
              <w:t xml:space="preserve">, </w:t>
            </w:r>
            <w:r w:rsidR="007F35E9" w:rsidRPr="0058553A">
              <w:rPr>
                <w:rFonts w:cs="Arial"/>
                <w:bCs/>
                <w:sz w:val="20"/>
                <w:szCs w:val="20"/>
              </w:rPr>
              <w:t>including Port Phillip Bay and Western Port Bay</w:t>
            </w:r>
            <w:r>
              <w:rPr>
                <w:rFonts w:cs="Arial"/>
                <w:bCs/>
                <w:sz w:val="20"/>
                <w:szCs w:val="20"/>
              </w:rPr>
              <w:t>.</w:t>
            </w:r>
          </w:p>
          <w:p w14:paraId="6C767578" w14:textId="727231CD" w:rsidR="001A14A8" w:rsidRDefault="0040007F" w:rsidP="002502AE">
            <w:pPr>
              <w:pStyle w:val="ListParagraph"/>
              <w:numPr>
                <w:ilvl w:val="0"/>
                <w:numId w:val="13"/>
              </w:numPr>
              <w:spacing w:before="60" w:after="60" w:line="276" w:lineRule="auto"/>
              <w:contextualSpacing/>
              <w:rPr>
                <w:rFonts w:cs="Arial"/>
                <w:bCs/>
                <w:sz w:val="20"/>
                <w:szCs w:val="20"/>
              </w:rPr>
            </w:pPr>
            <w:r>
              <w:rPr>
                <w:rFonts w:cs="Arial"/>
                <w:bCs/>
                <w:sz w:val="20"/>
                <w:szCs w:val="20"/>
              </w:rPr>
              <w:t>Harvesting r</w:t>
            </w:r>
            <w:r w:rsidR="001A14A8">
              <w:rPr>
                <w:rFonts w:cs="Arial"/>
                <w:bCs/>
                <w:sz w:val="20"/>
                <w:szCs w:val="20"/>
              </w:rPr>
              <w:t xml:space="preserve">eports </w:t>
            </w:r>
            <w:r w:rsidR="009770F2">
              <w:rPr>
                <w:rFonts w:cs="Arial"/>
                <w:bCs/>
                <w:sz w:val="20"/>
                <w:szCs w:val="20"/>
              </w:rPr>
              <w:t>are completed</w:t>
            </w:r>
            <w:r w:rsidR="00A734D1">
              <w:rPr>
                <w:rFonts w:cs="Arial"/>
                <w:bCs/>
                <w:sz w:val="20"/>
                <w:szCs w:val="20"/>
              </w:rPr>
              <w:t xml:space="preserve"> </w:t>
            </w:r>
            <w:r w:rsidR="002653D2">
              <w:rPr>
                <w:rFonts w:cs="Arial"/>
                <w:bCs/>
                <w:sz w:val="20"/>
                <w:szCs w:val="20"/>
              </w:rPr>
              <w:t xml:space="preserve">after each harvesting activity and </w:t>
            </w:r>
            <w:r w:rsidR="005A2039">
              <w:rPr>
                <w:rFonts w:cs="Arial"/>
                <w:bCs/>
                <w:sz w:val="20"/>
                <w:szCs w:val="20"/>
              </w:rPr>
              <w:t>immediately returned to the VFA.</w:t>
            </w:r>
          </w:p>
          <w:p w14:paraId="2F3F40C9" w14:textId="055D0BCB" w:rsidR="0058553A" w:rsidRDefault="00146265" w:rsidP="002502AE">
            <w:pPr>
              <w:pStyle w:val="ListParagraph"/>
              <w:numPr>
                <w:ilvl w:val="0"/>
                <w:numId w:val="13"/>
              </w:numPr>
              <w:spacing w:before="60" w:after="60" w:line="276" w:lineRule="auto"/>
              <w:contextualSpacing/>
              <w:rPr>
                <w:rFonts w:cs="Arial"/>
                <w:bCs/>
                <w:sz w:val="20"/>
                <w:szCs w:val="20"/>
              </w:rPr>
            </w:pPr>
            <w:r>
              <w:rPr>
                <w:rFonts w:cs="Arial"/>
                <w:bCs/>
                <w:sz w:val="20"/>
                <w:szCs w:val="20"/>
              </w:rPr>
              <w:t xml:space="preserve">All harvested specimens are retained at the PQ Aquatics’ </w:t>
            </w:r>
            <w:r w:rsidR="003B1D89">
              <w:rPr>
                <w:rFonts w:cs="Arial"/>
                <w:bCs/>
                <w:sz w:val="20"/>
                <w:szCs w:val="20"/>
              </w:rPr>
              <w:t>captive facilities.</w:t>
            </w:r>
          </w:p>
          <w:p w14:paraId="148D1089" w14:textId="368E0CE5" w:rsidR="00867590" w:rsidRDefault="003B1D89" w:rsidP="002502AE">
            <w:pPr>
              <w:pStyle w:val="ListParagraph"/>
              <w:numPr>
                <w:ilvl w:val="0"/>
                <w:numId w:val="13"/>
              </w:numPr>
              <w:spacing w:before="60" w:after="60" w:line="276" w:lineRule="auto"/>
              <w:contextualSpacing/>
              <w:rPr>
                <w:rFonts w:cs="Arial"/>
                <w:bCs/>
                <w:sz w:val="20"/>
                <w:szCs w:val="20"/>
              </w:rPr>
            </w:pPr>
            <w:r>
              <w:rPr>
                <w:rFonts w:cs="Arial"/>
                <w:bCs/>
                <w:sz w:val="20"/>
                <w:szCs w:val="20"/>
              </w:rPr>
              <w:t>Only one Weedy Seadragon specimen can be harvested during any 48 hour period</w:t>
            </w:r>
            <w:r w:rsidR="00BF4C75">
              <w:rPr>
                <w:rFonts w:cs="Arial"/>
                <w:bCs/>
                <w:sz w:val="20"/>
                <w:szCs w:val="20"/>
              </w:rPr>
              <w:t xml:space="preserve">, with wild harvest only permitted </w:t>
            </w:r>
            <w:r w:rsidR="00CC13C3">
              <w:rPr>
                <w:rFonts w:cs="Arial"/>
                <w:bCs/>
                <w:sz w:val="20"/>
                <w:szCs w:val="20"/>
              </w:rPr>
              <w:t>between</w:t>
            </w:r>
            <w:r w:rsidR="00BF4C75">
              <w:rPr>
                <w:rFonts w:cs="Arial"/>
                <w:bCs/>
                <w:sz w:val="20"/>
                <w:szCs w:val="20"/>
              </w:rPr>
              <w:t xml:space="preserve"> November </w:t>
            </w:r>
            <w:r w:rsidR="00CC13C3">
              <w:rPr>
                <w:rFonts w:cs="Arial"/>
                <w:bCs/>
                <w:sz w:val="20"/>
                <w:szCs w:val="20"/>
              </w:rPr>
              <w:t>and</w:t>
            </w:r>
            <w:r w:rsidR="00BF4C75">
              <w:rPr>
                <w:rFonts w:cs="Arial"/>
                <w:bCs/>
                <w:sz w:val="20"/>
                <w:szCs w:val="20"/>
              </w:rPr>
              <w:t xml:space="preserve"> January.</w:t>
            </w:r>
          </w:p>
          <w:p w14:paraId="0F14F279" w14:textId="38684E35" w:rsidR="00BF4C75" w:rsidRPr="00BF4C75" w:rsidRDefault="00BF4C75" w:rsidP="00BF4C75">
            <w:pPr>
              <w:pStyle w:val="ListParagraph"/>
              <w:numPr>
                <w:ilvl w:val="0"/>
                <w:numId w:val="0"/>
              </w:numPr>
              <w:spacing w:before="60" w:after="60" w:line="276" w:lineRule="auto"/>
              <w:ind w:left="720"/>
              <w:contextualSpacing/>
              <w:rPr>
                <w:rFonts w:cs="Arial"/>
                <w:bCs/>
                <w:sz w:val="20"/>
                <w:szCs w:val="20"/>
              </w:rPr>
            </w:pPr>
          </w:p>
        </w:tc>
      </w:tr>
      <w:tr w:rsidR="00867590" w:rsidRPr="00433FCA" w14:paraId="2457E862" w14:textId="77777777" w:rsidTr="002F0C8B">
        <w:trPr>
          <w:cantSplit/>
        </w:trPr>
        <w:tc>
          <w:tcPr>
            <w:tcW w:w="1500" w:type="pct"/>
          </w:tcPr>
          <w:p w14:paraId="504D319A" w14:textId="77777777" w:rsidR="00867590" w:rsidRPr="00433FCA" w:rsidRDefault="00867590" w:rsidP="00FC2EBF">
            <w:pPr>
              <w:spacing w:before="60" w:after="60" w:line="276" w:lineRule="auto"/>
              <w:contextualSpacing/>
              <w:rPr>
                <w:rFonts w:cs="Arial"/>
                <w:sz w:val="20"/>
                <w:szCs w:val="20"/>
              </w:rPr>
            </w:pPr>
            <w:r w:rsidRPr="00433FCA">
              <w:rPr>
                <w:rFonts w:cs="Arial"/>
                <w:b/>
                <w:bCs/>
                <w:i/>
                <w:iCs/>
                <w:sz w:val="20"/>
                <w:szCs w:val="20"/>
              </w:rPr>
              <w:t xml:space="preserve">1.1.8 </w:t>
            </w:r>
            <w:r w:rsidRPr="00433FCA">
              <w:rPr>
                <w:rFonts w:cs="Arial"/>
                <w:sz w:val="20"/>
                <w:szCs w:val="20"/>
              </w:rPr>
              <w:t>Fishing is conducted in a manner that does not threaten stocks of byproduct species.</w:t>
            </w:r>
          </w:p>
          <w:p w14:paraId="4099D757" w14:textId="438F01D5" w:rsidR="004E6C95" w:rsidRPr="00433FCA" w:rsidRDefault="004E6C95" w:rsidP="00FC2EBF">
            <w:pPr>
              <w:spacing w:before="60" w:after="60" w:line="276" w:lineRule="auto"/>
              <w:contextualSpacing/>
              <w:rPr>
                <w:rFonts w:cs="Arial"/>
                <w:sz w:val="20"/>
                <w:szCs w:val="20"/>
              </w:rPr>
            </w:pPr>
          </w:p>
        </w:tc>
        <w:tc>
          <w:tcPr>
            <w:tcW w:w="3500" w:type="pct"/>
            <w:shd w:val="clear" w:color="auto" w:fill="auto"/>
          </w:tcPr>
          <w:p w14:paraId="6A2C5F74" w14:textId="00F55498" w:rsidR="00A42A90" w:rsidRPr="00CC4B0B" w:rsidRDefault="00A42A90" w:rsidP="00FC2EBF">
            <w:pPr>
              <w:spacing w:before="60" w:after="60" w:line="276" w:lineRule="auto"/>
              <w:contextualSpacing/>
              <w:rPr>
                <w:rFonts w:cs="Arial"/>
                <w:b/>
                <w:sz w:val="20"/>
                <w:szCs w:val="20"/>
              </w:rPr>
            </w:pPr>
            <w:r w:rsidRPr="00CC4B0B">
              <w:rPr>
                <w:rFonts w:cs="Arial"/>
                <w:b/>
                <w:sz w:val="20"/>
                <w:szCs w:val="20"/>
              </w:rPr>
              <w:t>Not applicable</w:t>
            </w:r>
          </w:p>
          <w:p w14:paraId="5EBAED89" w14:textId="443781F4" w:rsidR="00A42A90" w:rsidRDefault="00A42A90" w:rsidP="00FC2EBF">
            <w:pPr>
              <w:spacing w:before="60" w:after="60" w:line="276" w:lineRule="auto"/>
              <w:contextualSpacing/>
              <w:rPr>
                <w:rFonts w:cs="Arial"/>
                <w:bCs/>
                <w:sz w:val="20"/>
                <w:szCs w:val="20"/>
              </w:rPr>
            </w:pPr>
          </w:p>
          <w:p w14:paraId="79BB0394" w14:textId="3F731493" w:rsidR="00867590" w:rsidRDefault="00755AE2" w:rsidP="00FC2EBF">
            <w:pPr>
              <w:spacing w:before="60" w:after="60" w:line="276" w:lineRule="auto"/>
              <w:contextualSpacing/>
              <w:rPr>
                <w:rFonts w:cs="Arial"/>
                <w:bCs/>
                <w:sz w:val="20"/>
                <w:szCs w:val="20"/>
              </w:rPr>
            </w:pPr>
            <w:r w:rsidRPr="00755AE2">
              <w:rPr>
                <w:rFonts w:cs="Arial"/>
                <w:bCs/>
                <w:sz w:val="20"/>
                <w:szCs w:val="20"/>
              </w:rPr>
              <w:t xml:space="preserve">Stocks of byproduct species are not </w:t>
            </w:r>
            <w:r>
              <w:rPr>
                <w:rFonts w:cs="Arial"/>
                <w:bCs/>
                <w:sz w:val="20"/>
                <w:szCs w:val="20"/>
              </w:rPr>
              <w:t>impacted</w:t>
            </w:r>
            <w:r w:rsidRPr="00755AE2">
              <w:rPr>
                <w:rFonts w:cs="Arial"/>
                <w:bCs/>
                <w:sz w:val="20"/>
                <w:szCs w:val="20"/>
              </w:rPr>
              <w:t xml:space="preserve"> by this operation, based on the highly selective nature of hand collection as a fishing method</w:t>
            </w:r>
            <w:r w:rsidR="00CE5EBA">
              <w:rPr>
                <w:rFonts w:cs="Arial"/>
                <w:bCs/>
                <w:sz w:val="20"/>
                <w:szCs w:val="20"/>
              </w:rPr>
              <w:t xml:space="preserve"> and minimal use of fishing gear</w:t>
            </w:r>
            <w:r w:rsidRPr="00755AE2">
              <w:rPr>
                <w:rFonts w:cs="Arial"/>
                <w:bCs/>
                <w:sz w:val="20"/>
                <w:szCs w:val="20"/>
              </w:rPr>
              <w:t>.</w:t>
            </w:r>
          </w:p>
          <w:p w14:paraId="30F78FE4" w14:textId="1522F919" w:rsidR="008213E0" w:rsidRPr="00755AE2" w:rsidRDefault="008213E0" w:rsidP="00FC2EBF">
            <w:pPr>
              <w:spacing w:before="60" w:after="60" w:line="276" w:lineRule="auto"/>
              <w:contextualSpacing/>
              <w:rPr>
                <w:rFonts w:cs="Arial"/>
                <w:bCs/>
                <w:sz w:val="20"/>
                <w:szCs w:val="20"/>
              </w:rPr>
            </w:pPr>
          </w:p>
        </w:tc>
      </w:tr>
      <w:tr w:rsidR="00867590" w:rsidRPr="00433FCA" w14:paraId="2961A6DF" w14:textId="77777777" w:rsidTr="002F0C8B">
        <w:trPr>
          <w:cantSplit/>
        </w:trPr>
        <w:tc>
          <w:tcPr>
            <w:tcW w:w="5000" w:type="pct"/>
            <w:gridSpan w:val="2"/>
            <w:shd w:val="clear" w:color="auto" w:fill="DAEEF3"/>
          </w:tcPr>
          <w:p w14:paraId="27314CF2" w14:textId="00D8E667" w:rsidR="00867590" w:rsidRPr="00433FCA" w:rsidRDefault="00867590" w:rsidP="00FC2EBF">
            <w:pPr>
              <w:spacing w:before="60" w:after="60" w:line="276" w:lineRule="auto"/>
              <w:contextualSpacing/>
              <w:rPr>
                <w:rFonts w:cs="Arial"/>
                <w:sz w:val="20"/>
                <w:szCs w:val="20"/>
              </w:rPr>
            </w:pPr>
            <w:r w:rsidRPr="00433FCA">
              <w:rPr>
                <w:rFonts w:cs="Arial"/>
                <w:sz w:val="20"/>
                <w:szCs w:val="20"/>
              </w:rPr>
              <w:t xml:space="preserve">(Guidelines 1.1.1 to 1.1.7 should be applied to byproduct species to an appropriate level) </w:t>
            </w:r>
          </w:p>
        </w:tc>
      </w:tr>
      <w:tr w:rsidR="00867590" w:rsidRPr="00433FCA" w14:paraId="4222D52C" w14:textId="77777777" w:rsidTr="00074553">
        <w:trPr>
          <w:cantSplit/>
        </w:trPr>
        <w:tc>
          <w:tcPr>
            <w:tcW w:w="1500" w:type="pct"/>
            <w:shd w:val="clear" w:color="auto" w:fill="92D050"/>
          </w:tcPr>
          <w:p w14:paraId="3C74BA56" w14:textId="77777777" w:rsidR="00867590" w:rsidRPr="00433FCA" w:rsidRDefault="00867590" w:rsidP="00FC2EBF">
            <w:pPr>
              <w:spacing w:before="60" w:after="60" w:line="276" w:lineRule="auto"/>
              <w:contextualSpacing/>
              <w:rPr>
                <w:rFonts w:cs="Arial"/>
                <w:sz w:val="20"/>
                <w:szCs w:val="20"/>
              </w:rPr>
            </w:pPr>
            <w:r w:rsidRPr="00433FCA">
              <w:rPr>
                <w:rFonts w:cs="Arial"/>
                <w:b/>
                <w:bCs/>
                <w:i/>
                <w:iCs/>
                <w:sz w:val="20"/>
                <w:szCs w:val="20"/>
              </w:rPr>
              <w:t xml:space="preserve">1.1.9 </w:t>
            </w:r>
            <w:r w:rsidRPr="00433FCA">
              <w:rPr>
                <w:rFonts w:cs="Arial"/>
                <w:sz w:val="20"/>
                <w:szCs w:val="20"/>
              </w:rPr>
              <w:t>The management response, considering uncertainties in the assessment and precautionary management actions, has a high chance of achieving the objective.</w:t>
            </w:r>
          </w:p>
          <w:p w14:paraId="4861A5F6" w14:textId="288FFA1C" w:rsidR="004649FA" w:rsidRPr="00433FCA" w:rsidRDefault="004649FA" w:rsidP="00FC2EBF">
            <w:pPr>
              <w:spacing w:before="60" w:after="60" w:line="276" w:lineRule="auto"/>
              <w:contextualSpacing/>
              <w:rPr>
                <w:rFonts w:cs="Arial"/>
                <w:sz w:val="20"/>
                <w:szCs w:val="20"/>
              </w:rPr>
            </w:pPr>
          </w:p>
        </w:tc>
        <w:tc>
          <w:tcPr>
            <w:tcW w:w="3500" w:type="pct"/>
            <w:shd w:val="clear" w:color="auto" w:fill="auto"/>
          </w:tcPr>
          <w:p w14:paraId="2FE0DF63" w14:textId="33D9BCF0" w:rsidR="000D6F87" w:rsidRPr="00FC15F7" w:rsidRDefault="000D6F87" w:rsidP="00FC2EBF">
            <w:pPr>
              <w:spacing w:before="60" w:after="60" w:line="276" w:lineRule="auto"/>
              <w:contextualSpacing/>
              <w:rPr>
                <w:rFonts w:cs="Arial"/>
                <w:b/>
                <w:bCs/>
                <w:sz w:val="20"/>
                <w:szCs w:val="20"/>
              </w:rPr>
            </w:pPr>
            <w:r w:rsidRPr="00FC15F7">
              <w:rPr>
                <w:rFonts w:cs="Arial"/>
                <w:b/>
                <w:bCs/>
                <w:sz w:val="20"/>
                <w:szCs w:val="20"/>
              </w:rPr>
              <w:t>Meets</w:t>
            </w:r>
          </w:p>
          <w:p w14:paraId="349F7FB7" w14:textId="77777777" w:rsidR="0015092C" w:rsidRDefault="0015092C" w:rsidP="00FC2EBF">
            <w:pPr>
              <w:spacing w:before="60" w:after="60" w:line="276" w:lineRule="auto"/>
              <w:contextualSpacing/>
              <w:rPr>
                <w:rFonts w:cs="Arial"/>
                <w:sz w:val="20"/>
                <w:szCs w:val="20"/>
              </w:rPr>
            </w:pPr>
          </w:p>
          <w:p w14:paraId="60E2B881" w14:textId="3451F77D" w:rsidR="00BB02C5" w:rsidRDefault="002165BF" w:rsidP="00FC2EBF">
            <w:pPr>
              <w:spacing w:before="60" w:after="60" w:line="276" w:lineRule="auto"/>
              <w:contextualSpacing/>
              <w:rPr>
                <w:rFonts w:cs="Arial"/>
                <w:sz w:val="20"/>
                <w:szCs w:val="20"/>
              </w:rPr>
            </w:pPr>
            <w:r>
              <w:rPr>
                <w:rFonts w:cs="Arial"/>
                <w:sz w:val="20"/>
                <w:szCs w:val="20"/>
              </w:rPr>
              <w:t xml:space="preserve">Given the </w:t>
            </w:r>
            <w:r w:rsidR="005A473A">
              <w:rPr>
                <w:rFonts w:cs="Arial"/>
                <w:sz w:val="20"/>
                <w:szCs w:val="20"/>
              </w:rPr>
              <w:t>harvesting method</w:t>
            </w:r>
            <w:r w:rsidR="00216CF8">
              <w:rPr>
                <w:rFonts w:cs="Arial"/>
                <w:sz w:val="20"/>
                <w:szCs w:val="20"/>
              </w:rPr>
              <w:t xml:space="preserve"> and stringent reporting requirements in place, t</w:t>
            </w:r>
            <w:r w:rsidR="00BB02C5">
              <w:rPr>
                <w:rFonts w:cs="Arial"/>
                <w:sz w:val="20"/>
                <w:szCs w:val="20"/>
              </w:rPr>
              <w:t xml:space="preserve">he </w:t>
            </w:r>
            <w:r w:rsidR="0013634F">
              <w:rPr>
                <w:rFonts w:cs="Arial"/>
                <w:sz w:val="20"/>
                <w:szCs w:val="20"/>
              </w:rPr>
              <w:t>management response</w:t>
            </w:r>
            <w:r w:rsidR="00572704">
              <w:rPr>
                <w:rFonts w:cs="Arial"/>
                <w:sz w:val="20"/>
                <w:szCs w:val="20"/>
              </w:rPr>
              <w:t xml:space="preserve"> has a high chance of achieving its objective</w:t>
            </w:r>
            <w:r w:rsidR="007B609D">
              <w:rPr>
                <w:rFonts w:cs="Arial"/>
                <w:sz w:val="20"/>
                <w:szCs w:val="20"/>
              </w:rPr>
              <w:t xml:space="preserve"> in avoiding overfishing and promoting population recovery. </w:t>
            </w:r>
          </w:p>
          <w:p w14:paraId="6EC2CC41" w14:textId="44ED040E" w:rsidR="00871F46" w:rsidRPr="00433FCA" w:rsidRDefault="00871F46" w:rsidP="00FC2EBF">
            <w:pPr>
              <w:spacing w:before="60" w:after="60" w:line="276" w:lineRule="auto"/>
              <w:contextualSpacing/>
              <w:rPr>
                <w:rFonts w:cs="Arial"/>
                <w:sz w:val="20"/>
                <w:szCs w:val="20"/>
              </w:rPr>
            </w:pPr>
          </w:p>
        </w:tc>
      </w:tr>
      <w:tr w:rsidR="00867590" w:rsidRPr="00433FCA" w14:paraId="5014C200" w14:textId="77777777" w:rsidTr="002F0C8B">
        <w:trPr>
          <w:cantSplit/>
        </w:trPr>
        <w:tc>
          <w:tcPr>
            <w:tcW w:w="5000" w:type="pct"/>
            <w:gridSpan w:val="2"/>
            <w:shd w:val="clear" w:color="auto" w:fill="DAEEF3"/>
          </w:tcPr>
          <w:p w14:paraId="4D58C0B1" w14:textId="77777777" w:rsidR="00867590" w:rsidRPr="00433FCA" w:rsidRDefault="00867590" w:rsidP="00FC2EBF">
            <w:pPr>
              <w:spacing w:before="60" w:after="60" w:line="276" w:lineRule="auto"/>
              <w:contextualSpacing/>
              <w:rPr>
                <w:rFonts w:cs="Arial"/>
                <w:b/>
                <w:bCs/>
                <w:sz w:val="20"/>
                <w:szCs w:val="20"/>
              </w:rPr>
            </w:pPr>
            <w:r w:rsidRPr="00433FCA">
              <w:rPr>
                <w:rFonts w:cs="Arial"/>
                <w:b/>
                <w:bCs/>
                <w:sz w:val="20"/>
                <w:szCs w:val="20"/>
              </w:rPr>
              <w:t>If overfished, go to Objective 2:</w:t>
            </w:r>
          </w:p>
          <w:p w14:paraId="60E5199F" w14:textId="77777777" w:rsidR="00867590" w:rsidRPr="00433FCA" w:rsidRDefault="00867590" w:rsidP="00FC2EBF">
            <w:pPr>
              <w:spacing w:before="60" w:after="60" w:line="276" w:lineRule="auto"/>
              <w:contextualSpacing/>
              <w:rPr>
                <w:rFonts w:cs="Arial"/>
                <w:b/>
                <w:bCs/>
                <w:sz w:val="20"/>
                <w:szCs w:val="20"/>
              </w:rPr>
            </w:pPr>
            <w:r w:rsidRPr="00433FCA">
              <w:rPr>
                <w:rFonts w:cs="Arial"/>
                <w:b/>
                <w:bCs/>
                <w:sz w:val="20"/>
                <w:szCs w:val="20"/>
              </w:rPr>
              <w:t>If not overfished, go to PRINCIPLE 2:</w:t>
            </w:r>
          </w:p>
        </w:tc>
      </w:tr>
      <w:tr w:rsidR="00867590" w:rsidRPr="00433FCA" w14:paraId="4A7FBAAA" w14:textId="77777777" w:rsidTr="002F0C8B">
        <w:trPr>
          <w:cantSplit/>
        </w:trPr>
        <w:tc>
          <w:tcPr>
            <w:tcW w:w="5000" w:type="pct"/>
            <w:gridSpan w:val="2"/>
            <w:shd w:val="clear" w:color="auto" w:fill="B6DDE8"/>
          </w:tcPr>
          <w:p w14:paraId="476360A7" w14:textId="77777777" w:rsidR="00867590" w:rsidRPr="00433FCA" w:rsidRDefault="00867590" w:rsidP="00FC2EBF">
            <w:pPr>
              <w:spacing w:before="60" w:after="60" w:line="276" w:lineRule="auto"/>
              <w:contextualSpacing/>
              <w:rPr>
                <w:rFonts w:cs="Arial"/>
                <w:b/>
                <w:bCs/>
                <w:sz w:val="20"/>
                <w:szCs w:val="20"/>
              </w:rPr>
            </w:pPr>
            <w:r w:rsidRPr="00433FCA">
              <w:rPr>
                <w:rFonts w:cs="Arial"/>
                <w:b/>
                <w:bCs/>
                <w:sz w:val="20"/>
                <w:szCs w:val="20"/>
              </w:rPr>
              <w:t xml:space="preserve">Objective 2 - </w:t>
            </w:r>
            <w:r w:rsidRPr="00433FCA">
              <w:rPr>
                <w:rFonts w:cs="Arial"/>
                <w:sz w:val="20"/>
                <w:szCs w:val="20"/>
              </w:rPr>
              <w:t xml:space="preserve">Where the fished stock(s) are below a defined reference point, the fishery will be managed to promote recovery to ecologically viable stock levels within nominated timeframes. </w:t>
            </w:r>
          </w:p>
        </w:tc>
      </w:tr>
      <w:tr w:rsidR="00867590" w:rsidRPr="00433FCA" w14:paraId="36CC6979" w14:textId="77777777" w:rsidTr="002F0C8B">
        <w:trPr>
          <w:cantSplit/>
        </w:trPr>
        <w:tc>
          <w:tcPr>
            <w:tcW w:w="5000" w:type="pct"/>
            <w:gridSpan w:val="2"/>
            <w:shd w:val="clear" w:color="auto" w:fill="DAEEF3"/>
          </w:tcPr>
          <w:p w14:paraId="2128D6FD" w14:textId="77777777" w:rsidR="00867590" w:rsidRPr="00433FCA" w:rsidRDefault="00867590" w:rsidP="00FC2EBF">
            <w:pPr>
              <w:spacing w:before="60" w:after="60" w:line="276" w:lineRule="auto"/>
              <w:contextualSpacing/>
              <w:rPr>
                <w:rFonts w:cs="Arial"/>
                <w:b/>
                <w:bCs/>
                <w:i/>
                <w:iCs/>
                <w:sz w:val="20"/>
                <w:szCs w:val="20"/>
              </w:rPr>
            </w:pPr>
            <w:r w:rsidRPr="00433FCA">
              <w:rPr>
                <w:rFonts w:cs="Arial"/>
                <w:b/>
                <w:bCs/>
                <w:i/>
                <w:iCs/>
                <w:sz w:val="20"/>
                <w:szCs w:val="20"/>
              </w:rPr>
              <w:t xml:space="preserve">Management responses </w:t>
            </w:r>
          </w:p>
        </w:tc>
      </w:tr>
      <w:tr w:rsidR="00867590" w:rsidRPr="00433FCA" w14:paraId="51B761D2" w14:textId="77777777" w:rsidTr="002F0C8B">
        <w:trPr>
          <w:cantSplit/>
        </w:trPr>
        <w:tc>
          <w:tcPr>
            <w:tcW w:w="1500" w:type="pct"/>
            <w:tcBorders>
              <w:bottom w:val="single" w:sz="4" w:space="0" w:color="auto"/>
            </w:tcBorders>
          </w:tcPr>
          <w:p w14:paraId="651D4377" w14:textId="77777777" w:rsidR="00867590" w:rsidRPr="00433FCA" w:rsidRDefault="00867590" w:rsidP="00FC2EBF">
            <w:pPr>
              <w:spacing w:before="60" w:after="60" w:line="276" w:lineRule="auto"/>
              <w:contextualSpacing/>
              <w:rPr>
                <w:rFonts w:cs="Arial"/>
                <w:sz w:val="20"/>
                <w:szCs w:val="20"/>
              </w:rPr>
            </w:pPr>
            <w:r w:rsidRPr="00433FCA">
              <w:rPr>
                <w:rFonts w:cs="Arial"/>
                <w:b/>
                <w:bCs/>
                <w:i/>
                <w:iCs/>
                <w:sz w:val="20"/>
                <w:szCs w:val="20"/>
              </w:rPr>
              <w:t xml:space="preserve">1.2.1 </w:t>
            </w:r>
            <w:r w:rsidRPr="00433FCA">
              <w:rPr>
                <w:rFonts w:cs="Arial"/>
                <w:sz w:val="20"/>
                <w:szCs w:val="20"/>
              </w:rPr>
              <w:t>A precautionary recovery strategy is in place specifying management actions, or staged management responses, which are linked to reference points. The recovery strategy should apply until the stock recovers, and should aim for recovery within a specific time period appropriate to the biology of the stock.</w:t>
            </w:r>
          </w:p>
          <w:p w14:paraId="5553280C" w14:textId="07B2BC96" w:rsidR="004649FA" w:rsidRPr="00433FCA" w:rsidRDefault="004649FA" w:rsidP="00FC2EBF">
            <w:pPr>
              <w:spacing w:before="60" w:after="60" w:line="276" w:lineRule="auto"/>
              <w:contextualSpacing/>
              <w:rPr>
                <w:rFonts w:cs="Arial"/>
                <w:sz w:val="20"/>
                <w:szCs w:val="20"/>
              </w:rPr>
            </w:pPr>
          </w:p>
        </w:tc>
        <w:tc>
          <w:tcPr>
            <w:tcW w:w="3500" w:type="pct"/>
            <w:tcBorders>
              <w:bottom w:val="single" w:sz="4" w:space="0" w:color="auto"/>
            </w:tcBorders>
            <w:shd w:val="clear" w:color="auto" w:fill="auto"/>
          </w:tcPr>
          <w:p w14:paraId="4A36BB29" w14:textId="4C546832" w:rsidR="00AD0EF9" w:rsidRPr="00AD0EF9" w:rsidRDefault="00AD0EF9" w:rsidP="00FC2EBF">
            <w:pPr>
              <w:spacing w:before="60" w:after="60" w:line="276" w:lineRule="auto"/>
              <w:contextualSpacing/>
              <w:rPr>
                <w:rFonts w:cs="Arial"/>
                <w:b/>
                <w:sz w:val="20"/>
                <w:szCs w:val="20"/>
              </w:rPr>
            </w:pPr>
            <w:r w:rsidRPr="00AD0EF9">
              <w:rPr>
                <w:rFonts w:cs="Arial"/>
                <w:b/>
                <w:sz w:val="20"/>
                <w:szCs w:val="20"/>
              </w:rPr>
              <w:t>Not applicable</w:t>
            </w:r>
          </w:p>
          <w:p w14:paraId="67780ADA" w14:textId="0B056287" w:rsidR="00C74B33" w:rsidRDefault="00C74B33" w:rsidP="00FC2EBF">
            <w:pPr>
              <w:spacing w:before="60" w:after="60" w:line="276" w:lineRule="auto"/>
              <w:contextualSpacing/>
              <w:rPr>
                <w:rFonts w:cs="Arial"/>
                <w:sz w:val="20"/>
                <w:szCs w:val="20"/>
              </w:rPr>
            </w:pPr>
          </w:p>
          <w:p w14:paraId="020C058B" w14:textId="7B253C62" w:rsidR="00867590" w:rsidRDefault="0015686A" w:rsidP="00FC2EBF">
            <w:pPr>
              <w:spacing w:before="60" w:after="60" w:line="276" w:lineRule="auto"/>
              <w:contextualSpacing/>
              <w:rPr>
                <w:rFonts w:cs="Arial"/>
                <w:sz w:val="20"/>
                <w:szCs w:val="20"/>
              </w:rPr>
            </w:pPr>
            <w:r>
              <w:rPr>
                <w:rFonts w:cs="Arial"/>
                <w:sz w:val="20"/>
                <w:szCs w:val="20"/>
              </w:rPr>
              <w:t>Current s</w:t>
            </w:r>
            <w:r w:rsidR="00186D37">
              <w:rPr>
                <w:rFonts w:cs="Arial"/>
                <w:sz w:val="20"/>
                <w:szCs w:val="20"/>
              </w:rPr>
              <w:t xml:space="preserve">tocks of targeted </w:t>
            </w:r>
            <w:r w:rsidR="004026D3">
              <w:rPr>
                <w:rFonts w:cs="Arial"/>
                <w:sz w:val="20"/>
                <w:szCs w:val="20"/>
              </w:rPr>
              <w:t>syn</w:t>
            </w:r>
            <w:r w:rsidR="00186D37">
              <w:rPr>
                <w:rFonts w:cs="Arial"/>
                <w:sz w:val="20"/>
                <w:szCs w:val="20"/>
              </w:rPr>
              <w:t>gnathid species are not considered to be overharvested.</w:t>
            </w:r>
            <w:r w:rsidR="001723D6">
              <w:rPr>
                <w:rFonts w:cs="Arial"/>
                <w:sz w:val="20"/>
                <w:szCs w:val="20"/>
              </w:rPr>
              <w:t xml:space="preserve"> </w:t>
            </w:r>
            <w:r w:rsidR="000657AD">
              <w:rPr>
                <w:rFonts w:cs="Arial"/>
                <w:sz w:val="20"/>
                <w:szCs w:val="20"/>
              </w:rPr>
              <w:t>The commercial harvest</w:t>
            </w:r>
            <w:r w:rsidR="004C7491">
              <w:rPr>
                <w:rFonts w:cs="Arial"/>
                <w:sz w:val="20"/>
                <w:szCs w:val="20"/>
              </w:rPr>
              <w:t xml:space="preserve"> of </w:t>
            </w:r>
            <w:r w:rsidR="00292CDF">
              <w:rPr>
                <w:rFonts w:cs="Arial"/>
                <w:sz w:val="20"/>
                <w:szCs w:val="20"/>
              </w:rPr>
              <w:t>s</w:t>
            </w:r>
            <w:r w:rsidR="004C7491">
              <w:rPr>
                <w:rFonts w:cs="Arial"/>
                <w:sz w:val="20"/>
                <w:szCs w:val="20"/>
              </w:rPr>
              <w:t>yngnathids</w:t>
            </w:r>
            <w:r w:rsidR="006E3380">
              <w:rPr>
                <w:rFonts w:cs="Arial"/>
                <w:sz w:val="20"/>
                <w:szCs w:val="20"/>
              </w:rPr>
              <w:t xml:space="preserve"> is prohibited in Victorian coastal waters. </w:t>
            </w:r>
            <w:r w:rsidR="00453DE6">
              <w:rPr>
                <w:rFonts w:cs="Arial"/>
                <w:sz w:val="20"/>
                <w:szCs w:val="20"/>
              </w:rPr>
              <w:t xml:space="preserve">Harvest is </w:t>
            </w:r>
            <w:r w:rsidR="00481B74">
              <w:rPr>
                <w:rFonts w:cs="Arial"/>
                <w:sz w:val="20"/>
                <w:szCs w:val="20"/>
              </w:rPr>
              <w:t xml:space="preserve">allowed </w:t>
            </w:r>
            <w:r w:rsidR="00844AFD">
              <w:rPr>
                <w:rFonts w:cs="Arial"/>
                <w:sz w:val="20"/>
                <w:szCs w:val="20"/>
              </w:rPr>
              <w:t xml:space="preserve">only </w:t>
            </w:r>
            <w:r w:rsidR="00481B74">
              <w:rPr>
                <w:rFonts w:cs="Arial"/>
                <w:sz w:val="20"/>
                <w:szCs w:val="20"/>
              </w:rPr>
              <w:t xml:space="preserve">for the non-commercial purposes of research, aquaculture and exhibition by public institutions. </w:t>
            </w:r>
            <w:r w:rsidR="008563B8">
              <w:rPr>
                <w:rFonts w:cs="Arial"/>
                <w:sz w:val="20"/>
                <w:szCs w:val="20"/>
              </w:rPr>
              <w:t xml:space="preserve">The VFA </w:t>
            </w:r>
            <w:r w:rsidR="008970ED">
              <w:rPr>
                <w:rFonts w:cs="Arial"/>
                <w:sz w:val="20"/>
                <w:szCs w:val="20"/>
              </w:rPr>
              <w:t xml:space="preserve">implements a precautionary approach when </w:t>
            </w:r>
            <w:r w:rsidR="00AD4E86">
              <w:rPr>
                <w:rFonts w:cs="Arial"/>
                <w:sz w:val="20"/>
                <w:szCs w:val="20"/>
              </w:rPr>
              <w:t xml:space="preserve">issuing permits to harvest </w:t>
            </w:r>
            <w:r w:rsidR="004026D3">
              <w:rPr>
                <w:rFonts w:cs="Arial"/>
                <w:sz w:val="20"/>
                <w:szCs w:val="20"/>
              </w:rPr>
              <w:t>syn</w:t>
            </w:r>
            <w:r w:rsidR="002C57DF">
              <w:rPr>
                <w:rFonts w:cs="Arial"/>
                <w:sz w:val="20"/>
                <w:szCs w:val="20"/>
              </w:rPr>
              <w:t xml:space="preserve">gnathid species from the wild. </w:t>
            </w:r>
            <w:r w:rsidR="009A0E62">
              <w:rPr>
                <w:rFonts w:cs="Arial"/>
                <w:sz w:val="20"/>
                <w:szCs w:val="20"/>
              </w:rPr>
              <w:t xml:space="preserve">The harvest of </w:t>
            </w:r>
            <w:r w:rsidR="0000721D">
              <w:rPr>
                <w:rFonts w:cs="Arial"/>
                <w:sz w:val="20"/>
                <w:szCs w:val="20"/>
              </w:rPr>
              <w:t>s</w:t>
            </w:r>
            <w:r w:rsidR="009A0E62">
              <w:rPr>
                <w:rFonts w:cs="Arial"/>
                <w:sz w:val="20"/>
                <w:szCs w:val="20"/>
              </w:rPr>
              <w:t>eahorses</w:t>
            </w:r>
            <w:r w:rsidR="002A51B1">
              <w:rPr>
                <w:rFonts w:cs="Arial"/>
                <w:sz w:val="20"/>
                <w:szCs w:val="20"/>
              </w:rPr>
              <w:t xml:space="preserve"> and </w:t>
            </w:r>
            <w:r w:rsidR="0000721D">
              <w:rPr>
                <w:rFonts w:cs="Arial"/>
                <w:sz w:val="20"/>
                <w:szCs w:val="20"/>
              </w:rPr>
              <w:t>s</w:t>
            </w:r>
            <w:r w:rsidR="002A51B1">
              <w:rPr>
                <w:rFonts w:cs="Arial"/>
                <w:sz w:val="20"/>
                <w:szCs w:val="20"/>
              </w:rPr>
              <w:t xml:space="preserve">eadragons </w:t>
            </w:r>
            <w:r w:rsidR="00144B8D">
              <w:rPr>
                <w:rFonts w:cs="Arial"/>
                <w:sz w:val="20"/>
                <w:szCs w:val="20"/>
              </w:rPr>
              <w:t xml:space="preserve">is restricted to </w:t>
            </w:r>
            <w:r w:rsidR="00A055CD">
              <w:rPr>
                <w:rFonts w:cs="Arial"/>
                <w:sz w:val="20"/>
                <w:szCs w:val="20"/>
              </w:rPr>
              <w:t xml:space="preserve">very </w:t>
            </w:r>
            <w:r w:rsidR="00144B8D">
              <w:rPr>
                <w:rFonts w:cs="Arial"/>
                <w:sz w:val="20"/>
                <w:szCs w:val="20"/>
              </w:rPr>
              <w:t>low annual numbers</w:t>
            </w:r>
            <w:r w:rsidR="002A51B1">
              <w:rPr>
                <w:rFonts w:cs="Arial"/>
                <w:sz w:val="20"/>
                <w:szCs w:val="20"/>
              </w:rPr>
              <w:t>, and is</w:t>
            </w:r>
            <w:r w:rsidR="00144B8D">
              <w:rPr>
                <w:rFonts w:cs="Arial"/>
                <w:sz w:val="20"/>
                <w:szCs w:val="20"/>
              </w:rPr>
              <w:t xml:space="preserve"> only permitted by</w:t>
            </w:r>
            <w:r w:rsidR="002A51B1">
              <w:rPr>
                <w:rFonts w:cs="Arial"/>
                <w:sz w:val="20"/>
                <w:szCs w:val="20"/>
              </w:rPr>
              <w:t xml:space="preserve"> </w:t>
            </w:r>
            <w:r w:rsidR="001B483D">
              <w:rPr>
                <w:rFonts w:cs="Arial"/>
                <w:sz w:val="20"/>
                <w:szCs w:val="20"/>
              </w:rPr>
              <w:t>a small number of Victorian operators for aquarium breeding purposes.</w:t>
            </w:r>
            <w:r w:rsidR="00BB2DD2">
              <w:rPr>
                <w:rFonts w:cs="Arial"/>
                <w:sz w:val="20"/>
                <w:szCs w:val="20"/>
              </w:rPr>
              <w:t xml:space="preserve"> </w:t>
            </w:r>
            <w:r w:rsidR="00C801F4">
              <w:rPr>
                <w:rFonts w:cs="Arial"/>
                <w:sz w:val="20"/>
                <w:szCs w:val="20"/>
              </w:rPr>
              <w:t>The</w:t>
            </w:r>
            <w:r w:rsidR="007C23BC">
              <w:rPr>
                <w:rFonts w:cs="Arial"/>
                <w:sz w:val="20"/>
                <w:szCs w:val="20"/>
              </w:rPr>
              <w:t xml:space="preserve"> i</w:t>
            </w:r>
            <w:r w:rsidR="00E3684E">
              <w:rPr>
                <w:rFonts w:cs="Arial"/>
                <w:sz w:val="20"/>
                <w:szCs w:val="20"/>
              </w:rPr>
              <w:t>ncidenta</w:t>
            </w:r>
            <w:r w:rsidR="00327E3E">
              <w:rPr>
                <w:rFonts w:cs="Arial"/>
                <w:sz w:val="20"/>
                <w:szCs w:val="20"/>
              </w:rPr>
              <w:t>l catch of syngnathids</w:t>
            </w:r>
            <w:r w:rsidR="003927CF">
              <w:rPr>
                <w:rFonts w:cs="Arial"/>
                <w:sz w:val="20"/>
                <w:szCs w:val="20"/>
              </w:rPr>
              <w:t xml:space="preserve"> by other</w:t>
            </w:r>
            <w:r w:rsidR="007C23BC">
              <w:rPr>
                <w:rFonts w:cs="Arial"/>
                <w:sz w:val="20"/>
                <w:szCs w:val="20"/>
              </w:rPr>
              <w:t xml:space="preserve"> fishing activities has not been </w:t>
            </w:r>
            <w:r w:rsidR="00C801F4">
              <w:rPr>
                <w:rFonts w:cs="Arial"/>
                <w:sz w:val="20"/>
                <w:szCs w:val="20"/>
              </w:rPr>
              <w:t>publicly reported.</w:t>
            </w:r>
          </w:p>
          <w:p w14:paraId="170C6625" w14:textId="15A26A46" w:rsidR="0079682E" w:rsidRPr="007C23BC" w:rsidRDefault="0079682E" w:rsidP="007C23BC">
            <w:pPr>
              <w:spacing w:before="60" w:after="60" w:line="276" w:lineRule="auto"/>
              <w:contextualSpacing/>
              <w:rPr>
                <w:rFonts w:cs="Arial"/>
                <w:sz w:val="20"/>
                <w:szCs w:val="20"/>
                <w:highlight w:val="yellow"/>
              </w:rPr>
            </w:pPr>
          </w:p>
        </w:tc>
      </w:tr>
      <w:tr w:rsidR="00867590" w:rsidRPr="00433FCA" w14:paraId="6B177681" w14:textId="77777777" w:rsidTr="002F0C8B">
        <w:trPr>
          <w:cantSplit/>
        </w:trPr>
        <w:tc>
          <w:tcPr>
            <w:tcW w:w="1500" w:type="pct"/>
            <w:tcBorders>
              <w:bottom w:val="single" w:sz="4" w:space="0" w:color="auto"/>
            </w:tcBorders>
          </w:tcPr>
          <w:p w14:paraId="2EB21E59" w14:textId="77777777" w:rsidR="00867590" w:rsidRPr="00433FCA" w:rsidRDefault="00867590" w:rsidP="00FC2EBF">
            <w:pPr>
              <w:spacing w:before="60" w:after="60" w:line="276" w:lineRule="auto"/>
              <w:contextualSpacing/>
              <w:rPr>
                <w:rFonts w:cs="Arial"/>
                <w:sz w:val="20"/>
                <w:szCs w:val="20"/>
              </w:rPr>
            </w:pPr>
            <w:r w:rsidRPr="00433FCA">
              <w:rPr>
                <w:rFonts w:cs="Arial"/>
                <w:b/>
                <w:bCs/>
                <w:i/>
                <w:iCs/>
                <w:sz w:val="20"/>
                <w:szCs w:val="20"/>
              </w:rPr>
              <w:t xml:space="preserve">1.2.2 </w:t>
            </w:r>
            <w:r w:rsidRPr="00433FCA">
              <w:rPr>
                <w:rFonts w:cs="Arial"/>
                <w:sz w:val="20"/>
                <w:szCs w:val="20"/>
              </w:rPr>
              <w:t>If the stock is estimated as being at or below the biological and / or effort bottom line, management responses such as a zero targeted catch, temporary fishery closure or a ‘whole of fishery’ effort or quota reduction are implemented.</w:t>
            </w:r>
          </w:p>
          <w:p w14:paraId="7B9BD7E1" w14:textId="4501EE70" w:rsidR="004649FA" w:rsidRPr="00433FCA" w:rsidRDefault="004649FA" w:rsidP="00FC2EBF">
            <w:pPr>
              <w:spacing w:before="60" w:after="60" w:line="276" w:lineRule="auto"/>
              <w:contextualSpacing/>
              <w:rPr>
                <w:rFonts w:cs="Arial"/>
                <w:sz w:val="20"/>
                <w:szCs w:val="20"/>
              </w:rPr>
            </w:pPr>
          </w:p>
        </w:tc>
        <w:tc>
          <w:tcPr>
            <w:tcW w:w="3500" w:type="pct"/>
            <w:tcBorders>
              <w:bottom w:val="single" w:sz="4" w:space="0" w:color="auto"/>
            </w:tcBorders>
            <w:shd w:val="clear" w:color="auto" w:fill="auto"/>
          </w:tcPr>
          <w:p w14:paraId="45903857" w14:textId="02790E52" w:rsidR="003C01A2" w:rsidRPr="0015686A" w:rsidRDefault="003C01A2" w:rsidP="00FC2EBF">
            <w:pPr>
              <w:spacing w:before="60" w:after="60" w:line="276" w:lineRule="auto"/>
              <w:contextualSpacing/>
              <w:rPr>
                <w:rFonts w:cs="Arial"/>
                <w:b/>
                <w:bCs/>
                <w:sz w:val="20"/>
                <w:szCs w:val="20"/>
              </w:rPr>
            </w:pPr>
            <w:r w:rsidRPr="0015686A">
              <w:rPr>
                <w:rFonts w:cs="Arial"/>
                <w:b/>
                <w:bCs/>
                <w:sz w:val="20"/>
                <w:szCs w:val="20"/>
              </w:rPr>
              <w:t>Not applicable</w:t>
            </w:r>
          </w:p>
          <w:p w14:paraId="79270E2B" w14:textId="5F9CA5B3" w:rsidR="003C01A2" w:rsidRDefault="003C01A2" w:rsidP="00FC2EBF">
            <w:pPr>
              <w:spacing w:before="60" w:after="60" w:line="276" w:lineRule="auto"/>
              <w:contextualSpacing/>
              <w:rPr>
                <w:rFonts w:cs="Arial"/>
                <w:sz w:val="20"/>
                <w:szCs w:val="20"/>
              </w:rPr>
            </w:pPr>
          </w:p>
          <w:p w14:paraId="178DAC41" w14:textId="094BF395" w:rsidR="0015686A" w:rsidRDefault="0015686A" w:rsidP="00FC2EBF">
            <w:pPr>
              <w:spacing w:before="60" w:after="60" w:line="276" w:lineRule="auto"/>
              <w:contextualSpacing/>
              <w:rPr>
                <w:rFonts w:cs="Arial"/>
                <w:sz w:val="20"/>
                <w:szCs w:val="20"/>
              </w:rPr>
            </w:pPr>
            <w:r>
              <w:rPr>
                <w:rFonts w:cs="Arial"/>
                <w:sz w:val="20"/>
                <w:szCs w:val="20"/>
              </w:rPr>
              <w:t xml:space="preserve">Current stocks of targeted </w:t>
            </w:r>
            <w:r w:rsidR="004026D3">
              <w:rPr>
                <w:rFonts w:cs="Arial"/>
                <w:sz w:val="20"/>
                <w:szCs w:val="20"/>
              </w:rPr>
              <w:t>syn</w:t>
            </w:r>
            <w:r>
              <w:rPr>
                <w:rFonts w:cs="Arial"/>
                <w:sz w:val="20"/>
                <w:szCs w:val="20"/>
              </w:rPr>
              <w:t>gnathid species are not considered to be overharvested.</w:t>
            </w:r>
          </w:p>
          <w:p w14:paraId="37C3D7C7" w14:textId="77777777" w:rsidR="003C01A2" w:rsidRPr="00433FCA" w:rsidRDefault="003C01A2" w:rsidP="00FC2EBF">
            <w:pPr>
              <w:spacing w:before="60" w:after="60" w:line="276" w:lineRule="auto"/>
              <w:contextualSpacing/>
              <w:rPr>
                <w:rFonts w:cs="Arial"/>
                <w:sz w:val="20"/>
                <w:szCs w:val="20"/>
              </w:rPr>
            </w:pPr>
          </w:p>
          <w:p w14:paraId="24B5BCC4" w14:textId="2DF431A0" w:rsidR="0015686A" w:rsidRPr="0015686A" w:rsidRDefault="0015686A" w:rsidP="0015686A">
            <w:pPr>
              <w:rPr>
                <w:rFonts w:cs="Arial"/>
                <w:sz w:val="20"/>
                <w:szCs w:val="20"/>
              </w:rPr>
            </w:pPr>
          </w:p>
        </w:tc>
      </w:tr>
      <w:tr w:rsidR="00867590" w:rsidRPr="00433FCA" w14:paraId="79CFA58D" w14:textId="77777777" w:rsidTr="002F0C8B">
        <w:trPr>
          <w:cantSplit/>
        </w:trPr>
        <w:tc>
          <w:tcPr>
            <w:tcW w:w="5000" w:type="pct"/>
            <w:gridSpan w:val="2"/>
            <w:tcBorders>
              <w:top w:val="single" w:sz="4" w:space="0" w:color="auto"/>
            </w:tcBorders>
            <w:shd w:val="clear" w:color="auto" w:fill="B2A1C7"/>
          </w:tcPr>
          <w:p w14:paraId="315DE2B9" w14:textId="23160CA3" w:rsidR="00867590" w:rsidRPr="00433FCA" w:rsidRDefault="00867590" w:rsidP="00FC2EBF">
            <w:pPr>
              <w:autoSpaceDE w:val="0"/>
              <w:autoSpaceDN w:val="0"/>
              <w:adjustRightInd w:val="0"/>
              <w:spacing w:before="60" w:after="60" w:line="276" w:lineRule="auto"/>
              <w:contextualSpacing/>
              <w:rPr>
                <w:rFonts w:cs="Arial"/>
                <w:sz w:val="20"/>
                <w:szCs w:val="20"/>
              </w:rPr>
            </w:pPr>
            <w:r w:rsidRPr="00433FCA">
              <w:rPr>
                <w:rFonts w:cs="Arial"/>
                <w:b/>
                <w:bCs/>
                <w:sz w:val="20"/>
                <w:szCs w:val="20"/>
              </w:rPr>
              <w:t xml:space="preserve">PRINCIPLE 2 - </w:t>
            </w:r>
            <w:r w:rsidRPr="00433FCA">
              <w:rPr>
                <w:rFonts w:cs="Arial"/>
                <w:sz w:val="20"/>
                <w:szCs w:val="20"/>
              </w:rPr>
              <w:t>Fishing operations should be managed to minimise</w:t>
            </w:r>
            <w:r w:rsidR="006B6EF9" w:rsidRPr="00433FCA">
              <w:rPr>
                <w:rFonts w:cs="Arial"/>
                <w:sz w:val="20"/>
                <w:szCs w:val="20"/>
              </w:rPr>
              <w:t xml:space="preserve"> their impact on the structure, </w:t>
            </w:r>
            <w:r w:rsidRPr="00433FCA">
              <w:rPr>
                <w:rFonts w:cs="Arial"/>
                <w:sz w:val="20"/>
                <w:szCs w:val="20"/>
              </w:rPr>
              <w:t>productivity, function and biological diversity of the ecosystem.</w:t>
            </w:r>
          </w:p>
        </w:tc>
      </w:tr>
      <w:tr w:rsidR="00867590" w:rsidRPr="00433FCA" w14:paraId="5D87684C" w14:textId="77777777" w:rsidTr="002F0C8B">
        <w:trPr>
          <w:cantSplit/>
        </w:trPr>
        <w:tc>
          <w:tcPr>
            <w:tcW w:w="5000" w:type="pct"/>
            <w:gridSpan w:val="2"/>
            <w:shd w:val="clear" w:color="auto" w:fill="CCC0D9"/>
          </w:tcPr>
          <w:p w14:paraId="1117EA62" w14:textId="58F055E1" w:rsidR="00867590" w:rsidRPr="00433FCA" w:rsidRDefault="00867590" w:rsidP="00FC2EBF">
            <w:pPr>
              <w:autoSpaceDE w:val="0"/>
              <w:autoSpaceDN w:val="0"/>
              <w:adjustRightInd w:val="0"/>
              <w:spacing w:before="60" w:after="60" w:line="276" w:lineRule="auto"/>
              <w:contextualSpacing/>
              <w:rPr>
                <w:rFonts w:cs="Arial"/>
                <w:sz w:val="20"/>
                <w:szCs w:val="20"/>
              </w:rPr>
            </w:pPr>
            <w:r w:rsidRPr="00433FCA">
              <w:rPr>
                <w:rFonts w:cs="Arial"/>
                <w:b/>
                <w:bCs/>
                <w:sz w:val="20"/>
                <w:szCs w:val="20"/>
              </w:rPr>
              <w:t xml:space="preserve">Objective 1 - </w:t>
            </w:r>
            <w:r w:rsidRPr="00433FCA">
              <w:rPr>
                <w:rFonts w:cs="Arial"/>
                <w:sz w:val="20"/>
                <w:szCs w:val="20"/>
              </w:rPr>
              <w:t>The fishery is conducted in a manner that does not threat</w:t>
            </w:r>
            <w:r w:rsidR="006B6EF9" w:rsidRPr="00433FCA">
              <w:rPr>
                <w:rFonts w:cs="Arial"/>
                <w:sz w:val="20"/>
                <w:szCs w:val="20"/>
              </w:rPr>
              <w:t xml:space="preserve">en bycatch </w:t>
            </w:r>
            <w:r w:rsidRPr="00433FCA">
              <w:rPr>
                <w:rFonts w:cs="Arial"/>
                <w:sz w:val="20"/>
                <w:szCs w:val="20"/>
              </w:rPr>
              <w:t>species.</w:t>
            </w:r>
          </w:p>
        </w:tc>
      </w:tr>
      <w:tr w:rsidR="00867590" w:rsidRPr="00433FCA" w14:paraId="0E8276E1" w14:textId="77777777" w:rsidTr="002F0C8B">
        <w:trPr>
          <w:cantSplit/>
        </w:trPr>
        <w:tc>
          <w:tcPr>
            <w:tcW w:w="5000" w:type="pct"/>
            <w:gridSpan w:val="2"/>
            <w:shd w:val="clear" w:color="auto" w:fill="E5DFEC"/>
          </w:tcPr>
          <w:p w14:paraId="2EB91C61" w14:textId="77777777" w:rsidR="00867590" w:rsidRPr="00433FCA" w:rsidRDefault="00867590" w:rsidP="00FC2EBF">
            <w:pPr>
              <w:spacing w:before="60" w:after="60" w:line="276" w:lineRule="auto"/>
              <w:contextualSpacing/>
              <w:rPr>
                <w:rFonts w:cs="Arial"/>
                <w:b/>
                <w:bCs/>
                <w:i/>
                <w:iCs/>
                <w:sz w:val="20"/>
                <w:szCs w:val="20"/>
              </w:rPr>
            </w:pPr>
            <w:r w:rsidRPr="00433FCA">
              <w:rPr>
                <w:rFonts w:cs="Arial"/>
                <w:b/>
                <w:bCs/>
                <w:i/>
                <w:iCs/>
                <w:sz w:val="20"/>
                <w:szCs w:val="20"/>
              </w:rPr>
              <w:t>Information requirements</w:t>
            </w:r>
          </w:p>
        </w:tc>
      </w:tr>
      <w:tr w:rsidR="00867590" w:rsidRPr="00433FCA" w14:paraId="5E08C7C1" w14:textId="77777777" w:rsidTr="00074553">
        <w:trPr>
          <w:cantSplit/>
        </w:trPr>
        <w:tc>
          <w:tcPr>
            <w:tcW w:w="1500" w:type="pct"/>
            <w:shd w:val="clear" w:color="auto" w:fill="92D050"/>
          </w:tcPr>
          <w:p w14:paraId="02430850" w14:textId="77777777" w:rsidR="00867590" w:rsidRPr="00433FCA" w:rsidRDefault="00867590" w:rsidP="00FC2EBF">
            <w:pPr>
              <w:spacing w:before="60" w:after="60" w:line="276" w:lineRule="auto"/>
              <w:contextualSpacing/>
              <w:rPr>
                <w:rFonts w:cs="Arial"/>
                <w:sz w:val="20"/>
                <w:szCs w:val="20"/>
              </w:rPr>
            </w:pPr>
            <w:r w:rsidRPr="00433FCA">
              <w:rPr>
                <w:rFonts w:cs="Arial"/>
                <w:b/>
                <w:bCs/>
                <w:i/>
                <w:iCs/>
                <w:sz w:val="20"/>
                <w:szCs w:val="20"/>
              </w:rPr>
              <w:t xml:space="preserve">2.1.1 </w:t>
            </w:r>
            <w:r w:rsidRPr="00433FCA">
              <w:rPr>
                <w:rFonts w:cs="Arial"/>
                <w:sz w:val="20"/>
                <w:szCs w:val="20"/>
              </w:rPr>
              <w:t>Reliable information, appropriate to the scale of the fishery, is collected on the composition and abundance of bycatch.</w:t>
            </w:r>
          </w:p>
          <w:p w14:paraId="1F0D0CE5" w14:textId="47D691DD" w:rsidR="004649FA" w:rsidRPr="00433FCA" w:rsidRDefault="004649FA" w:rsidP="00FC2EBF">
            <w:pPr>
              <w:spacing w:before="60" w:after="60" w:line="276" w:lineRule="auto"/>
              <w:contextualSpacing/>
              <w:rPr>
                <w:rFonts w:cs="Arial"/>
                <w:sz w:val="20"/>
                <w:szCs w:val="20"/>
              </w:rPr>
            </w:pPr>
          </w:p>
        </w:tc>
        <w:tc>
          <w:tcPr>
            <w:tcW w:w="3500" w:type="pct"/>
            <w:shd w:val="clear" w:color="auto" w:fill="auto"/>
          </w:tcPr>
          <w:p w14:paraId="0B192B87" w14:textId="00F7FD20" w:rsidR="00C74B33" w:rsidRPr="00663CE4" w:rsidRDefault="00663CE4" w:rsidP="00FC2EBF">
            <w:pPr>
              <w:spacing w:before="60" w:after="60" w:line="276" w:lineRule="auto"/>
              <w:contextualSpacing/>
              <w:rPr>
                <w:rFonts w:cs="Arial"/>
                <w:bCs/>
                <w:sz w:val="20"/>
                <w:szCs w:val="20"/>
              </w:rPr>
            </w:pPr>
            <w:r w:rsidRPr="00663CE4">
              <w:rPr>
                <w:rFonts w:cs="Arial"/>
                <w:b/>
                <w:sz w:val="20"/>
                <w:szCs w:val="20"/>
              </w:rPr>
              <w:t>Meets</w:t>
            </w:r>
          </w:p>
          <w:p w14:paraId="5AA81059" w14:textId="77777777" w:rsidR="00C74B33" w:rsidRPr="00433FCA" w:rsidRDefault="00C74B33" w:rsidP="00FC2EBF">
            <w:pPr>
              <w:spacing w:before="60" w:after="60" w:line="276" w:lineRule="auto"/>
              <w:contextualSpacing/>
              <w:rPr>
                <w:rFonts w:cs="Arial"/>
                <w:sz w:val="20"/>
                <w:szCs w:val="20"/>
              </w:rPr>
            </w:pPr>
          </w:p>
          <w:p w14:paraId="060A59C9" w14:textId="4CC443AC" w:rsidR="00867590" w:rsidRDefault="00BD7326" w:rsidP="00FC2EBF">
            <w:pPr>
              <w:spacing w:before="60" w:after="60" w:line="276" w:lineRule="auto"/>
              <w:contextualSpacing/>
              <w:rPr>
                <w:rFonts w:cs="Arial"/>
                <w:sz w:val="20"/>
                <w:szCs w:val="20"/>
              </w:rPr>
            </w:pPr>
            <w:r w:rsidRPr="00BD7326">
              <w:rPr>
                <w:rFonts w:cs="Arial"/>
                <w:sz w:val="20"/>
                <w:szCs w:val="20"/>
              </w:rPr>
              <w:t xml:space="preserve">The composition and abundance of bycatch species is not impacted by this operation. The highly selective fishing method (hand collection) is used to harvest target species only. </w:t>
            </w:r>
          </w:p>
          <w:p w14:paraId="2508CF63" w14:textId="3F3F9A2C" w:rsidR="00663CE4" w:rsidRPr="00433FCA" w:rsidRDefault="00663CE4" w:rsidP="00FC2EBF">
            <w:pPr>
              <w:spacing w:before="60" w:after="60" w:line="276" w:lineRule="auto"/>
              <w:contextualSpacing/>
              <w:rPr>
                <w:rFonts w:cs="Arial"/>
                <w:sz w:val="20"/>
                <w:szCs w:val="20"/>
              </w:rPr>
            </w:pPr>
          </w:p>
        </w:tc>
      </w:tr>
      <w:tr w:rsidR="00867590" w:rsidRPr="00433FCA" w14:paraId="5A548CAF" w14:textId="77777777" w:rsidTr="002F0C8B">
        <w:trPr>
          <w:cantSplit/>
        </w:trPr>
        <w:tc>
          <w:tcPr>
            <w:tcW w:w="5000" w:type="pct"/>
            <w:gridSpan w:val="2"/>
            <w:shd w:val="clear" w:color="auto" w:fill="E5DFEC"/>
          </w:tcPr>
          <w:p w14:paraId="569CD998" w14:textId="072C4A7D" w:rsidR="00867590" w:rsidRPr="00433FCA" w:rsidRDefault="006B6EF9" w:rsidP="00FC2EBF">
            <w:pPr>
              <w:spacing w:before="60" w:after="60" w:line="276" w:lineRule="auto"/>
              <w:contextualSpacing/>
              <w:rPr>
                <w:rFonts w:cs="Arial"/>
                <w:b/>
                <w:bCs/>
                <w:i/>
                <w:iCs/>
                <w:sz w:val="20"/>
                <w:szCs w:val="20"/>
              </w:rPr>
            </w:pPr>
            <w:r w:rsidRPr="00433FCA">
              <w:rPr>
                <w:rFonts w:cs="Arial"/>
                <w:b/>
                <w:bCs/>
                <w:i/>
                <w:iCs/>
                <w:sz w:val="20"/>
                <w:szCs w:val="20"/>
              </w:rPr>
              <w:t xml:space="preserve">Assessment </w:t>
            </w:r>
          </w:p>
        </w:tc>
      </w:tr>
      <w:tr w:rsidR="00867590" w:rsidRPr="00433FCA" w14:paraId="1D967E4E" w14:textId="77777777" w:rsidTr="002F0C8B">
        <w:trPr>
          <w:cantSplit/>
        </w:trPr>
        <w:tc>
          <w:tcPr>
            <w:tcW w:w="1500" w:type="pct"/>
          </w:tcPr>
          <w:p w14:paraId="60A29F94" w14:textId="77777777" w:rsidR="00867590" w:rsidRPr="00433FCA" w:rsidRDefault="00867590" w:rsidP="00FC2EBF">
            <w:pPr>
              <w:spacing w:before="60" w:after="60" w:line="276" w:lineRule="auto"/>
              <w:contextualSpacing/>
              <w:rPr>
                <w:rFonts w:cs="Arial"/>
                <w:sz w:val="20"/>
                <w:szCs w:val="20"/>
              </w:rPr>
            </w:pPr>
            <w:r w:rsidRPr="00433FCA">
              <w:rPr>
                <w:rFonts w:cs="Arial"/>
                <w:b/>
                <w:bCs/>
                <w:i/>
                <w:iCs/>
                <w:sz w:val="20"/>
                <w:szCs w:val="20"/>
              </w:rPr>
              <w:t xml:space="preserve">2.1.2 </w:t>
            </w:r>
            <w:r w:rsidRPr="00433FCA">
              <w:rPr>
                <w:rFonts w:cs="Arial"/>
                <w:sz w:val="20"/>
                <w:szCs w:val="20"/>
              </w:rPr>
              <w:t>There is a risk analysis of the bycatch with respect to its vulnerability to fishing.</w:t>
            </w:r>
          </w:p>
          <w:p w14:paraId="14903CA2" w14:textId="405C7162" w:rsidR="004649FA" w:rsidRPr="00433FCA" w:rsidRDefault="004649FA" w:rsidP="00FC2EBF">
            <w:pPr>
              <w:spacing w:before="60" w:after="60" w:line="276" w:lineRule="auto"/>
              <w:contextualSpacing/>
              <w:rPr>
                <w:rFonts w:cs="Arial"/>
                <w:sz w:val="20"/>
                <w:szCs w:val="20"/>
              </w:rPr>
            </w:pPr>
          </w:p>
        </w:tc>
        <w:tc>
          <w:tcPr>
            <w:tcW w:w="3500" w:type="pct"/>
            <w:shd w:val="clear" w:color="auto" w:fill="auto"/>
          </w:tcPr>
          <w:p w14:paraId="0D535294" w14:textId="77777777" w:rsidR="00867590" w:rsidRPr="00927832" w:rsidRDefault="005A395B" w:rsidP="00FC2EBF">
            <w:pPr>
              <w:spacing w:before="60" w:after="60" w:line="276" w:lineRule="auto"/>
              <w:contextualSpacing/>
              <w:rPr>
                <w:rFonts w:cs="Arial"/>
                <w:b/>
                <w:bCs/>
                <w:sz w:val="20"/>
                <w:szCs w:val="20"/>
              </w:rPr>
            </w:pPr>
            <w:r w:rsidRPr="00927832">
              <w:rPr>
                <w:rFonts w:cs="Arial"/>
                <w:b/>
                <w:bCs/>
                <w:sz w:val="20"/>
                <w:szCs w:val="20"/>
              </w:rPr>
              <w:t>Not applicable</w:t>
            </w:r>
          </w:p>
          <w:p w14:paraId="4E6D608E" w14:textId="77777777" w:rsidR="005A395B" w:rsidRDefault="005A395B" w:rsidP="00FC2EBF">
            <w:pPr>
              <w:spacing w:before="60" w:after="60" w:line="276" w:lineRule="auto"/>
              <w:contextualSpacing/>
              <w:rPr>
                <w:rFonts w:cs="Arial"/>
                <w:sz w:val="20"/>
                <w:szCs w:val="20"/>
              </w:rPr>
            </w:pPr>
          </w:p>
          <w:p w14:paraId="75E91833" w14:textId="7C14E437" w:rsidR="00927832" w:rsidRPr="00927832" w:rsidRDefault="00927832" w:rsidP="00927832">
            <w:pPr>
              <w:spacing w:before="60" w:after="60" w:line="276" w:lineRule="auto"/>
              <w:contextualSpacing/>
              <w:rPr>
                <w:rFonts w:cs="Arial"/>
                <w:sz w:val="20"/>
                <w:szCs w:val="20"/>
              </w:rPr>
            </w:pPr>
            <w:r w:rsidRPr="00927832">
              <w:rPr>
                <w:rFonts w:cs="Arial"/>
                <w:sz w:val="20"/>
                <w:szCs w:val="20"/>
              </w:rPr>
              <w:t xml:space="preserve">The use of a highly selective fishing method (hand collection) means that bycatch species are not captured. </w:t>
            </w:r>
            <w:r w:rsidR="0021324A">
              <w:rPr>
                <w:rFonts w:cs="Arial"/>
                <w:sz w:val="20"/>
                <w:szCs w:val="20"/>
              </w:rPr>
              <w:t>Further</w:t>
            </w:r>
            <w:r w:rsidRPr="00927832">
              <w:rPr>
                <w:rFonts w:cs="Arial"/>
                <w:sz w:val="20"/>
                <w:szCs w:val="20"/>
              </w:rPr>
              <w:t xml:space="preserve"> risk analysis is not required</w:t>
            </w:r>
            <w:r w:rsidR="0021324A">
              <w:rPr>
                <w:rFonts w:cs="Arial"/>
                <w:sz w:val="20"/>
                <w:szCs w:val="20"/>
              </w:rPr>
              <w:t xml:space="preserve"> for this operation</w:t>
            </w:r>
            <w:r w:rsidRPr="00927832">
              <w:rPr>
                <w:rFonts w:cs="Arial"/>
                <w:sz w:val="20"/>
                <w:szCs w:val="20"/>
              </w:rPr>
              <w:t>.</w:t>
            </w:r>
          </w:p>
          <w:p w14:paraId="685B9CAD" w14:textId="5093BAAD" w:rsidR="005A395B" w:rsidRPr="00433FCA" w:rsidRDefault="005A395B" w:rsidP="00FC2EBF">
            <w:pPr>
              <w:spacing w:before="60" w:after="60" w:line="276" w:lineRule="auto"/>
              <w:contextualSpacing/>
              <w:rPr>
                <w:rFonts w:cs="Arial"/>
                <w:sz w:val="20"/>
                <w:szCs w:val="20"/>
              </w:rPr>
            </w:pPr>
          </w:p>
        </w:tc>
      </w:tr>
      <w:tr w:rsidR="00867590" w:rsidRPr="00433FCA" w14:paraId="6992A61D" w14:textId="77777777" w:rsidTr="002F0C8B">
        <w:trPr>
          <w:cantSplit/>
        </w:trPr>
        <w:tc>
          <w:tcPr>
            <w:tcW w:w="5000" w:type="pct"/>
            <w:gridSpan w:val="2"/>
            <w:shd w:val="clear" w:color="auto" w:fill="E5DFEC"/>
          </w:tcPr>
          <w:p w14:paraId="31782791" w14:textId="77777777" w:rsidR="00867590" w:rsidRPr="00433FCA" w:rsidRDefault="00867590" w:rsidP="00FC2EBF">
            <w:pPr>
              <w:spacing w:before="60" w:after="60" w:line="276" w:lineRule="auto"/>
              <w:contextualSpacing/>
              <w:rPr>
                <w:rFonts w:cs="Arial"/>
                <w:b/>
                <w:bCs/>
                <w:i/>
                <w:iCs/>
                <w:sz w:val="20"/>
                <w:szCs w:val="20"/>
              </w:rPr>
            </w:pPr>
            <w:r w:rsidRPr="00433FCA">
              <w:rPr>
                <w:rFonts w:cs="Arial"/>
                <w:b/>
                <w:bCs/>
                <w:i/>
                <w:iCs/>
                <w:sz w:val="20"/>
                <w:szCs w:val="20"/>
              </w:rPr>
              <w:t>Management responses</w:t>
            </w:r>
          </w:p>
        </w:tc>
      </w:tr>
      <w:tr w:rsidR="00867590" w:rsidRPr="00433FCA" w14:paraId="6D4F0012" w14:textId="77777777" w:rsidTr="002F0C8B">
        <w:trPr>
          <w:cantSplit/>
        </w:trPr>
        <w:tc>
          <w:tcPr>
            <w:tcW w:w="1500" w:type="pct"/>
          </w:tcPr>
          <w:p w14:paraId="2932E34B" w14:textId="77777777" w:rsidR="004649FA" w:rsidRPr="00433FCA" w:rsidRDefault="00867590" w:rsidP="00FC2EBF">
            <w:pPr>
              <w:spacing w:before="60" w:after="60" w:line="276" w:lineRule="auto"/>
              <w:contextualSpacing/>
              <w:rPr>
                <w:rFonts w:cs="Arial"/>
                <w:sz w:val="20"/>
                <w:szCs w:val="20"/>
              </w:rPr>
            </w:pPr>
            <w:r w:rsidRPr="00433FCA">
              <w:rPr>
                <w:rFonts w:cs="Arial"/>
                <w:b/>
                <w:bCs/>
                <w:i/>
                <w:iCs/>
                <w:sz w:val="20"/>
                <w:szCs w:val="20"/>
              </w:rPr>
              <w:t xml:space="preserve">2.1.3 </w:t>
            </w:r>
            <w:r w:rsidRPr="00433FCA">
              <w:rPr>
                <w:rFonts w:cs="Arial"/>
                <w:sz w:val="20"/>
                <w:szCs w:val="20"/>
              </w:rPr>
              <w:t>Measures are in place to avoid capture and mortality of bycatch species unless it is determined that the level of catch is sustainable (except in relation to endangered, threatened or protected species). Steps must be taken to develop suitable technology if none is available.</w:t>
            </w:r>
          </w:p>
          <w:p w14:paraId="01AF2695" w14:textId="00C53DF4" w:rsidR="00F8472A" w:rsidRPr="00433FCA" w:rsidRDefault="00F8472A" w:rsidP="00FC2EBF">
            <w:pPr>
              <w:spacing w:before="60" w:after="60" w:line="276" w:lineRule="auto"/>
              <w:contextualSpacing/>
              <w:rPr>
                <w:rFonts w:cs="Arial"/>
                <w:sz w:val="20"/>
                <w:szCs w:val="20"/>
              </w:rPr>
            </w:pPr>
          </w:p>
        </w:tc>
        <w:tc>
          <w:tcPr>
            <w:tcW w:w="3500" w:type="pct"/>
            <w:shd w:val="clear" w:color="auto" w:fill="auto"/>
          </w:tcPr>
          <w:p w14:paraId="39ABA325" w14:textId="5A2EC70A" w:rsidR="00C74B33" w:rsidRDefault="00773325" w:rsidP="00FC2EBF">
            <w:pPr>
              <w:spacing w:before="60" w:after="60" w:line="276" w:lineRule="auto"/>
              <w:contextualSpacing/>
              <w:rPr>
                <w:rFonts w:cs="Arial"/>
                <w:b/>
                <w:sz w:val="20"/>
                <w:szCs w:val="20"/>
              </w:rPr>
            </w:pPr>
            <w:r>
              <w:rPr>
                <w:rFonts w:cs="Arial"/>
                <w:b/>
                <w:sz w:val="20"/>
                <w:szCs w:val="20"/>
              </w:rPr>
              <w:t>Not applicable</w:t>
            </w:r>
          </w:p>
          <w:p w14:paraId="4F96A705" w14:textId="6192433B" w:rsidR="00773325" w:rsidRDefault="00773325" w:rsidP="00FC2EBF">
            <w:pPr>
              <w:spacing w:before="60" w:after="60" w:line="276" w:lineRule="auto"/>
              <w:contextualSpacing/>
              <w:rPr>
                <w:rFonts w:cs="Arial"/>
                <w:sz w:val="20"/>
                <w:szCs w:val="20"/>
              </w:rPr>
            </w:pPr>
          </w:p>
          <w:p w14:paraId="2F29AFEE" w14:textId="034B1AF8" w:rsidR="0023203E" w:rsidRPr="0023203E" w:rsidRDefault="006957E0" w:rsidP="0023203E">
            <w:pPr>
              <w:spacing w:before="60" w:after="60" w:line="276" w:lineRule="auto"/>
              <w:contextualSpacing/>
              <w:rPr>
                <w:rFonts w:cs="Arial"/>
                <w:sz w:val="20"/>
                <w:szCs w:val="20"/>
              </w:rPr>
            </w:pPr>
            <w:r w:rsidRPr="006957E0">
              <w:rPr>
                <w:rFonts w:cs="Arial"/>
                <w:sz w:val="20"/>
                <w:szCs w:val="20"/>
              </w:rPr>
              <w:t>The use of a highly selective fishing method (hand collection) means that bycatch species are not captured. No further measures are required to avoid</w:t>
            </w:r>
            <w:r w:rsidR="00441EF9">
              <w:rPr>
                <w:rFonts w:cs="Arial"/>
                <w:sz w:val="20"/>
                <w:szCs w:val="20"/>
              </w:rPr>
              <w:t xml:space="preserve"> the</w:t>
            </w:r>
            <w:r w:rsidRPr="006957E0">
              <w:rPr>
                <w:rFonts w:cs="Arial"/>
                <w:sz w:val="20"/>
                <w:szCs w:val="20"/>
              </w:rPr>
              <w:t xml:space="preserve"> capture and mortality</w:t>
            </w:r>
            <w:r w:rsidR="00441EF9">
              <w:rPr>
                <w:rFonts w:cs="Arial"/>
                <w:sz w:val="20"/>
                <w:szCs w:val="20"/>
              </w:rPr>
              <w:t xml:space="preserve"> of non-target species</w:t>
            </w:r>
            <w:r w:rsidRPr="006957E0">
              <w:rPr>
                <w:rFonts w:cs="Arial"/>
                <w:sz w:val="20"/>
                <w:szCs w:val="20"/>
              </w:rPr>
              <w:t>.</w:t>
            </w:r>
          </w:p>
        </w:tc>
      </w:tr>
      <w:tr w:rsidR="00867590" w:rsidRPr="00433FCA" w14:paraId="5C320E4B" w14:textId="77777777" w:rsidTr="002F0C8B">
        <w:trPr>
          <w:cantSplit/>
        </w:trPr>
        <w:tc>
          <w:tcPr>
            <w:tcW w:w="1500" w:type="pct"/>
          </w:tcPr>
          <w:p w14:paraId="3EED2BF3" w14:textId="77777777" w:rsidR="00867590" w:rsidRPr="00433FCA" w:rsidRDefault="00867590" w:rsidP="00FC2EBF">
            <w:pPr>
              <w:spacing w:before="60" w:after="60" w:line="276" w:lineRule="auto"/>
              <w:contextualSpacing/>
              <w:rPr>
                <w:rFonts w:cs="Arial"/>
                <w:sz w:val="20"/>
                <w:szCs w:val="20"/>
              </w:rPr>
            </w:pPr>
            <w:r w:rsidRPr="00433FCA">
              <w:rPr>
                <w:rFonts w:cs="Arial"/>
                <w:b/>
                <w:bCs/>
                <w:i/>
                <w:iCs/>
                <w:sz w:val="20"/>
                <w:szCs w:val="20"/>
              </w:rPr>
              <w:t xml:space="preserve">2.1.4 </w:t>
            </w:r>
            <w:r w:rsidRPr="00433FCA">
              <w:rPr>
                <w:rFonts w:cs="Arial"/>
                <w:sz w:val="20"/>
                <w:szCs w:val="20"/>
              </w:rPr>
              <w:t xml:space="preserve">An indicator group of bycatch species is monitored. </w:t>
            </w:r>
          </w:p>
          <w:p w14:paraId="67507739" w14:textId="18BD4048" w:rsidR="004649FA" w:rsidRPr="00433FCA" w:rsidRDefault="004649FA" w:rsidP="00FC2EBF">
            <w:pPr>
              <w:spacing w:before="60" w:after="60" w:line="276" w:lineRule="auto"/>
              <w:contextualSpacing/>
              <w:rPr>
                <w:rFonts w:cs="Arial"/>
                <w:sz w:val="20"/>
                <w:szCs w:val="20"/>
              </w:rPr>
            </w:pPr>
          </w:p>
        </w:tc>
        <w:tc>
          <w:tcPr>
            <w:tcW w:w="3500" w:type="pct"/>
            <w:shd w:val="clear" w:color="auto" w:fill="auto"/>
          </w:tcPr>
          <w:p w14:paraId="19E898B3" w14:textId="78D7BF74" w:rsidR="005806BB" w:rsidRDefault="006957E0" w:rsidP="00FC2EBF">
            <w:pPr>
              <w:spacing w:before="60" w:after="60" w:line="276" w:lineRule="auto"/>
              <w:contextualSpacing/>
              <w:rPr>
                <w:rFonts w:cs="Arial"/>
                <w:b/>
                <w:sz w:val="20"/>
                <w:szCs w:val="20"/>
              </w:rPr>
            </w:pPr>
            <w:r w:rsidRPr="006957E0">
              <w:rPr>
                <w:rFonts w:cs="Arial"/>
                <w:b/>
                <w:sz w:val="20"/>
                <w:szCs w:val="20"/>
              </w:rPr>
              <w:t>Not applicable</w:t>
            </w:r>
          </w:p>
          <w:p w14:paraId="07D8BE9A" w14:textId="2114DE5B" w:rsidR="006957E0" w:rsidRDefault="006957E0" w:rsidP="00FC2EBF">
            <w:pPr>
              <w:spacing w:before="60" w:after="60" w:line="276" w:lineRule="auto"/>
              <w:contextualSpacing/>
              <w:rPr>
                <w:rFonts w:cs="Arial"/>
                <w:b/>
                <w:sz w:val="20"/>
                <w:szCs w:val="20"/>
              </w:rPr>
            </w:pPr>
          </w:p>
          <w:p w14:paraId="26C4B684" w14:textId="71C35A45" w:rsidR="00DC2EC7" w:rsidRPr="00DC2EC7" w:rsidRDefault="00DC2EC7" w:rsidP="00DC2EC7">
            <w:pPr>
              <w:spacing w:before="60" w:after="60" w:line="276" w:lineRule="auto"/>
              <w:contextualSpacing/>
              <w:rPr>
                <w:rFonts w:cs="Arial"/>
                <w:bCs/>
                <w:sz w:val="20"/>
                <w:szCs w:val="20"/>
              </w:rPr>
            </w:pPr>
            <w:r w:rsidRPr="00DC2EC7">
              <w:rPr>
                <w:rFonts w:cs="Arial"/>
                <w:bCs/>
                <w:sz w:val="20"/>
                <w:szCs w:val="20"/>
              </w:rPr>
              <w:t xml:space="preserve">The use of a highly selective fishing method (hand collection) means that bycatch species are not captured. No further monitoring </w:t>
            </w:r>
            <w:r w:rsidR="002F7D32">
              <w:rPr>
                <w:rFonts w:cs="Arial"/>
                <w:bCs/>
                <w:sz w:val="20"/>
                <w:szCs w:val="20"/>
              </w:rPr>
              <w:t xml:space="preserve">of an indicator group </w:t>
            </w:r>
            <w:r w:rsidRPr="00DC2EC7">
              <w:rPr>
                <w:rFonts w:cs="Arial"/>
                <w:bCs/>
                <w:sz w:val="20"/>
                <w:szCs w:val="20"/>
              </w:rPr>
              <w:t xml:space="preserve">is required. </w:t>
            </w:r>
          </w:p>
          <w:p w14:paraId="71A1832B" w14:textId="0AA5E726" w:rsidR="00867590" w:rsidRPr="00433FCA" w:rsidRDefault="00867590" w:rsidP="00FC2EBF">
            <w:pPr>
              <w:spacing w:before="60" w:after="60" w:line="276" w:lineRule="auto"/>
              <w:contextualSpacing/>
              <w:rPr>
                <w:rFonts w:cs="Arial"/>
                <w:sz w:val="20"/>
                <w:szCs w:val="20"/>
              </w:rPr>
            </w:pPr>
          </w:p>
        </w:tc>
      </w:tr>
      <w:tr w:rsidR="00867590" w:rsidRPr="00433FCA" w14:paraId="3677D1E6" w14:textId="77777777" w:rsidTr="002F0C8B">
        <w:trPr>
          <w:cantSplit/>
        </w:trPr>
        <w:tc>
          <w:tcPr>
            <w:tcW w:w="1500" w:type="pct"/>
          </w:tcPr>
          <w:p w14:paraId="2BBBF1A7" w14:textId="77777777" w:rsidR="00867590" w:rsidRPr="00433FCA" w:rsidRDefault="00867590" w:rsidP="00FC2EBF">
            <w:pPr>
              <w:spacing w:before="60" w:after="60" w:line="276" w:lineRule="auto"/>
              <w:contextualSpacing/>
              <w:rPr>
                <w:rFonts w:cs="Arial"/>
                <w:i/>
                <w:iCs/>
                <w:sz w:val="20"/>
                <w:szCs w:val="20"/>
              </w:rPr>
            </w:pPr>
            <w:r w:rsidRPr="00433FCA">
              <w:rPr>
                <w:rFonts w:cs="Arial"/>
                <w:b/>
                <w:bCs/>
                <w:i/>
                <w:iCs/>
                <w:sz w:val="20"/>
                <w:szCs w:val="20"/>
              </w:rPr>
              <w:t xml:space="preserve">2.1.5 </w:t>
            </w:r>
            <w:r w:rsidRPr="00433FCA">
              <w:rPr>
                <w:rFonts w:cs="Arial"/>
                <w:sz w:val="20"/>
                <w:szCs w:val="20"/>
              </w:rPr>
              <w:t>There are decision rules that trigger additional management measures when there are significant perturbations in the indicator species numbers</w:t>
            </w:r>
            <w:r w:rsidRPr="00433FCA">
              <w:rPr>
                <w:rFonts w:cs="Arial"/>
                <w:i/>
                <w:iCs/>
                <w:sz w:val="20"/>
                <w:szCs w:val="20"/>
              </w:rPr>
              <w:t xml:space="preserve">. </w:t>
            </w:r>
          </w:p>
          <w:p w14:paraId="075B2EE3" w14:textId="59BE1E26" w:rsidR="004649FA" w:rsidRPr="00433FCA" w:rsidRDefault="004649FA" w:rsidP="00FC2EBF">
            <w:pPr>
              <w:spacing w:before="60" w:after="60" w:line="276" w:lineRule="auto"/>
              <w:contextualSpacing/>
              <w:rPr>
                <w:rFonts w:cs="Arial"/>
                <w:b/>
                <w:bCs/>
                <w:i/>
                <w:iCs/>
                <w:sz w:val="20"/>
                <w:szCs w:val="20"/>
              </w:rPr>
            </w:pPr>
          </w:p>
        </w:tc>
        <w:tc>
          <w:tcPr>
            <w:tcW w:w="3500" w:type="pct"/>
            <w:shd w:val="clear" w:color="auto" w:fill="auto"/>
          </w:tcPr>
          <w:p w14:paraId="72EA651C" w14:textId="29988DFB" w:rsidR="00633983" w:rsidRPr="00633983" w:rsidRDefault="00633983" w:rsidP="00FC2EBF">
            <w:pPr>
              <w:spacing w:before="60" w:after="60" w:line="276" w:lineRule="auto"/>
              <w:contextualSpacing/>
              <w:rPr>
                <w:rFonts w:cs="Arial"/>
                <w:b/>
                <w:sz w:val="20"/>
                <w:szCs w:val="20"/>
              </w:rPr>
            </w:pPr>
            <w:r w:rsidRPr="00633983">
              <w:rPr>
                <w:rFonts w:cs="Arial"/>
                <w:b/>
                <w:sz w:val="20"/>
                <w:szCs w:val="20"/>
              </w:rPr>
              <w:t>Not applicable</w:t>
            </w:r>
          </w:p>
          <w:p w14:paraId="67406D1B" w14:textId="5C8B9113" w:rsidR="00C74B33" w:rsidRDefault="00C74B33" w:rsidP="00FC2EBF">
            <w:pPr>
              <w:spacing w:before="60" w:after="60" w:line="276" w:lineRule="auto"/>
              <w:contextualSpacing/>
              <w:rPr>
                <w:rFonts w:cs="Arial"/>
                <w:sz w:val="20"/>
                <w:szCs w:val="20"/>
              </w:rPr>
            </w:pPr>
          </w:p>
          <w:p w14:paraId="71497D43" w14:textId="133D724A" w:rsidR="00633983" w:rsidRPr="00433FCA" w:rsidRDefault="00633983" w:rsidP="00FC2EBF">
            <w:pPr>
              <w:spacing w:before="60" w:after="60" w:line="276" w:lineRule="auto"/>
              <w:contextualSpacing/>
              <w:rPr>
                <w:rFonts w:cs="Arial"/>
                <w:sz w:val="20"/>
                <w:szCs w:val="20"/>
              </w:rPr>
            </w:pPr>
            <w:r>
              <w:rPr>
                <w:rFonts w:cs="Arial"/>
                <w:sz w:val="20"/>
                <w:szCs w:val="20"/>
              </w:rPr>
              <w:t>The</w:t>
            </w:r>
            <w:r w:rsidR="001B5711">
              <w:rPr>
                <w:rFonts w:cs="Arial"/>
                <w:sz w:val="20"/>
                <w:szCs w:val="20"/>
              </w:rPr>
              <w:t xml:space="preserve">re </w:t>
            </w:r>
            <w:r w:rsidR="00981029">
              <w:rPr>
                <w:rFonts w:cs="Arial"/>
                <w:sz w:val="20"/>
                <w:szCs w:val="20"/>
              </w:rPr>
              <w:t>are no</w:t>
            </w:r>
            <w:r w:rsidR="00705940">
              <w:rPr>
                <w:rFonts w:cs="Arial"/>
                <w:sz w:val="20"/>
                <w:szCs w:val="20"/>
              </w:rPr>
              <w:t xml:space="preserve"> specific decisions rules that trigger additional management measures</w:t>
            </w:r>
            <w:r w:rsidR="00486FCC">
              <w:rPr>
                <w:rFonts w:cs="Arial"/>
                <w:sz w:val="20"/>
                <w:szCs w:val="20"/>
              </w:rPr>
              <w:t xml:space="preserve">, in response to </w:t>
            </w:r>
            <w:r w:rsidR="00E40A0D">
              <w:rPr>
                <w:rFonts w:cs="Arial"/>
                <w:sz w:val="20"/>
                <w:szCs w:val="20"/>
              </w:rPr>
              <w:t xml:space="preserve">significant </w:t>
            </w:r>
            <w:r w:rsidR="00F52A7E">
              <w:rPr>
                <w:rFonts w:cs="Arial"/>
                <w:sz w:val="20"/>
                <w:szCs w:val="20"/>
              </w:rPr>
              <w:t>perturbations</w:t>
            </w:r>
            <w:r w:rsidR="00311D68">
              <w:rPr>
                <w:rFonts w:cs="Arial"/>
                <w:sz w:val="20"/>
                <w:szCs w:val="20"/>
              </w:rPr>
              <w:t xml:space="preserve"> in </w:t>
            </w:r>
            <w:r w:rsidR="001B3B11">
              <w:rPr>
                <w:rFonts w:cs="Arial"/>
                <w:sz w:val="20"/>
                <w:szCs w:val="20"/>
              </w:rPr>
              <w:t xml:space="preserve">the numbers of </w:t>
            </w:r>
            <w:r w:rsidR="00E40A0D">
              <w:rPr>
                <w:rFonts w:cs="Arial"/>
                <w:sz w:val="20"/>
                <w:szCs w:val="20"/>
              </w:rPr>
              <w:t>indicator species</w:t>
            </w:r>
            <w:r w:rsidR="00311D68">
              <w:rPr>
                <w:rFonts w:cs="Arial"/>
                <w:sz w:val="20"/>
                <w:szCs w:val="20"/>
              </w:rPr>
              <w:t xml:space="preserve">. The absence of decision rules is appropriate, given that </w:t>
            </w:r>
            <w:r w:rsidR="00386D81">
              <w:rPr>
                <w:rFonts w:cs="Arial"/>
                <w:sz w:val="20"/>
                <w:szCs w:val="20"/>
              </w:rPr>
              <w:t>bycatch species</w:t>
            </w:r>
            <w:r w:rsidR="00D46F57">
              <w:rPr>
                <w:rFonts w:cs="Arial"/>
                <w:sz w:val="20"/>
                <w:szCs w:val="20"/>
              </w:rPr>
              <w:t xml:space="preserve"> are not threatened by the</w:t>
            </w:r>
            <w:r w:rsidR="004C2700">
              <w:rPr>
                <w:rFonts w:cs="Arial"/>
                <w:sz w:val="20"/>
                <w:szCs w:val="20"/>
              </w:rPr>
              <w:t xml:space="preserve"> harvesting method (hand collection) used by</w:t>
            </w:r>
            <w:r w:rsidR="00814AD6">
              <w:rPr>
                <w:rFonts w:cs="Arial"/>
                <w:sz w:val="20"/>
                <w:szCs w:val="20"/>
              </w:rPr>
              <w:t xml:space="preserve"> PQ Aquatics</w:t>
            </w:r>
            <w:r w:rsidR="004C2700">
              <w:rPr>
                <w:rFonts w:cs="Arial"/>
                <w:sz w:val="20"/>
                <w:szCs w:val="20"/>
              </w:rPr>
              <w:t>.</w:t>
            </w:r>
          </w:p>
          <w:p w14:paraId="54B81E86" w14:textId="2DA6A144" w:rsidR="00867590" w:rsidRPr="00433FCA" w:rsidRDefault="00867590" w:rsidP="00FC2EBF">
            <w:pPr>
              <w:spacing w:before="60" w:after="60" w:line="276" w:lineRule="auto"/>
              <w:contextualSpacing/>
              <w:rPr>
                <w:rFonts w:cs="Arial"/>
                <w:sz w:val="20"/>
                <w:szCs w:val="20"/>
              </w:rPr>
            </w:pPr>
          </w:p>
        </w:tc>
      </w:tr>
      <w:tr w:rsidR="00867590" w:rsidRPr="00433FCA" w14:paraId="31CCE05E" w14:textId="77777777" w:rsidTr="00074553">
        <w:trPr>
          <w:cantSplit/>
        </w:trPr>
        <w:tc>
          <w:tcPr>
            <w:tcW w:w="1500" w:type="pct"/>
            <w:shd w:val="clear" w:color="auto" w:fill="92D050"/>
          </w:tcPr>
          <w:p w14:paraId="64326E7B" w14:textId="77777777" w:rsidR="00867590" w:rsidRPr="00433FCA" w:rsidRDefault="00867590" w:rsidP="00FC2EBF">
            <w:pPr>
              <w:spacing w:before="60" w:after="60" w:line="276" w:lineRule="auto"/>
              <w:contextualSpacing/>
              <w:rPr>
                <w:rFonts w:cs="Arial"/>
                <w:sz w:val="20"/>
                <w:szCs w:val="20"/>
              </w:rPr>
            </w:pPr>
            <w:r w:rsidRPr="00433FCA">
              <w:rPr>
                <w:rFonts w:cs="Arial"/>
                <w:b/>
                <w:bCs/>
                <w:i/>
                <w:iCs/>
                <w:sz w:val="20"/>
                <w:szCs w:val="20"/>
              </w:rPr>
              <w:t xml:space="preserve">2.1.6 </w:t>
            </w:r>
            <w:r w:rsidRPr="00433FCA">
              <w:rPr>
                <w:rFonts w:cs="Arial"/>
                <w:sz w:val="20"/>
                <w:szCs w:val="20"/>
              </w:rPr>
              <w:t>The management response, considering uncertainties in the assessment and precautionary management actions, has a high chance of achieving the objective.</w:t>
            </w:r>
          </w:p>
          <w:p w14:paraId="2DBC2884" w14:textId="77777777" w:rsidR="004649FA" w:rsidRPr="00433FCA" w:rsidRDefault="004649FA" w:rsidP="00FC2EBF">
            <w:pPr>
              <w:spacing w:before="60" w:after="60" w:line="276" w:lineRule="auto"/>
              <w:contextualSpacing/>
              <w:rPr>
                <w:rFonts w:cs="Arial"/>
                <w:b/>
                <w:bCs/>
                <w:i/>
                <w:iCs/>
                <w:sz w:val="20"/>
                <w:szCs w:val="20"/>
              </w:rPr>
            </w:pPr>
          </w:p>
        </w:tc>
        <w:tc>
          <w:tcPr>
            <w:tcW w:w="3500" w:type="pct"/>
            <w:shd w:val="clear" w:color="auto" w:fill="auto"/>
          </w:tcPr>
          <w:p w14:paraId="378D0AB4" w14:textId="2C60AFA3" w:rsidR="005806BB" w:rsidRDefault="00585041" w:rsidP="00FC2EBF">
            <w:pPr>
              <w:spacing w:before="60" w:after="60" w:line="276" w:lineRule="auto"/>
              <w:contextualSpacing/>
              <w:rPr>
                <w:rFonts w:cs="Arial"/>
                <w:b/>
                <w:sz w:val="20"/>
                <w:szCs w:val="20"/>
              </w:rPr>
            </w:pPr>
            <w:r>
              <w:rPr>
                <w:rFonts w:cs="Arial"/>
                <w:b/>
                <w:sz w:val="20"/>
                <w:szCs w:val="20"/>
              </w:rPr>
              <w:t>Meets</w:t>
            </w:r>
          </w:p>
          <w:p w14:paraId="143ED0B1" w14:textId="48D8CCEC" w:rsidR="00585041" w:rsidRDefault="00585041" w:rsidP="00FC2EBF">
            <w:pPr>
              <w:spacing w:before="60" w:after="60" w:line="276" w:lineRule="auto"/>
              <w:contextualSpacing/>
              <w:rPr>
                <w:rFonts w:cs="Arial"/>
                <w:b/>
                <w:sz w:val="20"/>
                <w:szCs w:val="20"/>
              </w:rPr>
            </w:pPr>
          </w:p>
          <w:p w14:paraId="403A6389" w14:textId="02504964" w:rsidR="00585041" w:rsidRPr="00433FCA" w:rsidRDefault="00C31757" w:rsidP="00FC2EBF">
            <w:pPr>
              <w:spacing w:before="60" w:after="60" w:line="276" w:lineRule="auto"/>
              <w:contextualSpacing/>
              <w:rPr>
                <w:rFonts w:cs="Arial"/>
                <w:sz w:val="20"/>
                <w:szCs w:val="20"/>
              </w:rPr>
            </w:pPr>
            <w:r>
              <w:rPr>
                <w:rFonts w:cs="Arial"/>
                <w:sz w:val="20"/>
                <w:szCs w:val="20"/>
              </w:rPr>
              <w:t xml:space="preserve">The management response </w:t>
            </w:r>
            <w:r w:rsidR="007A2590">
              <w:rPr>
                <w:rFonts w:cs="Arial"/>
                <w:sz w:val="20"/>
                <w:szCs w:val="20"/>
              </w:rPr>
              <w:t>has a high chance of achieving its objective</w:t>
            </w:r>
            <w:r w:rsidR="0021324A">
              <w:rPr>
                <w:rFonts w:cs="Arial"/>
                <w:sz w:val="20"/>
                <w:szCs w:val="20"/>
              </w:rPr>
              <w:t xml:space="preserve"> </w:t>
            </w:r>
            <w:r w:rsidR="001A4B62">
              <w:rPr>
                <w:rFonts w:cs="Arial"/>
                <w:sz w:val="20"/>
                <w:szCs w:val="20"/>
              </w:rPr>
              <w:t>of</w:t>
            </w:r>
            <w:r w:rsidR="00452D26">
              <w:rPr>
                <w:rFonts w:cs="Arial"/>
                <w:sz w:val="20"/>
                <w:szCs w:val="20"/>
              </w:rPr>
              <w:t xml:space="preserve"> prevent</w:t>
            </w:r>
            <w:r w:rsidR="001A4B62">
              <w:rPr>
                <w:rFonts w:cs="Arial"/>
                <w:sz w:val="20"/>
                <w:szCs w:val="20"/>
              </w:rPr>
              <w:t>ing</w:t>
            </w:r>
            <w:r w:rsidR="00452D26">
              <w:rPr>
                <w:rFonts w:cs="Arial"/>
                <w:sz w:val="20"/>
                <w:szCs w:val="20"/>
              </w:rPr>
              <w:t xml:space="preserve"> </w:t>
            </w:r>
            <w:r w:rsidR="001A4B62">
              <w:rPr>
                <w:rFonts w:cs="Arial"/>
                <w:sz w:val="20"/>
                <w:szCs w:val="20"/>
              </w:rPr>
              <w:t>adverse impacts on non-target species.</w:t>
            </w:r>
            <w:r w:rsidR="00452D26">
              <w:rPr>
                <w:rFonts w:cs="Arial"/>
                <w:sz w:val="20"/>
                <w:szCs w:val="20"/>
              </w:rPr>
              <w:t xml:space="preserve"> </w:t>
            </w:r>
          </w:p>
          <w:p w14:paraId="76BC5319" w14:textId="5578718C" w:rsidR="00867590" w:rsidRPr="00433FCA" w:rsidRDefault="00867590" w:rsidP="00FC2EBF">
            <w:pPr>
              <w:spacing w:before="60" w:after="60" w:line="276" w:lineRule="auto"/>
              <w:contextualSpacing/>
              <w:rPr>
                <w:rFonts w:cs="Arial"/>
                <w:sz w:val="20"/>
                <w:szCs w:val="20"/>
              </w:rPr>
            </w:pPr>
          </w:p>
        </w:tc>
      </w:tr>
      <w:tr w:rsidR="00867590" w:rsidRPr="00433FCA" w14:paraId="6B7593D3" w14:textId="77777777" w:rsidTr="002F0C8B">
        <w:trPr>
          <w:cantSplit/>
        </w:trPr>
        <w:tc>
          <w:tcPr>
            <w:tcW w:w="5000" w:type="pct"/>
            <w:gridSpan w:val="2"/>
            <w:shd w:val="clear" w:color="auto" w:fill="CCC0D9"/>
          </w:tcPr>
          <w:p w14:paraId="1BC83A69" w14:textId="77777777" w:rsidR="00867590" w:rsidRPr="00433FCA" w:rsidRDefault="00867590" w:rsidP="00FC2EBF">
            <w:pPr>
              <w:spacing w:before="60" w:after="60" w:line="276" w:lineRule="auto"/>
              <w:contextualSpacing/>
              <w:rPr>
                <w:rFonts w:cs="Arial"/>
                <w:b/>
                <w:bCs/>
                <w:sz w:val="20"/>
                <w:szCs w:val="20"/>
              </w:rPr>
            </w:pPr>
            <w:r w:rsidRPr="00433FCA">
              <w:rPr>
                <w:rFonts w:cs="Arial"/>
                <w:b/>
                <w:bCs/>
                <w:sz w:val="20"/>
                <w:szCs w:val="20"/>
              </w:rPr>
              <w:t xml:space="preserve">Objective 2 - </w:t>
            </w:r>
            <w:r w:rsidRPr="00433FCA">
              <w:rPr>
                <w:rFonts w:cs="Arial"/>
                <w:sz w:val="20"/>
                <w:szCs w:val="20"/>
              </w:rPr>
              <w:t>The fishery is conducted in a manner that avoids mortality of, or injuries to, endangered, threatened or protected species and avoids or minimises impacts on threatened ecological communities.</w:t>
            </w:r>
          </w:p>
        </w:tc>
      </w:tr>
      <w:tr w:rsidR="00867590" w:rsidRPr="00433FCA" w14:paraId="73413938" w14:textId="77777777" w:rsidTr="002F0C8B">
        <w:trPr>
          <w:cantSplit/>
        </w:trPr>
        <w:tc>
          <w:tcPr>
            <w:tcW w:w="5000" w:type="pct"/>
            <w:gridSpan w:val="2"/>
            <w:shd w:val="clear" w:color="auto" w:fill="E5DFEC"/>
          </w:tcPr>
          <w:p w14:paraId="18B50303" w14:textId="7DA083A9" w:rsidR="00867590" w:rsidRPr="00433FCA" w:rsidRDefault="00867590" w:rsidP="00FC2EBF">
            <w:pPr>
              <w:spacing w:before="60" w:after="60" w:line="276" w:lineRule="auto"/>
              <w:contextualSpacing/>
              <w:rPr>
                <w:rFonts w:cs="Arial"/>
                <w:sz w:val="20"/>
                <w:szCs w:val="20"/>
              </w:rPr>
            </w:pPr>
            <w:r w:rsidRPr="00433FCA">
              <w:rPr>
                <w:rFonts w:cs="Arial"/>
                <w:b/>
                <w:bCs/>
                <w:i/>
                <w:iCs/>
                <w:sz w:val="20"/>
                <w:szCs w:val="20"/>
              </w:rPr>
              <w:t xml:space="preserve">Information requirements </w:t>
            </w:r>
          </w:p>
        </w:tc>
      </w:tr>
      <w:tr w:rsidR="00867590" w:rsidRPr="00433FCA" w14:paraId="6761C457" w14:textId="77777777" w:rsidTr="00074553">
        <w:trPr>
          <w:cantSplit/>
        </w:trPr>
        <w:tc>
          <w:tcPr>
            <w:tcW w:w="1500" w:type="pct"/>
            <w:shd w:val="clear" w:color="auto" w:fill="92D050"/>
          </w:tcPr>
          <w:p w14:paraId="7DC54437" w14:textId="77777777" w:rsidR="00867590" w:rsidRPr="00433FCA" w:rsidRDefault="00867590" w:rsidP="00FC2EBF">
            <w:pPr>
              <w:spacing w:before="60" w:after="60" w:line="276" w:lineRule="auto"/>
              <w:contextualSpacing/>
              <w:rPr>
                <w:rFonts w:cs="Arial"/>
                <w:sz w:val="20"/>
                <w:szCs w:val="20"/>
              </w:rPr>
            </w:pPr>
            <w:r w:rsidRPr="00433FCA">
              <w:rPr>
                <w:rFonts w:cs="Arial"/>
                <w:b/>
                <w:bCs/>
                <w:i/>
                <w:iCs/>
                <w:sz w:val="20"/>
                <w:szCs w:val="20"/>
              </w:rPr>
              <w:t xml:space="preserve">2.2.1 </w:t>
            </w:r>
            <w:r w:rsidRPr="00433FCA">
              <w:rPr>
                <w:rFonts w:cs="Arial"/>
                <w:sz w:val="20"/>
                <w:szCs w:val="20"/>
              </w:rPr>
              <w:t xml:space="preserve">Reliable information is collected on the interaction with endangered, threatened or protected species and threatened ecological communities. </w:t>
            </w:r>
          </w:p>
          <w:p w14:paraId="46BCF310" w14:textId="15F34B79" w:rsidR="004649FA" w:rsidRPr="00433FCA" w:rsidRDefault="004649FA" w:rsidP="00FC2EBF">
            <w:pPr>
              <w:spacing w:before="60" w:after="60" w:line="276" w:lineRule="auto"/>
              <w:contextualSpacing/>
              <w:rPr>
                <w:rFonts w:cs="Arial"/>
                <w:sz w:val="20"/>
                <w:szCs w:val="20"/>
              </w:rPr>
            </w:pPr>
          </w:p>
        </w:tc>
        <w:tc>
          <w:tcPr>
            <w:tcW w:w="3500" w:type="pct"/>
            <w:shd w:val="clear" w:color="auto" w:fill="auto"/>
          </w:tcPr>
          <w:p w14:paraId="1BE614D1" w14:textId="26A201DA" w:rsidR="008A1E84" w:rsidRPr="002857BA" w:rsidRDefault="008A1E84" w:rsidP="00FC2EBF">
            <w:pPr>
              <w:spacing w:before="60" w:after="60" w:line="276" w:lineRule="auto"/>
              <w:contextualSpacing/>
              <w:rPr>
                <w:rFonts w:cs="Arial"/>
                <w:b/>
                <w:sz w:val="20"/>
                <w:szCs w:val="20"/>
              </w:rPr>
            </w:pPr>
            <w:r w:rsidRPr="002857BA">
              <w:rPr>
                <w:rFonts w:cs="Arial"/>
                <w:b/>
                <w:sz w:val="20"/>
                <w:szCs w:val="20"/>
              </w:rPr>
              <w:t>Meets</w:t>
            </w:r>
          </w:p>
          <w:p w14:paraId="302DDBE4" w14:textId="6A598F8B" w:rsidR="008A1E84" w:rsidRDefault="008A1E84" w:rsidP="00FC2EBF">
            <w:pPr>
              <w:spacing w:before="60" w:after="60" w:line="276" w:lineRule="auto"/>
              <w:contextualSpacing/>
              <w:rPr>
                <w:rFonts w:cs="Arial"/>
                <w:bCs/>
                <w:sz w:val="20"/>
                <w:szCs w:val="20"/>
              </w:rPr>
            </w:pPr>
          </w:p>
          <w:p w14:paraId="08E4BFE9" w14:textId="602D94A1" w:rsidR="008A1E84" w:rsidRPr="008A1E84" w:rsidRDefault="00BB0CCE" w:rsidP="00FC2EBF">
            <w:pPr>
              <w:spacing w:before="60" w:after="60" w:line="276" w:lineRule="auto"/>
              <w:contextualSpacing/>
              <w:rPr>
                <w:rFonts w:cs="Arial"/>
                <w:bCs/>
                <w:sz w:val="20"/>
                <w:szCs w:val="20"/>
              </w:rPr>
            </w:pPr>
            <w:r>
              <w:rPr>
                <w:rFonts w:cs="Arial"/>
                <w:bCs/>
                <w:sz w:val="20"/>
                <w:szCs w:val="20"/>
              </w:rPr>
              <w:t>The applicant, Mr Pang Quong, monitors</w:t>
            </w:r>
            <w:r w:rsidR="0098588C">
              <w:rPr>
                <w:rFonts w:cs="Arial"/>
                <w:bCs/>
                <w:sz w:val="20"/>
                <w:szCs w:val="20"/>
              </w:rPr>
              <w:t xml:space="preserve"> the abundance and </w:t>
            </w:r>
            <w:r w:rsidR="00D31FDF">
              <w:rPr>
                <w:rFonts w:cs="Arial"/>
                <w:bCs/>
                <w:sz w:val="20"/>
                <w:szCs w:val="20"/>
              </w:rPr>
              <w:t xml:space="preserve">reproductive </w:t>
            </w:r>
            <w:r w:rsidR="0098588C">
              <w:rPr>
                <w:rFonts w:cs="Arial"/>
                <w:bCs/>
                <w:sz w:val="20"/>
                <w:szCs w:val="20"/>
              </w:rPr>
              <w:t>behaviour of local Weedy Seadragon populations</w:t>
            </w:r>
            <w:r w:rsidR="0064390E">
              <w:rPr>
                <w:rFonts w:cs="Arial"/>
                <w:bCs/>
                <w:sz w:val="20"/>
                <w:szCs w:val="20"/>
              </w:rPr>
              <w:t xml:space="preserve"> through </w:t>
            </w:r>
            <w:r w:rsidR="002857BA">
              <w:rPr>
                <w:rFonts w:cs="Arial"/>
                <w:bCs/>
                <w:sz w:val="20"/>
                <w:szCs w:val="20"/>
              </w:rPr>
              <w:t xml:space="preserve">underwater </w:t>
            </w:r>
            <w:r w:rsidR="0064390E">
              <w:rPr>
                <w:rFonts w:cs="Arial"/>
                <w:bCs/>
                <w:sz w:val="20"/>
                <w:szCs w:val="20"/>
              </w:rPr>
              <w:t xml:space="preserve">video recordings. </w:t>
            </w:r>
            <w:r w:rsidR="00543403">
              <w:rPr>
                <w:rFonts w:cs="Arial"/>
                <w:bCs/>
                <w:sz w:val="20"/>
                <w:szCs w:val="20"/>
              </w:rPr>
              <w:t>Interactions with endangered, threatened or protected species</w:t>
            </w:r>
            <w:r w:rsidR="000166E6">
              <w:rPr>
                <w:rFonts w:cs="Arial"/>
                <w:bCs/>
                <w:sz w:val="20"/>
                <w:szCs w:val="20"/>
              </w:rPr>
              <w:t xml:space="preserve"> and/or ecological communities is limited, based on the </w:t>
            </w:r>
            <w:r w:rsidR="007353E0">
              <w:rPr>
                <w:rFonts w:cs="Arial"/>
                <w:bCs/>
                <w:sz w:val="20"/>
                <w:szCs w:val="20"/>
              </w:rPr>
              <w:t>selective fishing method</w:t>
            </w:r>
            <w:r w:rsidR="003E3160">
              <w:rPr>
                <w:rFonts w:cs="Arial"/>
                <w:bCs/>
                <w:sz w:val="20"/>
                <w:szCs w:val="20"/>
              </w:rPr>
              <w:t xml:space="preserve"> (hand collection)</w:t>
            </w:r>
            <w:r w:rsidR="007353E0">
              <w:rPr>
                <w:rFonts w:cs="Arial"/>
                <w:bCs/>
                <w:sz w:val="20"/>
                <w:szCs w:val="20"/>
              </w:rPr>
              <w:t xml:space="preserve"> and low </w:t>
            </w:r>
            <w:r w:rsidR="00D041A7">
              <w:rPr>
                <w:rFonts w:cs="Arial"/>
                <w:bCs/>
                <w:sz w:val="20"/>
                <w:szCs w:val="20"/>
              </w:rPr>
              <w:t>harvest level (</w:t>
            </w:r>
            <w:r w:rsidR="003E3160">
              <w:rPr>
                <w:rFonts w:cs="Arial"/>
                <w:bCs/>
                <w:sz w:val="20"/>
                <w:szCs w:val="20"/>
              </w:rPr>
              <w:t xml:space="preserve">4 specimens </w:t>
            </w:r>
            <w:r w:rsidR="00717D5E">
              <w:rPr>
                <w:rFonts w:cs="Arial"/>
                <w:bCs/>
                <w:sz w:val="20"/>
                <w:szCs w:val="20"/>
              </w:rPr>
              <w:t>of</w:t>
            </w:r>
            <w:r w:rsidR="003E3160">
              <w:rPr>
                <w:rFonts w:cs="Arial"/>
                <w:bCs/>
                <w:sz w:val="20"/>
                <w:szCs w:val="20"/>
              </w:rPr>
              <w:t xml:space="preserve"> each species</w:t>
            </w:r>
            <w:r w:rsidR="00717D5E">
              <w:rPr>
                <w:rFonts w:cs="Arial"/>
                <w:bCs/>
                <w:sz w:val="20"/>
                <w:szCs w:val="20"/>
              </w:rPr>
              <w:t>, including gravid specimens</w:t>
            </w:r>
            <w:r w:rsidR="003E3160">
              <w:rPr>
                <w:rFonts w:cs="Arial"/>
                <w:bCs/>
                <w:sz w:val="20"/>
                <w:szCs w:val="20"/>
              </w:rPr>
              <w:t>)</w:t>
            </w:r>
            <w:r w:rsidR="00645DD8">
              <w:rPr>
                <w:rFonts w:cs="Arial"/>
                <w:bCs/>
                <w:sz w:val="20"/>
                <w:szCs w:val="20"/>
              </w:rPr>
              <w:t xml:space="preserve"> implemented by the operation</w:t>
            </w:r>
            <w:r w:rsidR="003E3160">
              <w:rPr>
                <w:rFonts w:cs="Arial"/>
                <w:bCs/>
                <w:sz w:val="20"/>
                <w:szCs w:val="20"/>
              </w:rPr>
              <w:t>.</w:t>
            </w:r>
          </w:p>
          <w:p w14:paraId="703CCBC2" w14:textId="7057EAB6" w:rsidR="00867590" w:rsidRPr="00433FCA" w:rsidRDefault="00867590" w:rsidP="00FC2EBF">
            <w:pPr>
              <w:spacing w:before="60" w:after="60" w:line="276" w:lineRule="auto"/>
              <w:contextualSpacing/>
              <w:rPr>
                <w:rFonts w:cs="Arial"/>
                <w:sz w:val="20"/>
                <w:szCs w:val="20"/>
              </w:rPr>
            </w:pPr>
          </w:p>
        </w:tc>
      </w:tr>
      <w:tr w:rsidR="00867590" w:rsidRPr="00433FCA" w14:paraId="16757C75" w14:textId="77777777" w:rsidTr="002F0C8B">
        <w:trPr>
          <w:cantSplit/>
        </w:trPr>
        <w:tc>
          <w:tcPr>
            <w:tcW w:w="5000" w:type="pct"/>
            <w:gridSpan w:val="2"/>
            <w:shd w:val="clear" w:color="auto" w:fill="E5DFEC"/>
          </w:tcPr>
          <w:p w14:paraId="71DF16AA" w14:textId="77777777" w:rsidR="00867590" w:rsidRPr="00433FCA" w:rsidRDefault="00867590" w:rsidP="00FC2EBF">
            <w:pPr>
              <w:spacing w:before="60" w:after="60" w:line="276" w:lineRule="auto"/>
              <w:contextualSpacing/>
              <w:rPr>
                <w:rFonts w:cs="Arial"/>
                <w:b/>
                <w:bCs/>
                <w:i/>
                <w:iCs/>
                <w:sz w:val="20"/>
                <w:szCs w:val="20"/>
              </w:rPr>
            </w:pPr>
            <w:r w:rsidRPr="00433FCA">
              <w:rPr>
                <w:rFonts w:cs="Arial"/>
                <w:b/>
                <w:bCs/>
                <w:i/>
                <w:iCs/>
                <w:sz w:val="20"/>
                <w:szCs w:val="20"/>
              </w:rPr>
              <w:t xml:space="preserve">Assessments </w:t>
            </w:r>
          </w:p>
        </w:tc>
      </w:tr>
      <w:tr w:rsidR="00867590" w:rsidRPr="00433FCA" w14:paraId="6A013180" w14:textId="77777777" w:rsidTr="00074553">
        <w:trPr>
          <w:cantSplit/>
        </w:trPr>
        <w:tc>
          <w:tcPr>
            <w:tcW w:w="1500" w:type="pct"/>
            <w:shd w:val="clear" w:color="auto" w:fill="92D050"/>
          </w:tcPr>
          <w:p w14:paraId="13D6E287" w14:textId="77777777" w:rsidR="00867590" w:rsidRPr="00433FCA" w:rsidRDefault="00867590" w:rsidP="00FC2EBF">
            <w:pPr>
              <w:spacing w:before="60" w:after="60" w:line="276" w:lineRule="auto"/>
              <w:contextualSpacing/>
              <w:rPr>
                <w:rFonts w:cs="Arial"/>
                <w:sz w:val="20"/>
                <w:szCs w:val="20"/>
              </w:rPr>
            </w:pPr>
            <w:r w:rsidRPr="00433FCA">
              <w:rPr>
                <w:rFonts w:cs="Arial"/>
                <w:b/>
                <w:bCs/>
                <w:i/>
                <w:iCs/>
                <w:sz w:val="20"/>
                <w:szCs w:val="20"/>
              </w:rPr>
              <w:t xml:space="preserve">2.2.2 </w:t>
            </w:r>
            <w:r w:rsidRPr="00433FCA">
              <w:rPr>
                <w:rFonts w:cs="Arial"/>
                <w:sz w:val="20"/>
                <w:szCs w:val="20"/>
              </w:rPr>
              <w:t xml:space="preserve">There is an assessment of the impact of the fishery on endangered, threatened or protected species. </w:t>
            </w:r>
          </w:p>
          <w:p w14:paraId="58AE0C55" w14:textId="35FAFDF9" w:rsidR="004649FA" w:rsidRPr="00433FCA" w:rsidRDefault="004649FA" w:rsidP="00FC2EBF">
            <w:pPr>
              <w:spacing w:before="60" w:after="60" w:line="276" w:lineRule="auto"/>
              <w:contextualSpacing/>
              <w:rPr>
                <w:rFonts w:cs="Arial"/>
                <w:sz w:val="20"/>
                <w:szCs w:val="20"/>
              </w:rPr>
            </w:pPr>
          </w:p>
        </w:tc>
        <w:tc>
          <w:tcPr>
            <w:tcW w:w="3500" w:type="pct"/>
            <w:shd w:val="clear" w:color="auto" w:fill="auto"/>
          </w:tcPr>
          <w:p w14:paraId="64C35E8A" w14:textId="10B887B6" w:rsidR="005806BB" w:rsidRPr="00CF6BC2" w:rsidRDefault="00CF6BC2" w:rsidP="00E4496B">
            <w:pPr>
              <w:spacing w:before="60" w:after="0"/>
              <w:contextualSpacing/>
              <w:rPr>
                <w:rFonts w:cs="Arial"/>
                <w:b/>
                <w:sz w:val="20"/>
                <w:szCs w:val="20"/>
              </w:rPr>
            </w:pPr>
            <w:r w:rsidRPr="00CF6BC2">
              <w:rPr>
                <w:rFonts w:cs="Arial"/>
                <w:b/>
                <w:sz w:val="20"/>
                <w:szCs w:val="20"/>
              </w:rPr>
              <w:t>Meets</w:t>
            </w:r>
          </w:p>
          <w:p w14:paraId="123B1DED" w14:textId="5328D4E8" w:rsidR="00CF6BC2" w:rsidRDefault="00CF6BC2" w:rsidP="00E4496B">
            <w:pPr>
              <w:spacing w:before="60" w:after="0"/>
              <w:contextualSpacing/>
              <w:rPr>
                <w:rFonts w:cs="Arial"/>
                <w:b/>
                <w:sz w:val="20"/>
                <w:szCs w:val="20"/>
                <w:highlight w:val="yellow"/>
              </w:rPr>
            </w:pPr>
          </w:p>
          <w:p w14:paraId="607C9980" w14:textId="3D307269" w:rsidR="008A3479" w:rsidRPr="00CE3162" w:rsidRDefault="00CE3162" w:rsidP="00E4496B">
            <w:pPr>
              <w:spacing w:before="60" w:after="0"/>
              <w:contextualSpacing/>
              <w:rPr>
                <w:rFonts w:cs="Arial"/>
                <w:bCs/>
                <w:sz w:val="20"/>
                <w:szCs w:val="20"/>
              </w:rPr>
            </w:pPr>
            <w:r w:rsidRPr="00CE3162">
              <w:rPr>
                <w:rFonts w:cs="Arial"/>
                <w:bCs/>
                <w:sz w:val="20"/>
                <w:szCs w:val="20"/>
              </w:rPr>
              <w:t>There</w:t>
            </w:r>
            <w:r>
              <w:rPr>
                <w:rFonts w:cs="Arial"/>
                <w:bCs/>
                <w:sz w:val="20"/>
                <w:szCs w:val="20"/>
              </w:rPr>
              <w:t xml:space="preserve"> is no formal assessment of </w:t>
            </w:r>
            <w:r w:rsidR="00645DD8">
              <w:rPr>
                <w:rFonts w:cs="Arial"/>
                <w:bCs/>
                <w:sz w:val="20"/>
                <w:szCs w:val="20"/>
              </w:rPr>
              <w:t>the operation’s</w:t>
            </w:r>
            <w:r>
              <w:rPr>
                <w:rFonts w:cs="Arial"/>
                <w:bCs/>
                <w:sz w:val="20"/>
                <w:szCs w:val="20"/>
              </w:rPr>
              <w:t xml:space="preserve"> impact on endangered, threatened or protected species. </w:t>
            </w:r>
            <w:r w:rsidR="005E4AEC">
              <w:rPr>
                <w:rFonts w:cs="Arial"/>
                <w:bCs/>
                <w:sz w:val="20"/>
                <w:szCs w:val="20"/>
              </w:rPr>
              <w:t xml:space="preserve">The applicant actively monitors the </w:t>
            </w:r>
            <w:r w:rsidR="000213C5">
              <w:rPr>
                <w:rFonts w:cs="Arial"/>
                <w:bCs/>
                <w:sz w:val="20"/>
                <w:szCs w:val="20"/>
              </w:rPr>
              <w:t xml:space="preserve">reproductive </w:t>
            </w:r>
            <w:r w:rsidR="005E4AEC">
              <w:rPr>
                <w:rFonts w:cs="Arial"/>
                <w:bCs/>
                <w:sz w:val="20"/>
                <w:szCs w:val="20"/>
              </w:rPr>
              <w:t>behaviour and local abundance of Weedy Seadragons</w:t>
            </w:r>
            <w:r w:rsidR="00D041A7">
              <w:rPr>
                <w:rFonts w:cs="Arial"/>
                <w:bCs/>
                <w:sz w:val="20"/>
                <w:szCs w:val="20"/>
              </w:rPr>
              <w:t xml:space="preserve"> through video recordings. The selective fishing method</w:t>
            </w:r>
            <w:r w:rsidR="000B5C6F">
              <w:rPr>
                <w:rFonts w:cs="Arial"/>
                <w:bCs/>
                <w:sz w:val="20"/>
                <w:szCs w:val="20"/>
              </w:rPr>
              <w:t xml:space="preserve"> (hand collection)</w:t>
            </w:r>
            <w:r w:rsidR="00D041A7">
              <w:rPr>
                <w:rFonts w:cs="Arial"/>
                <w:bCs/>
                <w:sz w:val="20"/>
                <w:szCs w:val="20"/>
              </w:rPr>
              <w:t xml:space="preserve"> and low </w:t>
            </w:r>
            <w:r w:rsidR="002D4FC7">
              <w:rPr>
                <w:rFonts w:cs="Arial"/>
                <w:bCs/>
                <w:sz w:val="20"/>
                <w:szCs w:val="20"/>
              </w:rPr>
              <w:t>level of harvest</w:t>
            </w:r>
            <w:r w:rsidR="00CD7636">
              <w:rPr>
                <w:rFonts w:cs="Arial"/>
                <w:bCs/>
                <w:sz w:val="20"/>
                <w:szCs w:val="20"/>
              </w:rPr>
              <w:t xml:space="preserve"> </w:t>
            </w:r>
            <w:r w:rsidR="000B5C6F">
              <w:rPr>
                <w:rFonts w:cs="Arial"/>
                <w:bCs/>
                <w:sz w:val="20"/>
                <w:szCs w:val="20"/>
              </w:rPr>
              <w:t xml:space="preserve">(4 specimens </w:t>
            </w:r>
            <w:r w:rsidR="00717D5E">
              <w:rPr>
                <w:rFonts w:cs="Arial"/>
                <w:bCs/>
                <w:sz w:val="20"/>
                <w:szCs w:val="20"/>
              </w:rPr>
              <w:t>of</w:t>
            </w:r>
            <w:r w:rsidR="000B5C6F">
              <w:rPr>
                <w:rFonts w:cs="Arial"/>
                <w:bCs/>
                <w:sz w:val="20"/>
                <w:szCs w:val="20"/>
              </w:rPr>
              <w:t xml:space="preserve"> each species) </w:t>
            </w:r>
            <w:r w:rsidR="00CD7636">
              <w:rPr>
                <w:rFonts w:cs="Arial"/>
                <w:bCs/>
                <w:sz w:val="20"/>
                <w:szCs w:val="20"/>
              </w:rPr>
              <w:t xml:space="preserve">reduces the impact of this operation on susceptible </w:t>
            </w:r>
            <w:r w:rsidR="00AF759E">
              <w:rPr>
                <w:rFonts w:cs="Arial"/>
                <w:bCs/>
                <w:sz w:val="20"/>
                <w:szCs w:val="20"/>
              </w:rPr>
              <w:t xml:space="preserve">protected </w:t>
            </w:r>
            <w:r w:rsidR="00F76FF4">
              <w:rPr>
                <w:rFonts w:cs="Arial"/>
                <w:bCs/>
                <w:sz w:val="20"/>
                <w:szCs w:val="20"/>
              </w:rPr>
              <w:t xml:space="preserve">species inhabiting the same </w:t>
            </w:r>
            <w:r w:rsidR="00FA4256">
              <w:rPr>
                <w:rFonts w:cs="Arial"/>
                <w:bCs/>
                <w:sz w:val="20"/>
                <w:szCs w:val="20"/>
              </w:rPr>
              <w:t>Victorian</w:t>
            </w:r>
            <w:r w:rsidR="00F76FF4">
              <w:rPr>
                <w:rFonts w:cs="Arial"/>
                <w:bCs/>
                <w:sz w:val="20"/>
                <w:szCs w:val="20"/>
              </w:rPr>
              <w:t xml:space="preserve"> coastal waters.</w:t>
            </w:r>
          </w:p>
          <w:p w14:paraId="543E02E0" w14:textId="22580C9C" w:rsidR="00867590" w:rsidRPr="00433FCA" w:rsidRDefault="00867590" w:rsidP="00FC2EBF">
            <w:pPr>
              <w:spacing w:before="60" w:after="60" w:line="276" w:lineRule="auto"/>
              <w:contextualSpacing/>
              <w:rPr>
                <w:rFonts w:cs="Arial"/>
                <w:sz w:val="20"/>
                <w:szCs w:val="20"/>
              </w:rPr>
            </w:pPr>
          </w:p>
        </w:tc>
      </w:tr>
      <w:tr w:rsidR="00867590" w:rsidRPr="00433FCA" w14:paraId="7BA4A993" w14:textId="77777777" w:rsidTr="002F0C8B">
        <w:trPr>
          <w:cantSplit/>
        </w:trPr>
        <w:tc>
          <w:tcPr>
            <w:tcW w:w="1500" w:type="pct"/>
          </w:tcPr>
          <w:p w14:paraId="35BD01ED" w14:textId="77777777" w:rsidR="00867590" w:rsidRPr="00433FCA" w:rsidRDefault="00867590" w:rsidP="00FC2EBF">
            <w:pPr>
              <w:spacing w:before="60" w:after="60" w:line="276" w:lineRule="auto"/>
              <w:contextualSpacing/>
              <w:rPr>
                <w:rFonts w:cs="Arial"/>
                <w:sz w:val="20"/>
                <w:szCs w:val="20"/>
              </w:rPr>
            </w:pPr>
            <w:r w:rsidRPr="00433FCA">
              <w:rPr>
                <w:rFonts w:cs="Arial"/>
                <w:b/>
                <w:bCs/>
                <w:i/>
                <w:iCs/>
                <w:sz w:val="20"/>
                <w:szCs w:val="20"/>
              </w:rPr>
              <w:t xml:space="preserve">2.2.3 </w:t>
            </w:r>
            <w:r w:rsidRPr="00433FCA">
              <w:rPr>
                <w:rFonts w:cs="Arial"/>
                <w:sz w:val="20"/>
                <w:szCs w:val="20"/>
              </w:rPr>
              <w:t xml:space="preserve">There is an assessment of the impact of the fishery on threatened ecological communities. </w:t>
            </w:r>
          </w:p>
          <w:p w14:paraId="65593620" w14:textId="18ECB72B" w:rsidR="004649FA" w:rsidRPr="00433FCA" w:rsidRDefault="004649FA" w:rsidP="00FC2EBF">
            <w:pPr>
              <w:spacing w:before="60" w:after="60" w:line="276" w:lineRule="auto"/>
              <w:contextualSpacing/>
              <w:rPr>
                <w:rFonts w:cs="Arial"/>
                <w:sz w:val="20"/>
                <w:szCs w:val="20"/>
              </w:rPr>
            </w:pPr>
          </w:p>
        </w:tc>
        <w:tc>
          <w:tcPr>
            <w:tcW w:w="3500" w:type="pct"/>
            <w:shd w:val="clear" w:color="auto" w:fill="auto"/>
          </w:tcPr>
          <w:p w14:paraId="47D2183A" w14:textId="17DBBA74" w:rsidR="005806BB" w:rsidRPr="00A32746" w:rsidRDefault="00985E5A" w:rsidP="00FC2EBF">
            <w:pPr>
              <w:spacing w:before="60" w:after="60" w:line="276" w:lineRule="auto"/>
              <w:contextualSpacing/>
              <w:rPr>
                <w:rFonts w:cs="Arial"/>
                <w:b/>
                <w:sz w:val="20"/>
                <w:szCs w:val="20"/>
              </w:rPr>
            </w:pPr>
            <w:r w:rsidRPr="00A32746">
              <w:rPr>
                <w:rFonts w:cs="Arial"/>
                <w:b/>
                <w:sz w:val="20"/>
                <w:szCs w:val="20"/>
              </w:rPr>
              <w:t>Not applicable</w:t>
            </w:r>
          </w:p>
          <w:p w14:paraId="638CAD4F" w14:textId="26E1A03E" w:rsidR="00985E5A" w:rsidRPr="00A32746" w:rsidRDefault="00985E5A" w:rsidP="00FC2EBF">
            <w:pPr>
              <w:spacing w:before="60" w:after="60" w:line="276" w:lineRule="auto"/>
              <w:contextualSpacing/>
              <w:rPr>
                <w:rFonts w:cs="Arial"/>
                <w:b/>
                <w:sz w:val="20"/>
                <w:szCs w:val="20"/>
              </w:rPr>
            </w:pPr>
          </w:p>
          <w:p w14:paraId="38CD3D9F" w14:textId="7F6A735F" w:rsidR="00985E5A" w:rsidRPr="00A32746" w:rsidRDefault="00C642C7" w:rsidP="00FC2EBF">
            <w:pPr>
              <w:spacing w:before="60" w:after="60" w:line="276" w:lineRule="auto"/>
              <w:contextualSpacing/>
              <w:rPr>
                <w:rFonts w:cs="Arial"/>
                <w:bCs/>
                <w:sz w:val="20"/>
                <w:szCs w:val="20"/>
              </w:rPr>
            </w:pPr>
            <w:r w:rsidRPr="00A32746">
              <w:rPr>
                <w:rFonts w:cs="Arial"/>
                <w:bCs/>
                <w:sz w:val="20"/>
                <w:szCs w:val="20"/>
              </w:rPr>
              <w:t>There are no threatened ecological communities</w:t>
            </w:r>
            <w:r w:rsidR="00871002">
              <w:rPr>
                <w:rFonts w:cs="Arial"/>
                <w:bCs/>
                <w:sz w:val="20"/>
                <w:szCs w:val="20"/>
              </w:rPr>
              <w:t xml:space="preserve"> listed under the EPBC Act</w:t>
            </w:r>
            <w:r w:rsidR="00A32746">
              <w:rPr>
                <w:rFonts w:cs="Arial"/>
                <w:bCs/>
                <w:sz w:val="20"/>
                <w:szCs w:val="20"/>
              </w:rPr>
              <w:t xml:space="preserve"> in the</w:t>
            </w:r>
            <w:r w:rsidR="00871002">
              <w:rPr>
                <w:rFonts w:cs="Arial"/>
                <w:bCs/>
                <w:sz w:val="20"/>
                <w:szCs w:val="20"/>
              </w:rPr>
              <w:t xml:space="preserve"> prescribed</w:t>
            </w:r>
            <w:r w:rsidR="00A32746">
              <w:rPr>
                <w:rFonts w:cs="Arial"/>
                <w:bCs/>
                <w:sz w:val="20"/>
                <w:szCs w:val="20"/>
              </w:rPr>
              <w:t xml:space="preserve"> harvesting region</w:t>
            </w:r>
            <w:r w:rsidR="005265D7">
              <w:rPr>
                <w:rFonts w:cs="Arial"/>
                <w:bCs/>
                <w:sz w:val="20"/>
                <w:szCs w:val="20"/>
              </w:rPr>
              <w:t>s</w:t>
            </w:r>
            <w:r w:rsidR="00871002">
              <w:rPr>
                <w:rFonts w:cs="Arial"/>
                <w:bCs/>
                <w:sz w:val="20"/>
                <w:szCs w:val="20"/>
              </w:rPr>
              <w:t>.</w:t>
            </w:r>
          </w:p>
          <w:p w14:paraId="4AA6CA1D" w14:textId="7203155B" w:rsidR="00867590" w:rsidRPr="00433FCA" w:rsidRDefault="00867590" w:rsidP="00FC2EBF">
            <w:pPr>
              <w:spacing w:before="60" w:after="60" w:line="276" w:lineRule="auto"/>
              <w:contextualSpacing/>
              <w:rPr>
                <w:rFonts w:cs="Arial"/>
                <w:sz w:val="20"/>
                <w:szCs w:val="20"/>
              </w:rPr>
            </w:pPr>
          </w:p>
        </w:tc>
      </w:tr>
      <w:tr w:rsidR="00867590" w:rsidRPr="00433FCA" w14:paraId="670EFB61" w14:textId="77777777" w:rsidTr="002F0C8B">
        <w:trPr>
          <w:cantSplit/>
        </w:trPr>
        <w:tc>
          <w:tcPr>
            <w:tcW w:w="5000" w:type="pct"/>
            <w:gridSpan w:val="2"/>
            <w:shd w:val="clear" w:color="auto" w:fill="E5DFEC"/>
          </w:tcPr>
          <w:p w14:paraId="770A73F2" w14:textId="77777777" w:rsidR="00867590" w:rsidRPr="00433FCA" w:rsidRDefault="00867590" w:rsidP="00FC2EBF">
            <w:pPr>
              <w:spacing w:before="60" w:after="60" w:line="276" w:lineRule="auto"/>
              <w:contextualSpacing/>
              <w:rPr>
                <w:rFonts w:cs="Arial"/>
                <w:b/>
                <w:bCs/>
                <w:i/>
                <w:iCs/>
                <w:sz w:val="20"/>
                <w:szCs w:val="20"/>
              </w:rPr>
            </w:pPr>
            <w:r w:rsidRPr="00433FCA">
              <w:rPr>
                <w:rFonts w:cs="Arial"/>
                <w:b/>
                <w:bCs/>
                <w:i/>
                <w:iCs/>
                <w:sz w:val="20"/>
                <w:szCs w:val="20"/>
              </w:rPr>
              <w:t xml:space="preserve">Management responses </w:t>
            </w:r>
          </w:p>
        </w:tc>
      </w:tr>
      <w:tr w:rsidR="00867590" w:rsidRPr="00433FCA" w14:paraId="754A20A5" w14:textId="77777777" w:rsidTr="00074553">
        <w:trPr>
          <w:cantSplit/>
        </w:trPr>
        <w:tc>
          <w:tcPr>
            <w:tcW w:w="1500" w:type="pct"/>
            <w:shd w:val="clear" w:color="auto" w:fill="92D050"/>
          </w:tcPr>
          <w:p w14:paraId="2EFFB35F" w14:textId="77777777" w:rsidR="00867590" w:rsidRPr="00433FCA" w:rsidRDefault="00867590" w:rsidP="00FC2EBF">
            <w:pPr>
              <w:spacing w:before="60" w:after="60" w:line="276" w:lineRule="auto"/>
              <w:contextualSpacing/>
              <w:rPr>
                <w:rFonts w:cs="Arial"/>
                <w:sz w:val="20"/>
                <w:szCs w:val="20"/>
              </w:rPr>
            </w:pPr>
            <w:r w:rsidRPr="00433FCA">
              <w:rPr>
                <w:rFonts w:cs="Arial"/>
                <w:b/>
                <w:bCs/>
                <w:i/>
                <w:iCs/>
                <w:sz w:val="20"/>
                <w:szCs w:val="20"/>
              </w:rPr>
              <w:t xml:space="preserve">2.2.4 </w:t>
            </w:r>
            <w:r w:rsidRPr="00433FCA">
              <w:rPr>
                <w:rFonts w:cs="Arial"/>
                <w:sz w:val="20"/>
                <w:szCs w:val="20"/>
              </w:rPr>
              <w:t xml:space="preserve">There are measures in place to avoid capture and/or mortality of endangered, threatened or protected species. </w:t>
            </w:r>
          </w:p>
          <w:p w14:paraId="477B7043" w14:textId="23F8E0CD" w:rsidR="004649FA" w:rsidRPr="00433FCA" w:rsidRDefault="004649FA" w:rsidP="00FC2EBF">
            <w:pPr>
              <w:spacing w:before="60" w:after="60" w:line="276" w:lineRule="auto"/>
              <w:contextualSpacing/>
              <w:rPr>
                <w:rFonts w:cs="Arial"/>
                <w:sz w:val="20"/>
                <w:szCs w:val="20"/>
              </w:rPr>
            </w:pPr>
          </w:p>
        </w:tc>
        <w:tc>
          <w:tcPr>
            <w:tcW w:w="3500" w:type="pct"/>
            <w:shd w:val="clear" w:color="auto" w:fill="auto"/>
          </w:tcPr>
          <w:p w14:paraId="01D61483" w14:textId="2ED55B98" w:rsidR="005806BB" w:rsidRDefault="000263A3" w:rsidP="007B04AD">
            <w:pPr>
              <w:spacing w:before="60" w:after="60"/>
              <w:contextualSpacing/>
              <w:rPr>
                <w:rFonts w:cs="Arial"/>
                <w:bCs/>
                <w:sz w:val="20"/>
                <w:szCs w:val="20"/>
              </w:rPr>
            </w:pPr>
            <w:r>
              <w:rPr>
                <w:rFonts w:cs="Arial"/>
                <w:b/>
                <w:sz w:val="20"/>
                <w:szCs w:val="20"/>
              </w:rPr>
              <w:t>Meets</w:t>
            </w:r>
          </w:p>
          <w:p w14:paraId="591E162E" w14:textId="7245D2BA" w:rsidR="000263A3" w:rsidRDefault="000263A3" w:rsidP="007B04AD">
            <w:pPr>
              <w:spacing w:before="60" w:after="60"/>
              <w:contextualSpacing/>
              <w:rPr>
                <w:rFonts w:cs="Arial"/>
                <w:b/>
                <w:sz w:val="20"/>
                <w:szCs w:val="20"/>
                <w:highlight w:val="yellow"/>
              </w:rPr>
            </w:pPr>
          </w:p>
          <w:p w14:paraId="7BB2189C" w14:textId="2F827409" w:rsidR="000263A3" w:rsidRPr="000263A3" w:rsidRDefault="000263A3" w:rsidP="007B04AD">
            <w:pPr>
              <w:spacing w:before="60" w:after="60"/>
              <w:contextualSpacing/>
              <w:rPr>
                <w:rFonts w:cs="Arial"/>
                <w:bCs/>
                <w:sz w:val="20"/>
                <w:szCs w:val="20"/>
              </w:rPr>
            </w:pPr>
            <w:r w:rsidRPr="000263A3">
              <w:rPr>
                <w:rFonts w:cs="Arial"/>
                <w:bCs/>
                <w:sz w:val="20"/>
                <w:szCs w:val="20"/>
              </w:rPr>
              <w:t>Interactions with protected species</w:t>
            </w:r>
            <w:r w:rsidR="00656255">
              <w:rPr>
                <w:rFonts w:cs="Arial"/>
                <w:bCs/>
                <w:sz w:val="20"/>
                <w:szCs w:val="20"/>
              </w:rPr>
              <w:t>, including capture and mortality,</w:t>
            </w:r>
            <w:r w:rsidRPr="000263A3">
              <w:rPr>
                <w:rFonts w:cs="Arial"/>
                <w:bCs/>
                <w:sz w:val="20"/>
                <w:szCs w:val="20"/>
              </w:rPr>
              <w:t xml:space="preserve"> are avoided through </w:t>
            </w:r>
            <w:r w:rsidR="00A0313E">
              <w:rPr>
                <w:rFonts w:cs="Arial"/>
                <w:bCs/>
                <w:sz w:val="20"/>
                <w:szCs w:val="20"/>
              </w:rPr>
              <w:t>various</w:t>
            </w:r>
            <w:r w:rsidRPr="000263A3">
              <w:rPr>
                <w:rFonts w:cs="Arial"/>
                <w:bCs/>
                <w:sz w:val="20"/>
                <w:szCs w:val="20"/>
              </w:rPr>
              <w:t xml:space="preserve"> </w:t>
            </w:r>
            <w:r w:rsidR="00656255">
              <w:rPr>
                <w:rFonts w:cs="Arial"/>
                <w:bCs/>
                <w:sz w:val="20"/>
                <w:szCs w:val="20"/>
              </w:rPr>
              <w:t xml:space="preserve">management measures. The </w:t>
            </w:r>
            <w:r w:rsidR="00A84EFB">
              <w:rPr>
                <w:rFonts w:cs="Arial"/>
                <w:bCs/>
                <w:sz w:val="20"/>
                <w:szCs w:val="20"/>
              </w:rPr>
              <w:t>applicant monitors the behaviour and local abundance of Weedy Seadragons through video recording</w:t>
            </w:r>
            <w:r w:rsidR="001768B3">
              <w:rPr>
                <w:rFonts w:cs="Arial"/>
                <w:bCs/>
                <w:sz w:val="20"/>
                <w:szCs w:val="20"/>
              </w:rPr>
              <w:t xml:space="preserve">s. </w:t>
            </w:r>
            <w:r w:rsidR="006A0D4C">
              <w:rPr>
                <w:rFonts w:cs="Arial"/>
                <w:bCs/>
                <w:sz w:val="20"/>
                <w:szCs w:val="20"/>
              </w:rPr>
              <w:t xml:space="preserve">In addition, the VFA permit for Protected Aquatic Biota </w:t>
            </w:r>
            <w:r w:rsidR="009C7254">
              <w:rPr>
                <w:rFonts w:cs="Arial"/>
                <w:bCs/>
                <w:sz w:val="20"/>
                <w:szCs w:val="20"/>
              </w:rPr>
              <w:t>prohibits collection</w:t>
            </w:r>
            <w:r w:rsidR="00345A80">
              <w:rPr>
                <w:rFonts w:cs="Arial"/>
                <w:bCs/>
                <w:sz w:val="20"/>
                <w:szCs w:val="20"/>
              </w:rPr>
              <w:t xml:space="preserve"> </w:t>
            </w:r>
            <w:r w:rsidR="00E4496B">
              <w:rPr>
                <w:rFonts w:cs="Arial"/>
                <w:bCs/>
                <w:sz w:val="20"/>
                <w:szCs w:val="20"/>
              </w:rPr>
              <w:t>from</w:t>
            </w:r>
            <w:r w:rsidR="00345A80">
              <w:rPr>
                <w:rFonts w:cs="Arial"/>
                <w:bCs/>
                <w:sz w:val="20"/>
                <w:szCs w:val="20"/>
              </w:rPr>
              <w:t xml:space="preserve"> Marine Reserves and other marine protected areas.</w:t>
            </w:r>
            <w:r w:rsidR="00C41E00">
              <w:rPr>
                <w:rFonts w:cs="Arial"/>
                <w:bCs/>
                <w:sz w:val="20"/>
                <w:szCs w:val="20"/>
              </w:rPr>
              <w:t xml:space="preserve"> </w:t>
            </w:r>
            <w:r w:rsidR="000B5C6F">
              <w:rPr>
                <w:rFonts w:cs="Arial"/>
                <w:bCs/>
                <w:sz w:val="20"/>
                <w:szCs w:val="20"/>
              </w:rPr>
              <w:t xml:space="preserve">The selective fishing method (hand collection) and low </w:t>
            </w:r>
            <w:r w:rsidR="003C52FF">
              <w:rPr>
                <w:rFonts w:cs="Arial"/>
                <w:bCs/>
                <w:sz w:val="20"/>
                <w:szCs w:val="20"/>
              </w:rPr>
              <w:t>level of harvest</w:t>
            </w:r>
            <w:r w:rsidR="000B5C6F">
              <w:rPr>
                <w:rFonts w:cs="Arial"/>
                <w:bCs/>
                <w:sz w:val="20"/>
                <w:szCs w:val="20"/>
              </w:rPr>
              <w:t xml:space="preserve"> (4 specimens </w:t>
            </w:r>
            <w:r w:rsidR="00717D5E">
              <w:rPr>
                <w:rFonts w:cs="Arial"/>
                <w:bCs/>
                <w:sz w:val="20"/>
                <w:szCs w:val="20"/>
              </w:rPr>
              <w:t>of</w:t>
            </w:r>
            <w:r w:rsidR="000B5C6F">
              <w:rPr>
                <w:rFonts w:cs="Arial"/>
                <w:bCs/>
                <w:sz w:val="20"/>
                <w:szCs w:val="20"/>
              </w:rPr>
              <w:t xml:space="preserve"> each species)</w:t>
            </w:r>
            <w:r w:rsidR="003E1AA0">
              <w:rPr>
                <w:rFonts w:cs="Arial"/>
                <w:bCs/>
                <w:sz w:val="20"/>
                <w:szCs w:val="20"/>
              </w:rPr>
              <w:t xml:space="preserve"> also limits the </w:t>
            </w:r>
            <w:r w:rsidR="00781093">
              <w:rPr>
                <w:rFonts w:cs="Arial"/>
                <w:bCs/>
                <w:sz w:val="20"/>
                <w:szCs w:val="20"/>
              </w:rPr>
              <w:t>possibility</w:t>
            </w:r>
            <w:r w:rsidR="003E1AA0">
              <w:rPr>
                <w:rFonts w:cs="Arial"/>
                <w:bCs/>
                <w:sz w:val="20"/>
                <w:szCs w:val="20"/>
              </w:rPr>
              <w:t xml:space="preserve"> of </w:t>
            </w:r>
            <w:r w:rsidR="004E1D6D">
              <w:rPr>
                <w:rFonts w:cs="Arial"/>
                <w:bCs/>
                <w:sz w:val="20"/>
                <w:szCs w:val="20"/>
              </w:rPr>
              <w:t xml:space="preserve">having </w:t>
            </w:r>
            <w:r w:rsidR="003E1AA0">
              <w:rPr>
                <w:rFonts w:cs="Arial"/>
                <w:bCs/>
                <w:sz w:val="20"/>
                <w:szCs w:val="20"/>
              </w:rPr>
              <w:t>adverse</w:t>
            </w:r>
            <w:r w:rsidR="002748DD">
              <w:rPr>
                <w:rFonts w:cs="Arial"/>
                <w:bCs/>
                <w:sz w:val="20"/>
                <w:szCs w:val="20"/>
              </w:rPr>
              <w:t xml:space="preserve"> interactions with</w:t>
            </w:r>
            <w:r w:rsidR="00781093">
              <w:rPr>
                <w:rFonts w:cs="Arial"/>
                <w:bCs/>
                <w:sz w:val="20"/>
                <w:szCs w:val="20"/>
              </w:rPr>
              <w:t xml:space="preserve"> protected species.</w:t>
            </w:r>
            <w:r w:rsidR="002748DD">
              <w:rPr>
                <w:rFonts w:cs="Arial"/>
                <w:bCs/>
                <w:sz w:val="20"/>
                <w:szCs w:val="20"/>
              </w:rPr>
              <w:t xml:space="preserve"> </w:t>
            </w:r>
          </w:p>
          <w:p w14:paraId="21953CCC" w14:textId="61E4F805" w:rsidR="00867590" w:rsidRPr="00433FCA" w:rsidRDefault="00867590" w:rsidP="00FC2EBF">
            <w:pPr>
              <w:spacing w:before="60" w:after="60" w:line="276" w:lineRule="auto"/>
              <w:contextualSpacing/>
              <w:rPr>
                <w:rFonts w:cs="Arial"/>
                <w:sz w:val="20"/>
                <w:szCs w:val="20"/>
              </w:rPr>
            </w:pPr>
          </w:p>
        </w:tc>
      </w:tr>
      <w:tr w:rsidR="00867590" w:rsidRPr="00433FCA" w14:paraId="23325650" w14:textId="77777777" w:rsidTr="002F0C8B">
        <w:trPr>
          <w:cantSplit/>
        </w:trPr>
        <w:tc>
          <w:tcPr>
            <w:tcW w:w="1500" w:type="pct"/>
          </w:tcPr>
          <w:p w14:paraId="229107EC" w14:textId="77777777" w:rsidR="00867590" w:rsidRPr="00433FCA" w:rsidRDefault="00867590" w:rsidP="00FC2EBF">
            <w:pPr>
              <w:spacing w:before="60" w:after="60" w:line="276" w:lineRule="auto"/>
              <w:contextualSpacing/>
              <w:rPr>
                <w:rFonts w:cs="Arial"/>
                <w:sz w:val="20"/>
                <w:szCs w:val="20"/>
              </w:rPr>
            </w:pPr>
            <w:r w:rsidRPr="00433FCA">
              <w:rPr>
                <w:rFonts w:cs="Arial"/>
                <w:b/>
                <w:bCs/>
                <w:i/>
                <w:iCs/>
                <w:sz w:val="20"/>
                <w:szCs w:val="20"/>
              </w:rPr>
              <w:t xml:space="preserve">2.2.5 </w:t>
            </w:r>
            <w:r w:rsidRPr="00433FCA">
              <w:rPr>
                <w:rFonts w:cs="Arial"/>
                <w:sz w:val="20"/>
                <w:szCs w:val="20"/>
              </w:rPr>
              <w:t xml:space="preserve">There are measures in place to avoid impact on threatened ecological communities. </w:t>
            </w:r>
          </w:p>
          <w:p w14:paraId="3E2B3DBF" w14:textId="235D2D5F" w:rsidR="004649FA" w:rsidRPr="00433FCA" w:rsidRDefault="004649FA" w:rsidP="00FC2EBF">
            <w:pPr>
              <w:spacing w:before="60" w:after="60" w:line="276" w:lineRule="auto"/>
              <w:contextualSpacing/>
              <w:rPr>
                <w:rFonts w:cs="Arial"/>
                <w:sz w:val="20"/>
                <w:szCs w:val="20"/>
              </w:rPr>
            </w:pPr>
          </w:p>
        </w:tc>
        <w:tc>
          <w:tcPr>
            <w:tcW w:w="3500" w:type="pct"/>
            <w:shd w:val="clear" w:color="auto" w:fill="auto"/>
          </w:tcPr>
          <w:p w14:paraId="3E50BE3C" w14:textId="540AF30E" w:rsidR="005806BB" w:rsidRPr="008E5CB9" w:rsidRDefault="008E5CB9" w:rsidP="00FC2EBF">
            <w:pPr>
              <w:spacing w:before="60" w:after="60" w:line="276" w:lineRule="auto"/>
              <w:contextualSpacing/>
              <w:rPr>
                <w:rFonts w:cs="Arial"/>
                <w:b/>
                <w:sz w:val="20"/>
                <w:szCs w:val="20"/>
              </w:rPr>
            </w:pPr>
            <w:r w:rsidRPr="008E5CB9">
              <w:rPr>
                <w:rFonts w:cs="Arial"/>
                <w:b/>
                <w:sz w:val="20"/>
                <w:szCs w:val="20"/>
              </w:rPr>
              <w:t>Not applicable</w:t>
            </w:r>
          </w:p>
          <w:p w14:paraId="685DBD60" w14:textId="77777777" w:rsidR="008E5CB9" w:rsidRPr="00433FCA" w:rsidRDefault="008E5CB9" w:rsidP="00FC2EBF">
            <w:pPr>
              <w:spacing w:before="60" w:after="60" w:line="276" w:lineRule="auto"/>
              <w:contextualSpacing/>
              <w:rPr>
                <w:rFonts w:cs="Arial"/>
                <w:b/>
                <w:sz w:val="20"/>
                <w:szCs w:val="20"/>
                <w:highlight w:val="yellow"/>
              </w:rPr>
            </w:pPr>
          </w:p>
          <w:p w14:paraId="296D7FC4" w14:textId="77777777" w:rsidR="008E5CB9" w:rsidRPr="008E5CB9" w:rsidRDefault="008E5CB9" w:rsidP="008E5CB9">
            <w:pPr>
              <w:spacing w:before="60" w:after="60" w:line="276" w:lineRule="auto"/>
              <w:contextualSpacing/>
              <w:rPr>
                <w:rFonts w:cs="Arial"/>
                <w:bCs/>
                <w:sz w:val="20"/>
                <w:szCs w:val="20"/>
              </w:rPr>
            </w:pPr>
            <w:r w:rsidRPr="008E5CB9">
              <w:rPr>
                <w:rFonts w:cs="Arial"/>
                <w:bCs/>
                <w:sz w:val="20"/>
                <w:szCs w:val="20"/>
              </w:rPr>
              <w:t>There are no threatened ecological communities listed under the EPBC Act in the prescribed harvesting region.</w:t>
            </w:r>
          </w:p>
          <w:p w14:paraId="3D633D45" w14:textId="48282DC6" w:rsidR="00867590" w:rsidRPr="00433FCA" w:rsidRDefault="00867590" w:rsidP="00FC2EBF">
            <w:pPr>
              <w:spacing w:before="60" w:after="60" w:line="276" w:lineRule="auto"/>
              <w:contextualSpacing/>
              <w:rPr>
                <w:rFonts w:cs="Arial"/>
                <w:sz w:val="20"/>
                <w:szCs w:val="20"/>
              </w:rPr>
            </w:pPr>
          </w:p>
        </w:tc>
      </w:tr>
      <w:tr w:rsidR="00867590" w:rsidRPr="00433FCA" w14:paraId="5D830546" w14:textId="77777777" w:rsidTr="00074553">
        <w:trPr>
          <w:cantSplit/>
        </w:trPr>
        <w:tc>
          <w:tcPr>
            <w:tcW w:w="1500" w:type="pct"/>
            <w:shd w:val="clear" w:color="auto" w:fill="92D050"/>
          </w:tcPr>
          <w:p w14:paraId="30E9BC5B" w14:textId="77777777" w:rsidR="00867590" w:rsidRPr="00433FCA" w:rsidRDefault="00867590" w:rsidP="00FC2EBF">
            <w:pPr>
              <w:spacing w:before="60" w:after="60" w:line="276" w:lineRule="auto"/>
              <w:contextualSpacing/>
              <w:rPr>
                <w:rFonts w:cs="Arial"/>
                <w:sz w:val="20"/>
                <w:szCs w:val="20"/>
              </w:rPr>
            </w:pPr>
            <w:r w:rsidRPr="00433FCA">
              <w:rPr>
                <w:rFonts w:cs="Arial"/>
                <w:b/>
                <w:bCs/>
                <w:i/>
                <w:iCs/>
                <w:sz w:val="20"/>
                <w:szCs w:val="20"/>
              </w:rPr>
              <w:t xml:space="preserve">2.2.6 </w:t>
            </w:r>
            <w:r w:rsidRPr="00433FCA">
              <w:rPr>
                <w:rFonts w:cs="Arial"/>
                <w:sz w:val="20"/>
                <w:szCs w:val="20"/>
              </w:rPr>
              <w:t xml:space="preserve">The management response, considering uncertainties in the assessment and precautionary management actions, has a high chance of achieving the objective. </w:t>
            </w:r>
          </w:p>
          <w:p w14:paraId="13A19148" w14:textId="1EF3C52F" w:rsidR="004649FA" w:rsidRPr="00433FCA" w:rsidRDefault="004649FA" w:rsidP="00FC2EBF">
            <w:pPr>
              <w:spacing w:before="60" w:after="60" w:line="276" w:lineRule="auto"/>
              <w:contextualSpacing/>
              <w:rPr>
                <w:rFonts w:cs="Arial"/>
                <w:sz w:val="20"/>
                <w:szCs w:val="20"/>
              </w:rPr>
            </w:pPr>
          </w:p>
        </w:tc>
        <w:tc>
          <w:tcPr>
            <w:tcW w:w="3500" w:type="pct"/>
            <w:shd w:val="clear" w:color="auto" w:fill="auto"/>
          </w:tcPr>
          <w:p w14:paraId="19FDCA5C" w14:textId="77777777" w:rsidR="00867590" w:rsidRPr="00DF2E65" w:rsidRDefault="002C1962" w:rsidP="002C1962">
            <w:pPr>
              <w:spacing w:before="60" w:after="60" w:line="276" w:lineRule="auto"/>
              <w:contextualSpacing/>
              <w:rPr>
                <w:rFonts w:cs="Arial"/>
                <w:b/>
                <w:sz w:val="20"/>
                <w:szCs w:val="20"/>
              </w:rPr>
            </w:pPr>
            <w:r w:rsidRPr="00DF2E65">
              <w:rPr>
                <w:rFonts w:cs="Arial"/>
                <w:b/>
                <w:sz w:val="20"/>
                <w:szCs w:val="20"/>
              </w:rPr>
              <w:t>Meets</w:t>
            </w:r>
          </w:p>
          <w:p w14:paraId="6164CF27" w14:textId="77777777" w:rsidR="002C1962" w:rsidRDefault="002C1962" w:rsidP="002C1962">
            <w:pPr>
              <w:spacing w:before="60" w:after="60" w:line="276" w:lineRule="auto"/>
              <w:contextualSpacing/>
              <w:rPr>
                <w:rFonts w:cs="Arial"/>
                <w:bCs/>
                <w:sz w:val="20"/>
                <w:szCs w:val="20"/>
              </w:rPr>
            </w:pPr>
          </w:p>
          <w:p w14:paraId="5173AB64" w14:textId="2D1C46E1" w:rsidR="002C1962" w:rsidRPr="002C1962" w:rsidRDefault="000A29CD" w:rsidP="002C1962">
            <w:pPr>
              <w:spacing w:before="60" w:after="60" w:line="276" w:lineRule="auto"/>
              <w:contextualSpacing/>
              <w:rPr>
                <w:rFonts w:cs="Arial"/>
                <w:bCs/>
                <w:sz w:val="20"/>
                <w:szCs w:val="20"/>
              </w:rPr>
            </w:pPr>
            <w:r>
              <w:rPr>
                <w:rFonts w:cs="Arial"/>
                <w:bCs/>
                <w:sz w:val="20"/>
                <w:szCs w:val="20"/>
              </w:rPr>
              <w:t>The permit conditions prescribed by the VFA</w:t>
            </w:r>
            <w:r w:rsidR="00D54163">
              <w:rPr>
                <w:rFonts w:cs="Arial"/>
                <w:bCs/>
                <w:sz w:val="20"/>
                <w:szCs w:val="20"/>
              </w:rPr>
              <w:t xml:space="preserve">, including </w:t>
            </w:r>
            <w:r w:rsidR="00907909">
              <w:rPr>
                <w:rFonts w:cs="Arial"/>
                <w:bCs/>
                <w:sz w:val="20"/>
                <w:szCs w:val="20"/>
              </w:rPr>
              <w:t>restrictions on harvested species, annual take</w:t>
            </w:r>
            <w:r w:rsidR="006F0DC8">
              <w:rPr>
                <w:rFonts w:cs="Arial"/>
                <w:bCs/>
                <w:sz w:val="20"/>
                <w:szCs w:val="20"/>
              </w:rPr>
              <w:t xml:space="preserve"> and locations</w:t>
            </w:r>
            <w:r w:rsidR="007E4358">
              <w:rPr>
                <w:rFonts w:cs="Arial"/>
                <w:bCs/>
                <w:sz w:val="20"/>
                <w:szCs w:val="20"/>
              </w:rPr>
              <w:t xml:space="preserve">, ensures that </w:t>
            </w:r>
            <w:r w:rsidR="006D1E31">
              <w:rPr>
                <w:rFonts w:cs="Arial"/>
                <w:bCs/>
                <w:sz w:val="20"/>
                <w:szCs w:val="20"/>
              </w:rPr>
              <w:t xml:space="preserve">the operation does not adversely impact </w:t>
            </w:r>
            <w:r w:rsidR="000F5FB3">
              <w:rPr>
                <w:rFonts w:cs="Arial"/>
                <w:bCs/>
                <w:sz w:val="20"/>
                <w:szCs w:val="20"/>
              </w:rPr>
              <w:t>protected marine species and ecological communities</w:t>
            </w:r>
            <w:r w:rsidR="00B27C78">
              <w:rPr>
                <w:rFonts w:cs="Arial"/>
                <w:bCs/>
                <w:sz w:val="20"/>
                <w:szCs w:val="20"/>
              </w:rPr>
              <w:t xml:space="preserve"> through mortality and injury</w:t>
            </w:r>
            <w:r w:rsidR="000F5FB3">
              <w:rPr>
                <w:rFonts w:cs="Arial"/>
                <w:bCs/>
                <w:sz w:val="20"/>
                <w:szCs w:val="20"/>
              </w:rPr>
              <w:t>.</w:t>
            </w:r>
          </w:p>
        </w:tc>
      </w:tr>
      <w:tr w:rsidR="00867590" w:rsidRPr="00433FCA" w14:paraId="4FDFB921" w14:textId="77777777" w:rsidTr="002F0C8B">
        <w:trPr>
          <w:cantSplit/>
        </w:trPr>
        <w:tc>
          <w:tcPr>
            <w:tcW w:w="5000" w:type="pct"/>
            <w:gridSpan w:val="2"/>
            <w:shd w:val="clear" w:color="auto" w:fill="CCC0D9"/>
          </w:tcPr>
          <w:p w14:paraId="066E487E" w14:textId="0E286624" w:rsidR="00867590" w:rsidRPr="00433FCA" w:rsidRDefault="00867590" w:rsidP="00FC2EBF">
            <w:pPr>
              <w:spacing w:before="60" w:after="60" w:line="276" w:lineRule="auto"/>
              <w:contextualSpacing/>
              <w:rPr>
                <w:rFonts w:cs="Arial"/>
                <w:b/>
                <w:bCs/>
                <w:sz w:val="20"/>
                <w:szCs w:val="20"/>
              </w:rPr>
            </w:pPr>
            <w:r w:rsidRPr="00433FCA">
              <w:rPr>
                <w:rFonts w:cs="Arial"/>
                <w:b/>
                <w:bCs/>
                <w:sz w:val="20"/>
                <w:szCs w:val="20"/>
              </w:rPr>
              <w:t xml:space="preserve">Objective 3 - </w:t>
            </w:r>
            <w:r w:rsidRPr="00433FCA">
              <w:rPr>
                <w:rFonts w:cs="Arial"/>
                <w:sz w:val="20"/>
                <w:szCs w:val="20"/>
              </w:rPr>
              <w:t>The fishery is conducted, in a manner that minimises the impact of fishing operations on the ecosystem generally.</w:t>
            </w:r>
          </w:p>
        </w:tc>
      </w:tr>
      <w:tr w:rsidR="00867590" w:rsidRPr="00433FCA" w14:paraId="7CD7A422" w14:textId="77777777" w:rsidTr="002F0C8B">
        <w:trPr>
          <w:cantSplit/>
        </w:trPr>
        <w:tc>
          <w:tcPr>
            <w:tcW w:w="5000" w:type="pct"/>
            <w:gridSpan w:val="2"/>
            <w:shd w:val="clear" w:color="auto" w:fill="E5DFEC"/>
          </w:tcPr>
          <w:p w14:paraId="54CDF909" w14:textId="77777777" w:rsidR="00867590" w:rsidRPr="00433FCA" w:rsidRDefault="00867590" w:rsidP="00FC2EBF">
            <w:pPr>
              <w:spacing w:before="60" w:after="60" w:line="276" w:lineRule="auto"/>
              <w:contextualSpacing/>
              <w:rPr>
                <w:rFonts w:cs="Arial"/>
                <w:b/>
                <w:bCs/>
                <w:i/>
                <w:iCs/>
                <w:sz w:val="20"/>
                <w:szCs w:val="20"/>
              </w:rPr>
            </w:pPr>
            <w:r w:rsidRPr="00433FCA">
              <w:rPr>
                <w:rFonts w:cs="Arial"/>
                <w:b/>
                <w:bCs/>
                <w:i/>
                <w:iCs/>
                <w:sz w:val="20"/>
                <w:szCs w:val="20"/>
              </w:rPr>
              <w:t xml:space="preserve">Information requirements </w:t>
            </w:r>
          </w:p>
        </w:tc>
      </w:tr>
      <w:tr w:rsidR="00867590" w:rsidRPr="00433FCA" w14:paraId="4AA6925D" w14:textId="77777777" w:rsidTr="00074553">
        <w:trPr>
          <w:cantSplit/>
        </w:trPr>
        <w:tc>
          <w:tcPr>
            <w:tcW w:w="1500" w:type="pct"/>
            <w:shd w:val="clear" w:color="auto" w:fill="92D050"/>
          </w:tcPr>
          <w:p w14:paraId="36944ABB" w14:textId="2BFFD226" w:rsidR="004649FA" w:rsidRPr="00433FCA" w:rsidRDefault="00867590" w:rsidP="00FC2EBF">
            <w:pPr>
              <w:spacing w:before="60" w:after="60" w:line="276" w:lineRule="auto"/>
              <w:contextualSpacing/>
              <w:rPr>
                <w:rFonts w:cs="Arial"/>
                <w:sz w:val="20"/>
                <w:szCs w:val="20"/>
              </w:rPr>
            </w:pPr>
            <w:r w:rsidRPr="00433FCA">
              <w:rPr>
                <w:rFonts w:cs="Arial"/>
                <w:b/>
                <w:bCs/>
                <w:iCs/>
                <w:sz w:val="20"/>
                <w:szCs w:val="20"/>
              </w:rPr>
              <w:t xml:space="preserve">2.3.1 </w:t>
            </w:r>
            <w:r w:rsidRPr="00433FCA">
              <w:rPr>
                <w:rFonts w:cs="Arial"/>
                <w:sz w:val="20"/>
                <w:szCs w:val="20"/>
              </w:rPr>
              <w:t>Information appropriate for the analysis in 2.3.2 is collated and/or collected covering the fishe</w:t>
            </w:r>
            <w:r w:rsidR="009257AD" w:rsidRPr="00433FCA">
              <w:rPr>
                <w:rFonts w:cs="Arial"/>
                <w:sz w:val="20"/>
                <w:szCs w:val="20"/>
              </w:rPr>
              <w:t>ry’s</w:t>
            </w:r>
            <w:r w:rsidRPr="00433FCA">
              <w:rPr>
                <w:rFonts w:cs="Arial"/>
                <w:sz w:val="20"/>
                <w:szCs w:val="20"/>
              </w:rPr>
              <w:t xml:space="preserve"> impact on the ecosystem and environment generally. </w:t>
            </w:r>
          </w:p>
        </w:tc>
        <w:tc>
          <w:tcPr>
            <w:tcW w:w="3500" w:type="pct"/>
            <w:shd w:val="clear" w:color="auto" w:fill="auto"/>
          </w:tcPr>
          <w:p w14:paraId="60A23DFB" w14:textId="5D005EB2" w:rsidR="00A44282" w:rsidRPr="00000311" w:rsidRDefault="0014014C" w:rsidP="00FC2EBF">
            <w:pPr>
              <w:spacing w:before="60" w:after="60" w:line="276" w:lineRule="auto"/>
              <w:contextualSpacing/>
              <w:rPr>
                <w:rFonts w:cs="Arial"/>
                <w:b/>
                <w:sz w:val="20"/>
                <w:szCs w:val="20"/>
              </w:rPr>
            </w:pPr>
            <w:r w:rsidRPr="00000311">
              <w:rPr>
                <w:rFonts w:cs="Arial"/>
                <w:b/>
                <w:sz w:val="20"/>
                <w:szCs w:val="20"/>
              </w:rPr>
              <w:t>Meets</w:t>
            </w:r>
          </w:p>
          <w:p w14:paraId="723DAAED" w14:textId="42D34540" w:rsidR="009333A4" w:rsidRPr="00000311" w:rsidRDefault="009333A4" w:rsidP="00FC2EBF">
            <w:pPr>
              <w:spacing w:before="60" w:after="60" w:line="276" w:lineRule="auto"/>
              <w:contextualSpacing/>
              <w:rPr>
                <w:rFonts w:cs="Arial"/>
                <w:bCs/>
                <w:sz w:val="20"/>
                <w:szCs w:val="20"/>
              </w:rPr>
            </w:pPr>
          </w:p>
          <w:p w14:paraId="7B4E20F2" w14:textId="0DCC4F75" w:rsidR="00430FF3" w:rsidRPr="004D182C" w:rsidRDefault="009333A4" w:rsidP="004D182C">
            <w:pPr>
              <w:spacing w:before="60" w:after="60" w:line="276" w:lineRule="auto"/>
              <w:contextualSpacing/>
              <w:rPr>
                <w:rFonts w:cs="Arial"/>
                <w:bCs/>
                <w:sz w:val="20"/>
                <w:szCs w:val="20"/>
              </w:rPr>
            </w:pPr>
            <w:r w:rsidRPr="00000311">
              <w:rPr>
                <w:rFonts w:cs="Arial"/>
                <w:bCs/>
                <w:sz w:val="20"/>
                <w:szCs w:val="20"/>
              </w:rPr>
              <w:t>Robust methods</w:t>
            </w:r>
            <w:r w:rsidR="00000311" w:rsidRPr="00000311">
              <w:rPr>
                <w:rFonts w:cs="Arial"/>
                <w:bCs/>
                <w:sz w:val="20"/>
                <w:szCs w:val="20"/>
              </w:rPr>
              <w:t xml:space="preserve"> of data collection are </w:t>
            </w:r>
            <w:r w:rsidR="00000311">
              <w:rPr>
                <w:rFonts w:cs="Arial"/>
                <w:bCs/>
                <w:sz w:val="20"/>
                <w:szCs w:val="20"/>
              </w:rPr>
              <w:t xml:space="preserve">implemented for this operation. </w:t>
            </w:r>
            <w:r w:rsidR="0014014C" w:rsidRPr="00000311">
              <w:rPr>
                <w:rFonts w:cs="Arial"/>
                <w:bCs/>
                <w:sz w:val="20"/>
                <w:szCs w:val="20"/>
              </w:rPr>
              <w:t>The VFA permit</w:t>
            </w:r>
            <w:r w:rsidR="001C3673" w:rsidRPr="00000311">
              <w:rPr>
                <w:rFonts w:cs="Arial"/>
                <w:bCs/>
                <w:sz w:val="20"/>
                <w:szCs w:val="20"/>
              </w:rPr>
              <w:t xml:space="preserve"> </w:t>
            </w:r>
            <w:r w:rsidR="008E2EAE" w:rsidRPr="00000311">
              <w:rPr>
                <w:rFonts w:cs="Arial"/>
                <w:bCs/>
                <w:sz w:val="20"/>
                <w:szCs w:val="20"/>
              </w:rPr>
              <w:t xml:space="preserve">requires that </w:t>
            </w:r>
            <w:r w:rsidR="00000311">
              <w:rPr>
                <w:rFonts w:cs="Arial"/>
                <w:bCs/>
                <w:sz w:val="20"/>
                <w:szCs w:val="20"/>
              </w:rPr>
              <w:t xml:space="preserve">accurate </w:t>
            </w:r>
            <w:r w:rsidR="008E2EAE" w:rsidRPr="00000311">
              <w:rPr>
                <w:rFonts w:cs="Arial"/>
                <w:bCs/>
                <w:sz w:val="20"/>
                <w:szCs w:val="20"/>
              </w:rPr>
              <w:t>data is collected following each harvesting activity</w:t>
            </w:r>
            <w:r w:rsidR="00000311">
              <w:rPr>
                <w:rFonts w:cs="Arial"/>
                <w:bCs/>
                <w:sz w:val="20"/>
                <w:szCs w:val="20"/>
              </w:rPr>
              <w:t xml:space="preserve">, </w:t>
            </w:r>
            <w:r w:rsidR="00FD1B6C">
              <w:rPr>
                <w:rFonts w:cs="Arial"/>
                <w:bCs/>
                <w:sz w:val="20"/>
                <w:szCs w:val="20"/>
              </w:rPr>
              <w:t xml:space="preserve">with details </w:t>
            </w:r>
            <w:r w:rsidR="00000311">
              <w:rPr>
                <w:rFonts w:cs="Arial"/>
                <w:bCs/>
                <w:sz w:val="20"/>
                <w:szCs w:val="20"/>
              </w:rPr>
              <w:t>inclu</w:t>
            </w:r>
            <w:r w:rsidR="009B076A">
              <w:rPr>
                <w:rFonts w:cs="Arial"/>
                <w:bCs/>
                <w:sz w:val="20"/>
                <w:szCs w:val="20"/>
              </w:rPr>
              <w:t xml:space="preserve">ding the number of </w:t>
            </w:r>
            <w:r w:rsidR="00A51D43" w:rsidRPr="00000311">
              <w:rPr>
                <w:rFonts w:cs="Arial"/>
                <w:bCs/>
                <w:sz w:val="20"/>
                <w:szCs w:val="20"/>
              </w:rPr>
              <w:t xml:space="preserve">stock on hand and </w:t>
            </w:r>
            <w:r w:rsidR="009B076A">
              <w:rPr>
                <w:rFonts w:cs="Arial"/>
                <w:bCs/>
                <w:sz w:val="20"/>
                <w:szCs w:val="20"/>
              </w:rPr>
              <w:t xml:space="preserve">the location that was accessed. </w:t>
            </w:r>
            <w:r w:rsidR="000C5477" w:rsidRPr="009B076A">
              <w:rPr>
                <w:rFonts w:cs="Arial"/>
                <w:bCs/>
                <w:sz w:val="20"/>
                <w:szCs w:val="20"/>
              </w:rPr>
              <w:t xml:space="preserve">The applicant uses underwater video recording </w:t>
            </w:r>
            <w:r w:rsidR="00DB619F" w:rsidRPr="009B076A">
              <w:rPr>
                <w:rFonts w:cs="Arial"/>
                <w:bCs/>
                <w:sz w:val="20"/>
                <w:szCs w:val="20"/>
              </w:rPr>
              <w:t>to</w:t>
            </w:r>
            <w:r w:rsidR="00A24C4D" w:rsidRPr="009B076A">
              <w:rPr>
                <w:rFonts w:cs="Arial"/>
                <w:bCs/>
                <w:sz w:val="20"/>
                <w:szCs w:val="20"/>
              </w:rPr>
              <w:t xml:space="preserve"> assess and establish trends in local population </w:t>
            </w:r>
            <w:r w:rsidR="004D3CB8">
              <w:rPr>
                <w:rFonts w:cs="Arial"/>
                <w:bCs/>
                <w:sz w:val="20"/>
                <w:szCs w:val="20"/>
              </w:rPr>
              <w:t>sizes</w:t>
            </w:r>
            <w:r w:rsidR="00430FF3" w:rsidRPr="009B076A">
              <w:rPr>
                <w:rFonts w:cs="Arial"/>
                <w:bCs/>
                <w:sz w:val="20"/>
                <w:szCs w:val="20"/>
              </w:rPr>
              <w:t xml:space="preserve"> for targeted syngnathid species.</w:t>
            </w:r>
            <w:r w:rsidR="004D182C">
              <w:rPr>
                <w:rFonts w:cs="Arial"/>
                <w:bCs/>
                <w:sz w:val="20"/>
                <w:szCs w:val="20"/>
              </w:rPr>
              <w:t xml:space="preserve"> </w:t>
            </w:r>
            <w:r w:rsidR="005D6275" w:rsidRPr="004D182C">
              <w:rPr>
                <w:rFonts w:cs="Arial"/>
                <w:bCs/>
                <w:sz w:val="20"/>
                <w:szCs w:val="20"/>
              </w:rPr>
              <w:t>Information</w:t>
            </w:r>
            <w:r w:rsidR="004749F0" w:rsidRPr="004D182C">
              <w:rPr>
                <w:rFonts w:cs="Arial"/>
                <w:bCs/>
                <w:sz w:val="20"/>
                <w:szCs w:val="20"/>
              </w:rPr>
              <w:t xml:space="preserve"> on the environmental impacts </w:t>
            </w:r>
            <w:r w:rsidR="004D182C">
              <w:rPr>
                <w:rFonts w:cs="Arial"/>
                <w:bCs/>
                <w:sz w:val="20"/>
                <w:szCs w:val="20"/>
              </w:rPr>
              <w:t>caused by this</w:t>
            </w:r>
            <w:r w:rsidR="009E679E" w:rsidRPr="004D182C">
              <w:rPr>
                <w:rFonts w:cs="Arial"/>
                <w:bCs/>
                <w:sz w:val="20"/>
                <w:szCs w:val="20"/>
              </w:rPr>
              <w:t xml:space="preserve"> operation</w:t>
            </w:r>
            <w:r w:rsidR="005D6275" w:rsidRPr="004D182C">
              <w:rPr>
                <w:rFonts w:cs="Arial"/>
                <w:bCs/>
                <w:sz w:val="20"/>
                <w:szCs w:val="20"/>
              </w:rPr>
              <w:t xml:space="preserve"> </w:t>
            </w:r>
            <w:r w:rsidR="004D182C">
              <w:rPr>
                <w:rFonts w:cs="Arial"/>
                <w:bCs/>
                <w:sz w:val="20"/>
                <w:szCs w:val="20"/>
              </w:rPr>
              <w:t xml:space="preserve">is not available, due to the absence of </w:t>
            </w:r>
            <w:r w:rsidR="00237443">
              <w:rPr>
                <w:rFonts w:cs="Arial"/>
                <w:bCs/>
                <w:sz w:val="20"/>
                <w:szCs w:val="20"/>
              </w:rPr>
              <w:t xml:space="preserve">formal </w:t>
            </w:r>
            <w:r w:rsidR="004D182C">
              <w:rPr>
                <w:rFonts w:cs="Arial"/>
                <w:bCs/>
                <w:sz w:val="20"/>
                <w:szCs w:val="20"/>
              </w:rPr>
              <w:t>population monitoring programs in the area</w:t>
            </w:r>
            <w:r w:rsidR="00F1113C" w:rsidRPr="004D182C">
              <w:rPr>
                <w:rFonts w:cs="Arial"/>
                <w:bCs/>
                <w:sz w:val="20"/>
                <w:szCs w:val="20"/>
              </w:rPr>
              <w:t>. Such information is</w:t>
            </w:r>
            <w:r w:rsidR="004D182C">
              <w:rPr>
                <w:rFonts w:cs="Arial"/>
                <w:bCs/>
                <w:sz w:val="20"/>
                <w:szCs w:val="20"/>
              </w:rPr>
              <w:t xml:space="preserve"> considered</w:t>
            </w:r>
            <w:r w:rsidR="00452DEE">
              <w:rPr>
                <w:rFonts w:cs="Arial"/>
                <w:bCs/>
                <w:sz w:val="20"/>
                <w:szCs w:val="20"/>
              </w:rPr>
              <w:t xml:space="preserve"> unnecessary, given that the operation uses a low</w:t>
            </w:r>
            <w:r w:rsidR="00B86AF3">
              <w:rPr>
                <w:rFonts w:cs="Arial"/>
                <w:bCs/>
                <w:sz w:val="20"/>
                <w:szCs w:val="20"/>
              </w:rPr>
              <w:t>-</w:t>
            </w:r>
            <w:r w:rsidR="00452DEE">
              <w:rPr>
                <w:rFonts w:cs="Arial"/>
                <w:bCs/>
                <w:sz w:val="20"/>
                <w:szCs w:val="20"/>
              </w:rPr>
              <w:t>impact fishing method (hand collection) and</w:t>
            </w:r>
            <w:r w:rsidR="009A37C3">
              <w:rPr>
                <w:rFonts w:cs="Arial"/>
                <w:bCs/>
                <w:sz w:val="20"/>
                <w:szCs w:val="20"/>
              </w:rPr>
              <w:t xml:space="preserve"> harvests </w:t>
            </w:r>
            <w:r w:rsidR="00C24691">
              <w:rPr>
                <w:rFonts w:cs="Arial"/>
                <w:bCs/>
                <w:sz w:val="20"/>
                <w:szCs w:val="20"/>
              </w:rPr>
              <w:t>a small number of specimens</w:t>
            </w:r>
            <w:r w:rsidR="00237443">
              <w:rPr>
                <w:rFonts w:cs="Arial"/>
                <w:bCs/>
                <w:sz w:val="20"/>
                <w:szCs w:val="20"/>
              </w:rPr>
              <w:t xml:space="preserve"> annually</w:t>
            </w:r>
            <w:r w:rsidR="00C24691">
              <w:rPr>
                <w:rFonts w:cs="Arial"/>
                <w:bCs/>
                <w:sz w:val="20"/>
                <w:szCs w:val="20"/>
              </w:rPr>
              <w:t xml:space="preserve">. </w:t>
            </w:r>
          </w:p>
          <w:p w14:paraId="23E606FB" w14:textId="49211EDF" w:rsidR="00867590" w:rsidRPr="00433FCA" w:rsidRDefault="00867590" w:rsidP="00FC2EBF">
            <w:pPr>
              <w:spacing w:before="60" w:after="60" w:line="276" w:lineRule="auto"/>
              <w:contextualSpacing/>
              <w:rPr>
                <w:rFonts w:cs="Arial"/>
                <w:sz w:val="20"/>
                <w:szCs w:val="20"/>
              </w:rPr>
            </w:pPr>
          </w:p>
        </w:tc>
      </w:tr>
      <w:tr w:rsidR="00867590" w:rsidRPr="00433FCA" w14:paraId="3C4BC27D" w14:textId="77777777" w:rsidTr="002F0C8B">
        <w:trPr>
          <w:cantSplit/>
        </w:trPr>
        <w:tc>
          <w:tcPr>
            <w:tcW w:w="5000" w:type="pct"/>
            <w:gridSpan w:val="2"/>
            <w:shd w:val="clear" w:color="auto" w:fill="E5DFEC"/>
          </w:tcPr>
          <w:p w14:paraId="20035E77" w14:textId="0075B4B7" w:rsidR="00867590" w:rsidRPr="00433FCA" w:rsidRDefault="00867590" w:rsidP="00FC2EBF">
            <w:pPr>
              <w:spacing w:before="60" w:after="60" w:line="276" w:lineRule="auto"/>
              <w:contextualSpacing/>
              <w:rPr>
                <w:rFonts w:cs="Arial"/>
                <w:sz w:val="20"/>
                <w:szCs w:val="20"/>
              </w:rPr>
            </w:pPr>
            <w:r w:rsidRPr="00433FCA">
              <w:rPr>
                <w:rFonts w:cs="Arial"/>
                <w:b/>
                <w:bCs/>
                <w:i/>
                <w:iCs/>
                <w:sz w:val="20"/>
                <w:szCs w:val="20"/>
              </w:rPr>
              <w:t>Assessment</w:t>
            </w:r>
          </w:p>
        </w:tc>
      </w:tr>
      <w:tr w:rsidR="00867590" w:rsidRPr="00433FCA" w14:paraId="608A294E" w14:textId="77777777" w:rsidTr="00541CAB">
        <w:trPr>
          <w:cantSplit/>
        </w:trPr>
        <w:tc>
          <w:tcPr>
            <w:tcW w:w="1500" w:type="pct"/>
            <w:shd w:val="clear" w:color="auto" w:fill="FFC000"/>
          </w:tcPr>
          <w:p w14:paraId="41710549" w14:textId="2EFA9223" w:rsidR="00867590" w:rsidRPr="00433FCA" w:rsidRDefault="00867590" w:rsidP="00FC2EBF">
            <w:pPr>
              <w:spacing w:before="60" w:after="60" w:line="276" w:lineRule="auto"/>
              <w:contextualSpacing/>
              <w:rPr>
                <w:rFonts w:cs="Arial"/>
                <w:sz w:val="20"/>
                <w:szCs w:val="20"/>
              </w:rPr>
            </w:pPr>
            <w:r w:rsidRPr="00433FCA">
              <w:rPr>
                <w:rFonts w:cs="Arial"/>
                <w:b/>
                <w:bCs/>
                <w:sz w:val="20"/>
                <w:szCs w:val="20"/>
              </w:rPr>
              <w:t xml:space="preserve">2.3.2 </w:t>
            </w:r>
            <w:r w:rsidRPr="00433FCA">
              <w:rPr>
                <w:rFonts w:cs="Arial"/>
                <w:sz w:val="20"/>
                <w:szCs w:val="20"/>
              </w:rPr>
              <w:t>Information is collected and a risk analysis, appropriate to the scale of the fishery and its potential impacts, is conducted into the susceptibility of each of the following ecosystem components to the fishery.</w:t>
            </w:r>
          </w:p>
          <w:p w14:paraId="27E48D20" w14:textId="77777777" w:rsidR="00867590" w:rsidRPr="00433FCA" w:rsidRDefault="00867590" w:rsidP="00FC2EBF">
            <w:pPr>
              <w:spacing w:before="60" w:after="60" w:line="276" w:lineRule="auto"/>
              <w:contextualSpacing/>
              <w:rPr>
                <w:rFonts w:cs="Arial"/>
                <w:sz w:val="20"/>
                <w:szCs w:val="20"/>
              </w:rPr>
            </w:pPr>
            <w:r w:rsidRPr="00433FCA">
              <w:rPr>
                <w:rFonts w:cs="Arial"/>
                <w:sz w:val="20"/>
                <w:szCs w:val="20"/>
              </w:rPr>
              <w:t>1. Impacts on ecological communities</w:t>
            </w:r>
          </w:p>
          <w:p w14:paraId="0606C2AB" w14:textId="77777777" w:rsidR="00867590" w:rsidRPr="00433FCA" w:rsidRDefault="00867590" w:rsidP="00FC2EBF">
            <w:pPr>
              <w:spacing w:before="60" w:after="60" w:line="276" w:lineRule="auto"/>
              <w:contextualSpacing/>
              <w:rPr>
                <w:rFonts w:cs="Arial"/>
                <w:sz w:val="20"/>
                <w:szCs w:val="20"/>
              </w:rPr>
            </w:pPr>
            <w:r w:rsidRPr="00433FCA">
              <w:rPr>
                <w:rFonts w:cs="Arial"/>
                <w:sz w:val="20"/>
                <w:szCs w:val="20"/>
              </w:rPr>
              <w:t>• Benthic communities</w:t>
            </w:r>
          </w:p>
          <w:p w14:paraId="4C66DCE2" w14:textId="77777777" w:rsidR="00867590" w:rsidRPr="00433FCA" w:rsidRDefault="00867590" w:rsidP="00FC2EBF">
            <w:pPr>
              <w:spacing w:before="60" w:after="60" w:line="276" w:lineRule="auto"/>
              <w:contextualSpacing/>
              <w:rPr>
                <w:rFonts w:cs="Arial"/>
                <w:sz w:val="20"/>
                <w:szCs w:val="20"/>
              </w:rPr>
            </w:pPr>
            <w:r w:rsidRPr="00433FCA">
              <w:rPr>
                <w:rFonts w:cs="Arial"/>
                <w:sz w:val="20"/>
                <w:szCs w:val="20"/>
              </w:rPr>
              <w:t>• Ecologically related, associated or dependent species</w:t>
            </w:r>
          </w:p>
          <w:p w14:paraId="21349DE0" w14:textId="77777777" w:rsidR="00867590" w:rsidRPr="00433FCA" w:rsidRDefault="00867590" w:rsidP="00FC2EBF">
            <w:pPr>
              <w:spacing w:before="60" w:after="60" w:line="276" w:lineRule="auto"/>
              <w:contextualSpacing/>
              <w:rPr>
                <w:rFonts w:cs="Arial"/>
                <w:sz w:val="20"/>
                <w:szCs w:val="20"/>
              </w:rPr>
            </w:pPr>
            <w:r w:rsidRPr="00433FCA">
              <w:rPr>
                <w:rFonts w:cs="Arial"/>
                <w:sz w:val="20"/>
                <w:szCs w:val="20"/>
              </w:rPr>
              <w:t>• Water column communities</w:t>
            </w:r>
          </w:p>
          <w:p w14:paraId="7A9950B2" w14:textId="77777777" w:rsidR="00867590" w:rsidRPr="00433FCA" w:rsidRDefault="00867590" w:rsidP="007544CF">
            <w:pPr>
              <w:keepNext/>
              <w:spacing w:before="60" w:after="60" w:line="276" w:lineRule="auto"/>
              <w:contextualSpacing/>
              <w:rPr>
                <w:rFonts w:cs="Arial"/>
                <w:sz w:val="20"/>
                <w:szCs w:val="20"/>
              </w:rPr>
            </w:pPr>
            <w:r w:rsidRPr="00433FCA">
              <w:rPr>
                <w:rFonts w:cs="Arial"/>
                <w:sz w:val="20"/>
                <w:szCs w:val="20"/>
              </w:rPr>
              <w:t>2. Impacts on food chains</w:t>
            </w:r>
          </w:p>
          <w:p w14:paraId="66B9B0F3" w14:textId="77777777" w:rsidR="00867590" w:rsidRPr="00433FCA" w:rsidRDefault="00867590" w:rsidP="00FC2EBF">
            <w:pPr>
              <w:spacing w:before="60" w:after="60" w:line="276" w:lineRule="auto"/>
              <w:contextualSpacing/>
              <w:rPr>
                <w:rFonts w:cs="Arial"/>
                <w:sz w:val="20"/>
                <w:szCs w:val="20"/>
              </w:rPr>
            </w:pPr>
            <w:r w:rsidRPr="00433FCA">
              <w:rPr>
                <w:rFonts w:cs="Arial"/>
                <w:sz w:val="20"/>
                <w:szCs w:val="20"/>
              </w:rPr>
              <w:t>• Structure</w:t>
            </w:r>
          </w:p>
          <w:p w14:paraId="7CC656E1" w14:textId="77777777" w:rsidR="00867590" w:rsidRPr="00433FCA" w:rsidRDefault="00867590" w:rsidP="00FC2EBF">
            <w:pPr>
              <w:spacing w:before="60" w:after="60" w:line="276" w:lineRule="auto"/>
              <w:contextualSpacing/>
              <w:rPr>
                <w:rFonts w:cs="Arial"/>
                <w:sz w:val="20"/>
                <w:szCs w:val="20"/>
              </w:rPr>
            </w:pPr>
            <w:r w:rsidRPr="00433FCA">
              <w:rPr>
                <w:rFonts w:cs="Arial"/>
                <w:sz w:val="20"/>
                <w:szCs w:val="20"/>
              </w:rPr>
              <w:t>• Productivity/flows</w:t>
            </w:r>
          </w:p>
          <w:p w14:paraId="5FFFF890" w14:textId="77777777" w:rsidR="00867590" w:rsidRPr="00433FCA" w:rsidRDefault="00867590" w:rsidP="00FC2EBF">
            <w:pPr>
              <w:spacing w:before="60" w:after="60" w:line="276" w:lineRule="auto"/>
              <w:contextualSpacing/>
              <w:rPr>
                <w:rFonts w:cs="Arial"/>
                <w:sz w:val="20"/>
                <w:szCs w:val="20"/>
              </w:rPr>
            </w:pPr>
            <w:r w:rsidRPr="00433FCA">
              <w:rPr>
                <w:rFonts w:cs="Arial"/>
                <w:sz w:val="20"/>
                <w:szCs w:val="20"/>
              </w:rPr>
              <w:t>3. Impacts on the physical environment</w:t>
            </w:r>
          </w:p>
          <w:p w14:paraId="79EF8BD8" w14:textId="77777777" w:rsidR="00867590" w:rsidRPr="00433FCA" w:rsidRDefault="00867590" w:rsidP="00FC2EBF">
            <w:pPr>
              <w:spacing w:before="60" w:after="60" w:line="276" w:lineRule="auto"/>
              <w:contextualSpacing/>
              <w:rPr>
                <w:rFonts w:cs="Arial"/>
                <w:sz w:val="20"/>
                <w:szCs w:val="20"/>
              </w:rPr>
            </w:pPr>
            <w:r w:rsidRPr="00433FCA">
              <w:rPr>
                <w:rFonts w:cs="Arial"/>
                <w:sz w:val="20"/>
                <w:szCs w:val="20"/>
              </w:rPr>
              <w:t>• Physical habitat</w:t>
            </w:r>
          </w:p>
          <w:p w14:paraId="1BDD845F" w14:textId="77777777" w:rsidR="00867590" w:rsidRPr="00433FCA" w:rsidRDefault="00867590" w:rsidP="00FC2EBF">
            <w:pPr>
              <w:spacing w:before="60" w:after="60" w:line="276" w:lineRule="auto"/>
              <w:contextualSpacing/>
              <w:rPr>
                <w:rFonts w:cs="Arial"/>
                <w:sz w:val="20"/>
                <w:szCs w:val="20"/>
              </w:rPr>
            </w:pPr>
            <w:r w:rsidRPr="00433FCA">
              <w:rPr>
                <w:rFonts w:cs="Arial"/>
                <w:sz w:val="20"/>
                <w:szCs w:val="20"/>
              </w:rPr>
              <w:t>• Water quality</w:t>
            </w:r>
          </w:p>
          <w:p w14:paraId="75D4CE02" w14:textId="47BD9FE2" w:rsidR="004649FA" w:rsidRPr="00433FCA" w:rsidRDefault="004649FA" w:rsidP="00FC2EBF">
            <w:pPr>
              <w:spacing w:before="60" w:after="60" w:line="276" w:lineRule="auto"/>
              <w:contextualSpacing/>
              <w:rPr>
                <w:rFonts w:cs="Arial"/>
                <w:b/>
                <w:i/>
                <w:sz w:val="20"/>
                <w:szCs w:val="20"/>
              </w:rPr>
            </w:pPr>
          </w:p>
        </w:tc>
        <w:tc>
          <w:tcPr>
            <w:tcW w:w="3500" w:type="pct"/>
            <w:shd w:val="clear" w:color="auto" w:fill="auto"/>
          </w:tcPr>
          <w:p w14:paraId="7DAD7EA1" w14:textId="567C1AC9" w:rsidR="00EB12DE" w:rsidRPr="005A79EE" w:rsidRDefault="00EB12DE" w:rsidP="00FC2EBF">
            <w:pPr>
              <w:spacing w:before="60" w:after="60" w:line="276" w:lineRule="auto"/>
              <w:contextualSpacing/>
              <w:rPr>
                <w:rFonts w:cs="Arial"/>
                <w:b/>
                <w:sz w:val="20"/>
                <w:szCs w:val="20"/>
              </w:rPr>
            </w:pPr>
            <w:r w:rsidRPr="005A79EE">
              <w:rPr>
                <w:rFonts w:cs="Arial"/>
                <w:b/>
                <w:bCs/>
                <w:sz w:val="20"/>
                <w:szCs w:val="20"/>
              </w:rPr>
              <w:t>Partially Meets</w:t>
            </w:r>
          </w:p>
          <w:p w14:paraId="34520C12" w14:textId="1A7DD663" w:rsidR="005806BB" w:rsidRPr="00433FCA" w:rsidRDefault="005806BB" w:rsidP="00FC2EBF">
            <w:pPr>
              <w:spacing w:before="60" w:after="60" w:line="276" w:lineRule="auto"/>
              <w:contextualSpacing/>
              <w:rPr>
                <w:rFonts w:cs="Arial"/>
                <w:sz w:val="20"/>
                <w:szCs w:val="20"/>
              </w:rPr>
            </w:pPr>
          </w:p>
          <w:p w14:paraId="2CB1B46A" w14:textId="77777777" w:rsidR="00AA7DA1" w:rsidRDefault="00EB12DE" w:rsidP="00FC2EBF">
            <w:pPr>
              <w:spacing w:before="60" w:after="60" w:line="276" w:lineRule="auto"/>
              <w:contextualSpacing/>
              <w:rPr>
                <w:rFonts w:cs="Arial"/>
                <w:sz w:val="20"/>
                <w:szCs w:val="20"/>
              </w:rPr>
            </w:pPr>
            <w:r>
              <w:rPr>
                <w:rFonts w:cs="Arial"/>
                <w:sz w:val="20"/>
                <w:szCs w:val="20"/>
              </w:rPr>
              <w:t>A</w:t>
            </w:r>
            <w:r w:rsidR="00137537">
              <w:rPr>
                <w:rFonts w:cs="Arial"/>
                <w:sz w:val="20"/>
                <w:szCs w:val="20"/>
              </w:rPr>
              <w:t xml:space="preserve"> formal</w:t>
            </w:r>
            <w:r>
              <w:rPr>
                <w:rFonts w:cs="Arial"/>
                <w:sz w:val="20"/>
                <w:szCs w:val="20"/>
              </w:rPr>
              <w:t xml:space="preserve"> Ecological Risk Assessment</w:t>
            </w:r>
            <w:r w:rsidR="00916B91">
              <w:rPr>
                <w:rFonts w:cs="Arial"/>
                <w:sz w:val="20"/>
                <w:szCs w:val="20"/>
              </w:rPr>
              <w:t xml:space="preserve"> (ERA) is not considered necessary for the PQ Aquatics WTO, given the </w:t>
            </w:r>
            <w:r w:rsidR="000313F1">
              <w:rPr>
                <w:rFonts w:cs="Arial"/>
                <w:sz w:val="20"/>
                <w:szCs w:val="20"/>
              </w:rPr>
              <w:t>small scale of the operation and the use of a</w:t>
            </w:r>
            <w:r w:rsidR="0087762D">
              <w:rPr>
                <w:rFonts w:cs="Arial"/>
                <w:sz w:val="20"/>
                <w:szCs w:val="20"/>
              </w:rPr>
              <w:t xml:space="preserve"> selective and</w:t>
            </w:r>
            <w:r w:rsidR="000313F1">
              <w:rPr>
                <w:rFonts w:cs="Arial"/>
                <w:sz w:val="20"/>
                <w:szCs w:val="20"/>
              </w:rPr>
              <w:t xml:space="preserve"> low-impact fishing method</w:t>
            </w:r>
            <w:r w:rsidR="005A79EE">
              <w:rPr>
                <w:rFonts w:cs="Arial"/>
                <w:sz w:val="20"/>
                <w:szCs w:val="20"/>
              </w:rPr>
              <w:t>.</w:t>
            </w:r>
            <w:r w:rsidR="000313F1">
              <w:rPr>
                <w:rFonts w:cs="Arial"/>
                <w:sz w:val="20"/>
                <w:szCs w:val="20"/>
              </w:rPr>
              <w:t xml:space="preserve"> </w:t>
            </w:r>
            <w:r w:rsidR="00F32223">
              <w:rPr>
                <w:rFonts w:cs="Arial"/>
                <w:sz w:val="20"/>
                <w:szCs w:val="20"/>
              </w:rPr>
              <w:t xml:space="preserve">The Protected Aquatic Biota Permit issued by the VFA requires accurate data </w:t>
            </w:r>
            <w:r w:rsidR="00BF194F">
              <w:rPr>
                <w:rFonts w:cs="Arial"/>
                <w:sz w:val="20"/>
                <w:szCs w:val="20"/>
              </w:rPr>
              <w:t>to be collected</w:t>
            </w:r>
            <w:r w:rsidR="00006FDD">
              <w:rPr>
                <w:rFonts w:cs="Arial"/>
                <w:sz w:val="20"/>
                <w:szCs w:val="20"/>
              </w:rPr>
              <w:t xml:space="preserve"> on</w:t>
            </w:r>
            <w:r w:rsidR="00F32223">
              <w:rPr>
                <w:rFonts w:cs="Arial"/>
                <w:sz w:val="20"/>
                <w:szCs w:val="20"/>
              </w:rPr>
              <w:t xml:space="preserve"> harvesting activities, including </w:t>
            </w:r>
            <w:r w:rsidR="004E6CBE">
              <w:rPr>
                <w:rFonts w:cs="Arial"/>
                <w:sz w:val="20"/>
                <w:szCs w:val="20"/>
              </w:rPr>
              <w:t>locations</w:t>
            </w:r>
            <w:r w:rsidR="00C94EA9">
              <w:rPr>
                <w:rFonts w:cs="Arial"/>
                <w:sz w:val="20"/>
                <w:szCs w:val="20"/>
              </w:rPr>
              <w:t xml:space="preserve"> and dates</w:t>
            </w:r>
            <w:r w:rsidR="004E6CBE">
              <w:rPr>
                <w:rFonts w:cs="Arial"/>
                <w:sz w:val="20"/>
                <w:szCs w:val="20"/>
              </w:rPr>
              <w:t xml:space="preserve">, </w:t>
            </w:r>
            <w:r w:rsidR="00F32223">
              <w:rPr>
                <w:rFonts w:cs="Arial"/>
                <w:sz w:val="20"/>
                <w:szCs w:val="20"/>
              </w:rPr>
              <w:t xml:space="preserve">the number of specimens taken, </w:t>
            </w:r>
            <w:r w:rsidR="008D598C">
              <w:rPr>
                <w:rFonts w:cs="Arial"/>
                <w:sz w:val="20"/>
                <w:szCs w:val="20"/>
              </w:rPr>
              <w:t xml:space="preserve">their </w:t>
            </w:r>
            <w:r w:rsidR="00BF6BB9">
              <w:rPr>
                <w:rFonts w:cs="Arial"/>
                <w:sz w:val="20"/>
                <w:szCs w:val="20"/>
              </w:rPr>
              <w:t>reproductive state (</w:t>
            </w:r>
            <w:r w:rsidR="0087762D">
              <w:rPr>
                <w:rFonts w:cs="Arial"/>
                <w:sz w:val="20"/>
                <w:szCs w:val="20"/>
              </w:rPr>
              <w:t>e.g</w:t>
            </w:r>
            <w:r w:rsidR="00BF6BB9">
              <w:rPr>
                <w:rFonts w:cs="Arial"/>
                <w:sz w:val="20"/>
                <w:szCs w:val="20"/>
              </w:rPr>
              <w:t>. gravid)</w:t>
            </w:r>
            <w:r w:rsidR="008D598C">
              <w:rPr>
                <w:rFonts w:cs="Arial"/>
                <w:sz w:val="20"/>
                <w:szCs w:val="20"/>
              </w:rPr>
              <w:t xml:space="preserve"> and</w:t>
            </w:r>
            <w:r w:rsidR="00277597">
              <w:rPr>
                <w:rFonts w:cs="Arial"/>
                <w:sz w:val="20"/>
                <w:szCs w:val="20"/>
              </w:rPr>
              <w:t xml:space="preserve"> </w:t>
            </w:r>
            <w:r w:rsidR="00006FDD">
              <w:rPr>
                <w:rFonts w:cs="Arial"/>
                <w:sz w:val="20"/>
                <w:szCs w:val="20"/>
              </w:rPr>
              <w:t>respective sex</w:t>
            </w:r>
            <w:r w:rsidR="00277597">
              <w:rPr>
                <w:rFonts w:cs="Arial"/>
                <w:sz w:val="20"/>
                <w:szCs w:val="20"/>
              </w:rPr>
              <w:t>,</w:t>
            </w:r>
            <w:r w:rsidR="004E6CBE">
              <w:rPr>
                <w:rFonts w:cs="Arial"/>
                <w:sz w:val="20"/>
                <w:szCs w:val="20"/>
              </w:rPr>
              <w:t xml:space="preserve"> hatchling survival, growth</w:t>
            </w:r>
            <w:r w:rsidR="00F73E39">
              <w:rPr>
                <w:rFonts w:cs="Arial"/>
                <w:sz w:val="20"/>
                <w:szCs w:val="20"/>
              </w:rPr>
              <w:t xml:space="preserve"> rates and </w:t>
            </w:r>
            <w:r w:rsidR="00D82964">
              <w:rPr>
                <w:rFonts w:cs="Arial"/>
                <w:sz w:val="20"/>
                <w:szCs w:val="20"/>
              </w:rPr>
              <w:t xml:space="preserve">overseas </w:t>
            </w:r>
            <w:r w:rsidR="00F73E39">
              <w:rPr>
                <w:rFonts w:cs="Arial"/>
                <w:sz w:val="20"/>
                <w:szCs w:val="20"/>
              </w:rPr>
              <w:t>sales records.</w:t>
            </w:r>
            <w:r w:rsidR="008D598C">
              <w:rPr>
                <w:rFonts w:cs="Arial"/>
                <w:sz w:val="20"/>
                <w:szCs w:val="20"/>
              </w:rPr>
              <w:t xml:space="preserve"> The applicant, Mr Quong, </w:t>
            </w:r>
            <w:r w:rsidR="00AE19A9">
              <w:rPr>
                <w:rFonts w:cs="Arial"/>
                <w:sz w:val="20"/>
                <w:szCs w:val="20"/>
              </w:rPr>
              <w:t xml:space="preserve">also uses underwater video recordings to observe the abundance of local syngnathid populations and their reproductive behaviour. </w:t>
            </w:r>
          </w:p>
          <w:p w14:paraId="4BA1BF83" w14:textId="320A7B11" w:rsidR="00447354" w:rsidRDefault="008B2521" w:rsidP="00FC2EBF">
            <w:pPr>
              <w:spacing w:before="60" w:after="60" w:line="276" w:lineRule="auto"/>
              <w:contextualSpacing/>
              <w:rPr>
                <w:rFonts w:cs="Arial"/>
                <w:sz w:val="20"/>
                <w:szCs w:val="20"/>
              </w:rPr>
            </w:pPr>
            <w:r>
              <w:rPr>
                <w:rFonts w:cs="Arial"/>
                <w:sz w:val="20"/>
                <w:szCs w:val="20"/>
              </w:rPr>
              <w:t>E</w:t>
            </w:r>
            <w:r w:rsidR="00C12D9F">
              <w:rPr>
                <w:rFonts w:cs="Arial"/>
                <w:sz w:val="20"/>
                <w:szCs w:val="20"/>
              </w:rPr>
              <w:t>nvironmental impact</w:t>
            </w:r>
            <w:r>
              <w:rPr>
                <w:rFonts w:cs="Arial"/>
                <w:sz w:val="20"/>
                <w:szCs w:val="20"/>
              </w:rPr>
              <w:t xml:space="preserve"> data from </w:t>
            </w:r>
            <w:r w:rsidR="001E70A8">
              <w:rPr>
                <w:rFonts w:cs="Arial"/>
                <w:sz w:val="20"/>
                <w:szCs w:val="20"/>
              </w:rPr>
              <w:t xml:space="preserve">the </w:t>
            </w:r>
            <w:r w:rsidR="002E3E89">
              <w:rPr>
                <w:rFonts w:cs="Arial"/>
                <w:sz w:val="20"/>
                <w:szCs w:val="20"/>
              </w:rPr>
              <w:t>PQ Aquatics</w:t>
            </w:r>
            <w:r w:rsidR="001E70A8">
              <w:rPr>
                <w:rFonts w:cs="Arial"/>
                <w:sz w:val="20"/>
                <w:szCs w:val="20"/>
              </w:rPr>
              <w:t xml:space="preserve"> WTO</w:t>
            </w:r>
            <w:r>
              <w:rPr>
                <w:rFonts w:cs="Arial"/>
                <w:sz w:val="20"/>
                <w:szCs w:val="20"/>
              </w:rPr>
              <w:t xml:space="preserve"> has not been collected. </w:t>
            </w:r>
            <w:r w:rsidR="00EE4B62">
              <w:rPr>
                <w:rFonts w:cs="Arial"/>
                <w:sz w:val="20"/>
                <w:szCs w:val="20"/>
              </w:rPr>
              <w:t>The</w:t>
            </w:r>
            <w:r w:rsidR="00656391">
              <w:rPr>
                <w:rFonts w:cs="Arial"/>
                <w:sz w:val="20"/>
                <w:szCs w:val="20"/>
              </w:rPr>
              <w:t xml:space="preserve"> absence of </w:t>
            </w:r>
            <w:r w:rsidR="00EE4B62">
              <w:rPr>
                <w:rFonts w:cs="Arial"/>
                <w:sz w:val="20"/>
                <w:szCs w:val="20"/>
              </w:rPr>
              <w:t xml:space="preserve">such </w:t>
            </w:r>
            <w:r w:rsidR="001E70A8">
              <w:rPr>
                <w:rFonts w:cs="Arial"/>
                <w:sz w:val="20"/>
                <w:szCs w:val="20"/>
              </w:rPr>
              <w:t xml:space="preserve">data means that </w:t>
            </w:r>
            <w:r w:rsidR="003A0E5B">
              <w:rPr>
                <w:rFonts w:cs="Arial"/>
                <w:sz w:val="20"/>
                <w:szCs w:val="20"/>
              </w:rPr>
              <w:t>a risk analysis on t</w:t>
            </w:r>
            <w:r w:rsidR="00592C04">
              <w:rPr>
                <w:rFonts w:cs="Arial"/>
                <w:sz w:val="20"/>
                <w:szCs w:val="20"/>
              </w:rPr>
              <w:t>he susceptibility of each ecosystem componen</w:t>
            </w:r>
            <w:r w:rsidR="00526EBF">
              <w:rPr>
                <w:rFonts w:cs="Arial"/>
                <w:sz w:val="20"/>
                <w:szCs w:val="20"/>
              </w:rPr>
              <w:t>t</w:t>
            </w:r>
            <w:r w:rsidR="00BB1225">
              <w:rPr>
                <w:rFonts w:cs="Arial"/>
                <w:sz w:val="20"/>
                <w:szCs w:val="20"/>
              </w:rPr>
              <w:t xml:space="preserve"> to the operation</w:t>
            </w:r>
            <w:r w:rsidR="002E4CA8">
              <w:rPr>
                <w:rFonts w:cs="Arial"/>
                <w:sz w:val="20"/>
                <w:szCs w:val="20"/>
              </w:rPr>
              <w:t xml:space="preserve"> </w:t>
            </w:r>
            <w:r w:rsidR="003A0E5B">
              <w:rPr>
                <w:rFonts w:cs="Arial"/>
                <w:sz w:val="20"/>
                <w:szCs w:val="20"/>
              </w:rPr>
              <w:t>cannot be conducted.</w:t>
            </w:r>
            <w:r w:rsidR="00C85C38">
              <w:rPr>
                <w:rFonts w:cs="Arial"/>
                <w:sz w:val="20"/>
                <w:szCs w:val="20"/>
              </w:rPr>
              <w:t xml:space="preserve"> </w:t>
            </w:r>
            <w:r w:rsidR="00AA7DA1">
              <w:rPr>
                <w:rFonts w:cs="Arial"/>
                <w:sz w:val="20"/>
                <w:szCs w:val="20"/>
              </w:rPr>
              <w:t>However, t</w:t>
            </w:r>
            <w:r w:rsidR="003A0E5B">
              <w:rPr>
                <w:rFonts w:cs="Arial"/>
                <w:sz w:val="20"/>
                <w:szCs w:val="20"/>
              </w:rPr>
              <w:t xml:space="preserve">he low </w:t>
            </w:r>
            <w:r w:rsidR="00D82964">
              <w:rPr>
                <w:rFonts w:cs="Arial"/>
                <w:sz w:val="20"/>
                <w:szCs w:val="20"/>
              </w:rPr>
              <w:t>level of harvest</w:t>
            </w:r>
            <w:r w:rsidR="003A0E5B">
              <w:rPr>
                <w:rFonts w:cs="Arial"/>
                <w:sz w:val="20"/>
                <w:szCs w:val="20"/>
              </w:rPr>
              <w:t xml:space="preserve"> (4 specimens </w:t>
            </w:r>
            <w:r w:rsidR="00717D5E">
              <w:rPr>
                <w:rFonts w:cs="Arial"/>
                <w:sz w:val="20"/>
                <w:szCs w:val="20"/>
              </w:rPr>
              <w:t>of</w:t>
            </w:r>
            <w:r w:rsidR="003A0E5B">
              <w:rPr>
                <w:rFonts w:cs="Arial"/>
                <w:sz w:val="20"/>
                <w:szCs w:val="20"/>
              </w:rPr>
              <w:t xml:space="preserve"> each species</w:t>
            </w:r>
            <w:r w:rsidR="002A622E">
              <w:rPr>
                <w:rFonts w:cs="Arial"/>
                <w:sz w:val="20"/>
                <w:szCs w:val="20"/>
              </w:rPr>
              <w:t>) and</w:t>
            </w:r>
            <w:r w:rsidR="003C3212">
              <w:rPr>
                <w:rFonts w:cs="Arial"/>
                <w:sz w:val="20"/>
                <w:szCs w:val="20"/>
              </w:rPr>
              <w:t xml:space="preserve"> highly</w:t>
            </w:r>
            <w:r w:rsidR="002A622E">
              <w:rPr>
                <w:rFonts w:cs="Arial"/>
                <w:sz w:val="20"/>
                <w:szCs w:val="20"/>
              </w:rPr>
              <w:t xml:space="preserve"> </w:t>
            </w:r>
            <w:r w:rsidR="00FD5D0D">
              <w:rPr>
                <w:rFonts w:cs="Arial"/>
                <w:sz w:val="20"/>
                <w:szCs w:val="20"/>
              </w:rPr>
              <w:t xml:space="preserve">selective </w:t>
            </w:r>
            <w:r w:rsidR="002A622E">
              <w:rPr>
                <w:rFonts w:cs="Arial"/>
                <w:sz w:val="20"/>
                <w:szCs w:val="20"/>
              </w:rPr>
              <w:t>fishing method (hand collection</w:t>
            </w:r>
            <w:r w:rsidR="003460FA">
              <w:rPr>
                <w:rFonts w:cs="Arial"/>
                <w:sz w:val="20"/>
                <w:szCs w:val="20"/>
              </w:rPr>
              <w:t xml:space="preserve"> while diving</w:t>
            </w:r>
            <w:r w:rsidR="002A622E">
              <w:rPr>
                <w:rFonts w:cs="Arial"/>
                <w:sz w:val="20"/>
                <w:szCs w:val="20"/>
              </w:rPr>
              <w:t>)</w:t>
            </w:r>
            <w:r w:rsidR="00FD5D0D">
              <w:rPr>
                <w:rFonts w:cs="Arial"/>
                <w:sz w:val="20"/>
                <w:szCs w:val="20"/>
              </w:rPr>
              <w:t xml:space="preserve"> is </w:t>
            </w:r>
            <w:r w:rsidR="000B76A5">
              <w:rPr>
                <w:rFonts w:cs="Arial"/>
                <w:sz w:val="20"/>
                <w:szCs w:val="20"/>
              </w:rPr>
              <w:t>expected to reduce the</w:t>
            </w:r>
            <w:r w:rsidR="00CE4236">
              <w:rPr>
                <w:rFonts w:cs="Arial"/>
                <w:sz w:val="20"/>
                <w:szCs w:val="20"/>
              </w:rPr>
              <w:t xml:space="preserve"> risk of adverse impacts on </w:t>
            </w:r>
            <w:r w:rsidR="00EE4B62">
              <w:rPr>
                <w:rFonts w:cs="Arial"/>
                <w:sz w:val="20"/>
                <w:szCs w:val="20"/>
              </w:rPr>
              <w:t xml:space="preserve">the </w:t>
            </w:r>
            <w:r w:rsidR="00CE4236">
              <w:rPr>
                <w:rFonts w:cs="Arial"/>
                <w:sz w:val="20"/>
                <w:szCs w:val="20"/>
              </w:rPr>
              <w:t xml:space="preserve">ecological communities, </w:t>
            </w:r>
            <w:r w:rsidR="00C85C38">
              <w:rPr>
                <w:rFonts w:cs="Arial"/>
                <w:sz w:val="20"/>
                <w:szCs w:val="20"/>
              </w:rPr>
              <w:t>food chains and physical environment</w:t>
            </w:r>
            <w:r w:rsidR="003431F7">
              <w:rPr>
                <w:rFonts w:cs="Arial"/>
                <w:sz w:val="20"/>
                <w:szCs w:val="20"/>
              </w:rPr>
              <w:t xml:space="preserve"> </w:t>
            </w:r>
            <w:r w:rsidR="00EE4B62">
              <w:rPr>
                <w:rFonts w:cs="Arial"/>
                <w:sz w:val="20"/>
                <w:szCs w:val="20"/>
              </w:rPr>
              <w:t>found within</w:t>
            </w:r>
            <w:r w:rsidR="00CF2683">
              <w:rPr>
                <w:rFonts w:cs="Arial"/>
                <w:sz w:val="20"/>
                <w:szCs w:val="20"/>
              </w:rPr>
              <w:t xml:space="preserve"> </w:t>
            </w:r>
            <w:r w:rsidR="008B4416">
              <w:rPr>
                <w:rFonts w:cs="Arial"/>
                <w:sz w:val="20"/>
                <w:szCs w:val="20"/>
              </w:rPr>
              <w:t>Victorian coastal waters.</w:t>
            </w:r>
          </w:p>
          <w:p w14:paraId="17C8D5A2" w14:textId="77777777" w:rsidR="00C85C38" w:rsidRPr="00C85C38" w:rsidRDefault="00C85C38" w:rsidP="00C85C38">
            <w:pPr>
              <w:rPr>
                <w:rFonts w:cs="Arial"/>
                <w:sz w:val="20"/>
                <w:szCs w:val="20"/>
              </w:rPr>
            </w:pPr>
          </w:p>
          <w:p w14:paraId="397BE197" w14:textId="173CEFD1" w:rsidR="00C85C38" w:rsidRPr="00C85C38" w:rsidRDefault="00C85C38" w:rsidP="00C85C38">
            <w:pPr>
              <w:rPr>
                <w:rFonts w:cs="Arial"/>
                <w:sz w:val="20"/>
                <w:szCs w:val="20"/>
              </w:rPr>
            </w:pPr>
          </w:p>
        </w:tc>
      </w:tr>
      <w:tr w:rsidR="00867590" w:rsidRPr="00433FCA" w14:paraId="007746A1" w14:textId="77777777" w:rsidTr="002F0C8B">
        <w:trPr>
          <w:cantSplit/>
          <w:trHeight w:val="77"/>
        </w:trPr>
        <w:tc>
          <w:tcPr>
            <w:tcW w:w="5000" w:type="pct"/>
            <w:gridSpan w:val="2"/>
            <w:shd w:val="clear" w:color="auto" w:fill="E5DFEC"/>
          </w:tcPr>
          <w:p w14:paraId="2F5F922B" w14:textId="77777777" w:rsidR="00867590" w:rsidRPr="00433FCA" w:rsidRDefault="00867590" w:rsidP="007544CF">
            <w:pPr>
              <w:keepNext/>
              <w:spacing w:before="60" w:after="60" w:line="276" w:lineRule="auto"/>
              <w:contextualSpacing/>
              <w:rPr>
                <w:rFonts w:cs="Arial"/>
                <w:b/>
                <w:bCs/>
                <w:i/>
                <w:iCs/>
                <w:sz w:val="20"/>
                <w:szCs w:val="20"/>
              </w:rPr>
            </w:pPr>
            <w:r w:rsidRPr="00433FCA">
              <w:rPr>
                <w:rFonts w:cs="Arial"/>
                <w:b/>
                <w:bCs/>
                <w:i/>
                <w:iCs/>
                <w:sz w:val="20"/>
                <w:szCs w:val="20"/>
              </w:rPr>
              <w:t>Management responses</w:t>
            </w:r>
          </w:p>
        </w:tc>
      </w:tr>
      <w:tr w:rsidR="00867590" w:rsidRPr="00433FCA" w14:paraId="405718D3" w14:textId="77777777" w:rsidTr="00074553">
        <w:trPr>
          <w:cantSplit/>
          <w:trHeight w:val="77"/>
        </w:trPr>
        <w:tc>
          <w:tcPr>
            <w:tcW w:w="1500" w:type="pct"/>
            <w:shd w:val="clear" w:color="auto" w:fill="92D050"/>
          </w:tcPr>
          <w:p w14:paraId="1C2BDFA5" w14:textId="77777777" w:rsidR="00867590" w:rsidRPr="00433FCA" w:rsidRDefault="00867590" w:rsidP="00FC2EBF">
            <w:pPr>
              <w:spacing w:before="60" w:after="60" w:line="276" w:lineRule="auto"/>
              <w:contextualSpacing/>
              <w:rPr>
                <w:rFonts w:cs="Arial"/>
                <w:sz w:val="20"/>
                <w:szCs w:val="20"/>
              </w:rPr>
            </w:pPr>
            <w:r w:rsidRPr="00433FCA">
              <w:rPr>
                <w:rFonts w:cs="Arial"/>
                <w:b/>
                <w:bCs/>
                <w:i/>
                <w:iCs/>
                <w:sz w:val="20"/>
                <w:szCs w:val="20"/>
              </w:rPr>
              <w:t xml:space="preserve">2.3.3 </w:t>
            </w:r>
            <w:r w:rsidRPr="00433FCA">
              <w:rPr>
                <w:rFonts w:cs="Arial"/>
                <w:sz w:val="20"/>
                <w:szCs w:val="20"/>
              </w:rPr>
              <w:t>Management actions are in place to ensure significant damage to ecosystems does not arise from the impacts described in 2.3.1.</w:t>
            </w:r>
          </w:p>
          <w:p w14:paraId="1432DE2D" w14:textId="50AB7AB7" w:rsidR="004649FA" w:rsidRPr="00433FCA" w:rsidRDefault="004649FA" w:rsidP="00FC2EBF">
            <w:pPr>
              <w:spacing w:before="60" w:after="60" w:line="276" w:lineRule="auto"/>
              <w:contextualSpacing/>
              <w:rPr>
                <w:rFonts w:cs="Arial"/>
                <w:b/>
                <w:i/>
                <w:sz w:val="20"/>
                <w:szCs w:val="20"/>
              </w:rPr>
            </w:pPr>
          </w:p>
        </w:tc>
        <w:tc>
          <w:tcPr>
            <w:tcW w:w="3500" w:type="pct"/>
            <w:shd w:val="clear" w:color="auto" w:fill="auto"/>
          </w:tcPr>
          <w:p w14:paraId="5BADAF99" w14:textId="7996DA54" w:rsidR="009B2530" w:rsidRPr="007518E4" w:rsidRDefault="009B2530" w:rsidP="00FC2EBF">
            <w:pPr>
              <w:spacing w:before="60" w:after="60" w:line="276" w:lineRule="auto"/>
              <w:contextualSpacing/>
              <w:rPr>
                <w:rFonts w:cs="Arial"/>
                <w:b/>
                <w:bCs/>
                <w:sz w:val="20"/>
                <w:szCs w:val="20"/>
              </w:rPr>
            </w:pPr>
            <w:r w:rsidRPr="007518E4">
              <w:rPr>
                <w:rFonts w:cs="Arial"/>
                <w:b/>
                <w:bCs/>
                <w:sz w:val="20"/>
                <w:szCs w:val="20"/>
              </w:rPr>
              <w:t>Meets</w:t>
            </w:r>
          </w:p>
          <w:p w14:paraId="2B42C546" w14:textId="3B96D28A" w:rsidR="009B2530" w:rsidRPr="007518E4" w:rsidRDefault="009B2530" w:rsidP="00FC2EBF">
            <w:pPr>
              <w:spacing w:before="60" w:after="60" w:line="276" w:lineRule="auto"/>
              <w:contextualSpacing/>
              <w:rPr>
                <w:rFonts w:cs="Arial"/>
                <w:b/>
                <w:bCs/>
                <w:sz w:val="20"/>
                <w:szCs w:val="20"/>
              </w:rPr>
            </w:pPr>
          </w:p>
          <w:p w14:paraId="2417D63F" w14:textId="1FA292F9" w:rsidR="009B2530" w:rsidRPr="007518E4" w:rsidRDefault="009057F5" w:rsidP="00FC2EBF">
            <w:pPr>
              <w:spacing w:before="60" w:after="60" w:line="276" w:lineRule="auto"/>
              <w:contextualSpacing/>
              <w:rPr>
                <w:rFonts w:cs="Arial"/>
                <w:sz w:val="20"/>
                <w:szCs w:val="20"/>
              </w:rPr>
            </w:pPr>
            <w:r>
              <w:rPr>
                <w:rFonts w:cs="Arial"/>
                <w:sz w:val="20"/>
                <w:szCs w:val="20"/>
              </w:rPr>
              <w:t>S</w:t>
            </w:r>
            <w:r w:rsidR="009B2530" w:rsidRPr="007518E4">
              <w:rPr>
                <w:rFonts w:cs="Arial"/>
                <w:sz w:val="20"/>
                <w:szCs w:val="20"/>
              </w:rPr>
              <w:t xml:space="preserve">everal management actions </w:t>
            </w:r>
            <w:r>
              <w:rPr>
                <w:rFonts w:cs="Arial"/>
                <w:sz w:val="20"/>
                <w:szCs w:val="20"/>
              </w:rPr>
              <w:t>have been implemented by PQ Aquatics</w:t>
            </w:r>
            <w:r w:rsidR="00A022F2">
              <w:rPr>
                <w:rFonts w:cs="Arial"/>
                <w:sz w:val="20"/>
                <w:szCs w:val="20"/>
              </w:rPr>
              <w:t xml:space="preserve"> and the</w:t>
            </w:r>
            <w:r w:rsidR="00581078">
              <w:rPr>
                <w:rFonts w:cs="Arial"/>
                <w:sz w:val="20"/>
                <w:szCs w:val="20"/>
              </w:rPr>
              <w:t xml:space="preserve"> Victorian</w:t>
            </w:r>
            <w:r w:rsidR="00A022F2">
              <w:rPr>
                <w:rFonts w:cs="Arial"/>
                <w:sz w:val="20"/>
                <w:szCs w:val="20"/>
              </w:rPr>
              <w:t xml:space="preserve"> Government authority (VFA)</w:t>
            </w:r>
            <w:r w:rsidR="00F357D4">
              <w:rPr>
                <w:rFonts w:cs="Arial"/>
                <w:sz w:val="20"/>
                <w:szCs w:val="20"/>
              </w:rPr>
              <w:t xml:space="preserve"> </w:t>
            </w:r>
            <w:r w:rsidR="009B2530" w:rsidRPr="007518E4">
              <w:rPr>
                <w:rFonts w:cs="Arial"/>
                <w:sz w:val="20"/>
                <w:szCs w:val="20"/>
              </w:rPr>
              <w:t xml:space="preserve">to minimise </w:t>
            </w:r>
            <w:r w:rsidR="00CB53F7">
              <w:rPr>
                <w:rFonts w:cs="Arial"/>
                <w:sz w:val="20"/>
                <w:szCs w:val="20"/>
              </w:rPr>
              <w:t>significant damage to local ecosystems</w:t>
            </w:r>
            <w:r w:rsidR="00926437" w:rsidRPr="007518E4">
              <w:rPr>
                <w:rFonts w:cs="Arial"/>
                <w:sz w:val="20"/>
                <w:szCs w:val="20"/>
              </w:rPr>
              <w:t>.</w:t>
            </w:r>
            <w:r w:rsidR="009C1C1C">
              <w:rPr>
                <w:rFonts w:cs="Arial"/>
                <w:sz w:val="20"/>
                <w:szCs w:val="20"/>
              </w:rPr>
              <w:t xml:space="preserve"> Such management actions</w:t>
            </w:r>
            <w:r w:rsidR="00B47718">
              <w:rPr>
                <w:rFonts w:cs="Arial"/>
                <w:sz w:val="20"/>
                <w:szCs w:val="20"/>
              </w:rPr>
              <w:t xml:space="preserve"> include</w:t>
            </w:r>
            <w:r w:rsidR="00527300">
              <w:rPr>
                <w:rFonts w:cs="Arial"/>
                <w:sz w:val="20"/>
                <w:szCs w:val="20"/>
              </w:rPr>
              <w:t xml:space="preserve"> </w:t>
            </w:r>
            <w:r w:rsidR="00F357D4">
              <w:rPr>
                <w:rFonts w:cs="Arial"/>
                <w:sz w:val="20"/>
                <w:szCs w:val="20"/>
              </w:rPr>
              <w:t xml:space="preserve">species restrictions, a </w:t>
            </w:r>
            <w:r w:rsidR="00527300">
              <w:rPr>
                <w:rFonts w:cs="Arial"/>
                <w:sz w:val="20"/>
                <w:szCs w:val="20"/>
              </w:rPr>
              <w:t xml:space="preserve">low level of </w:t>
            </w:r>
            <w:r w:rsidR="00D566ED">
              <w:rPr>
                <w:rFonts w:cs="Arial"/>
                <w:sz w:val="20"/>
                <w:szCs w:val="20"/>
              </w:rPr>
              <w:t xml:space="preserve">annual </w:t>
            </w:r>
            <w:r w:rsidR="00527300">
              <w:rPr>
                <w:rFonts w:cs="Arial"/>
                <w:sz w:val="20"/>
                <w:szCs w:val="20"/>
              </w:rPr>
              <w:t>harvest, restricted access</w:t>
            </w:r>
            <w:r w:rsidR="00042B98">
              <w:rPr>
                <w:rFonts w:cs="Arial"/>
                <w:sz w:val="20"/>
                <w:szCs w:val="20"/>
              </w:rPr>
              <w:t xml:space="preserve"> to Victorian waters and a </w:t>
            </w:r>
            <w:r w:rsidR="00EB5746">
              <w:rPr>
                <w:rFonts w:cs="Arial"/>
                <w:sz w:val="20"/>
                <w:szCs w:val="20"/>
              </w:rPr>
              <w:t>low-impact</w:t>
            </w:r>
            <w:r w:rsidR="00042B98">
              <w:rPr>
                <w:rFonts w:cs="Arial"/>
                <w:sz w:val="20"/>
                <w:szCs w:val="20"/>
              </w:rPr>
              <w:t xml:space="preserve"> fishing method</w:t>
            </w:r>
            <w:r w:rsidR="00CB1A34">
              <w:rPr>
                <w:rFonts w:cs="Arial"/>
                <w:sz w:val="20"/>
                <w:szCs w:val="20"/>
              </w:rPr>
              <w:t>.</w:t>
            </w:r>
            <w:r w:rsidR="00D6689D">
              <w:rPr>
                <w:rFonts w:cs="Arial"/>
                <w:sz w:val="20"/>
                <w:szCs w:val="20"/>
              </w:rPr>
              <w:t xml:space="preserve"> The use of </w:t>
            </w:r>
            <w:r w:rsidR="00EA34EE">
              <w:rPr>
                <w:rFonts w:cs="Arial"/>
                <w:sz w:val="20"/>
                <w:szCs w:val="20"/>
              </w:rPr>
              <w:t xml:space="preserve">a highly selective </w:t>
            </w:r>
            <w:r w:rsidR="0091041C">
              <w:rPr>
                <w:rFonts w:cs="Arial"/>
                <w:sz w:val="20"/>
                <w:szCs w:val="20"/>
              </w:rPr>
              <w:t xml:space="preserve">fishing method </w:t>
            </w:r>
            <w:r w:rsidR="004E03A8">
              <w:rPr>
                <w:rFonts w:cs="Arial"/>
                <w:sz w:val="20"/>
                <w:szCs w:val="20"/>
              </w:rPr>
              <w:t xml:space="preserve">with </w:t>
            </w:r>
            <w:r w:rsidR="0091041C">
              <w:rPr>
                <w:rFonts w:cs="Arial"/>
                <w:sz w:val="20"/>
                <w:szCs w:val="20"/>
              </w:rPr>
              <w:t>minimal gear</w:t>
            </w:r>
            <w:r w:rsidR="00D6689D">
              <w:rPr>
                <w:rFonts w:cs="Arial"/>
                <w:sz w:val="20"/>
                <w:szCs w:val="20"/>
              </w:rPr>
              <w:t xml:space="preserve"> </w:t>
            </w:r>
            <w:r w:rsidR="00510897">
              <w:rPr>
                <w:rFonts w:cs="Arial"/>
                <w:sz w:val="20"/>
                <w:szCs w:val="20"/>
              </w:rPr>
              <w:t xml:space="preserve">(hand collection by diving) </w:t>
            </w:r>
            <w:r w:rsidR="00A35CAC">
              <w:rPr>
                <w:rFonts w:cs="Arial"/>
                <w:sz w:val="20"/>
                <w:szCs w:val="20"/>
              </w:rPr>
              <w:t>is not considered</w:t>
            </w:r>
            <w:r w:rsidR="008367DB">
              <w:rPr>
                <w:rFonts w:cs="Arial"/>
                <w:sz w:val="20"/>
                <w:szCs w:val="20"/>
              </w:rPr>
              <w:t xml:space="preserve"> to adversely impact the </w:t>
            </w:r>
            <w:r w:rsidR="00CB0E91">
              <w:rPr>
                <w:rFonts w:cs="Arial"/>
                <w:sz w:val="20"/>
                <w:szCs w:val="20"/>
              </w:rPr>
              <w:t xml:space="preserve">marine </w:t>
            </w:r>
            <w:r w:rsidR="008367DB">
              <w:rPr>
                <w:rFonts w:cs="Arial"/>
                <w:sz w:val="20"/>
                <w:szCs w:val="20"/>
              </w:rPr>
              <w:t>ecosystem.</w:t>
            </w:r>
          </w:p>
          <w:p w14:paraId="603A86ED" w14:textId="3DD4D757" w:rsidR="00867590" w:rsidRPr="00433FCA" w:rsidRDefault="00867590" w:rsidP="00FC2EBF">
            <w:pPr>
              <w:spacing w:before="60" w:after="60" w:line="276" w:lineRule="auto"/>
              <w:contextualSpacing/>
              <w:rPr>
                <w:rFonts w:cs="Arial"/>
                <w:sz w:val="20"/>
                <w:szCs w:val="20"/>
              </w:rPr>
            </w:pPr>
          </w:p>
        </w:tc>
      </w:tr>
      <w:tr w:rsidR="00867590" w:rsidRPr="00433FCA" w14:paraId="0C8B361A" w14:textId="77777777" w:rsidTr="002F0C8B">
        <w:trPr>
          <w:cantSplit/>
        </w:trPr>
        <w:tc>
          <w:tcPr>
            <w:tcW w:w="1500" w:type="pct"/>
          </w:tcPr>
          <w:p w14:paraId="5A2F7A15" w14:textId="77777777" w:rsidR="00867590" w:rsidRPr="00433FCA" w:rsidRDefault="00867590" w:rsidP="00FC2EBF">
            <w:pPr>
              <w:spacing w:before="60" w:after="60" w:line="276" w:lineRule="auto"/>
              <w:contextualSpacing/>
              <w:rPr>
                <w:rFonts w:cs="Arial"/>
                <w:sz w:val="20"/>
                <w:szCs w:val="20"/>
              </w:rPr>
            </w:pPr>
            <w:r w:rsidRPr="00433FCA">
              <w:rPr>
                <w:rFonts w:cs="Arial"/>
                <w:b/>
                <w:bCs/>
                <w:i/>
                <w:iCs/>
                <w:sz w:val="20"/>
                <w:szCs w:val="20"/>
              </w:rPr>
              <w:t xml:space="preserve">2.3.4 </w:t>
            </w:r>
            <w:r w:rsidRPr="00433FCA">
              <w:rPr>
                <w:rFonts w:cs="Arial"/>
                <w:sz w:val="20"/>
                <w:szCs w:val="20"/>
              </w:rPr>
              <w:t xml:space="preserve">There are decision rules that trigger further management responses when monitoring detects impacts on selected ecosystem indicators beyond a predetermined level, or where action is indicated by application of the precautionary approach. </w:t>
            </w:r>
          </w:p>
          <w:p w14:paraId="4D5C4181" w14:textId="643C0187" w:rsidR="004649FA" w:rsidRPr="00433FCA" w:rsidRDefault="004649FA" w:rsidP="00FC2EBF">
            <w:pPr>
              <w:spacing w:before="60" w:after="60" w:line="276" w:lineRule="auto"/>
              <w:contextualSpacing/>
              <w:rPr>
                <w:rFonts w:cs="Arial"/>
                <w:sz w:val="20"/>
                <w:szCs w:val="20"/>
              </w:rPr>
            </w:pPr>
          </w:p>
        </w:tc>
        <w:tc>
          <w:tcPr>
            <w:tcW w:w="3500" w:type="pct"/>
            <w:shd w:val="clear" w:color="auto" w:fill="auto"/>
          </w:tcPr>
          <w:p w14:paraId="7DEED3FC" w14:textId="1811E1F5" w:rsidR="005806BB" w:rsidRPr="00D91489" w:rsidRDefault="008B23F1" w:rsidP="00FC2EBF">
            <w:pPr>
              <w:spacing w:before="60" w:after="60" w:line="276" w:lineRule="auto"/>
              <w:contextualSpacing/>
              <w:rPr>
                <w:rFonts w:cs="Arial"/>
                <w:b/>
                <w:sz w:val="20"/>
                <w:szCs w:val="20"/>
              </w:rPr>
            </w:pPr>
            <w:r w:rsidRPr="00D91489">
              <w:rPr>
                <w:rFonts w:cs="Arial"/>
                <w:b/>
                <w:sz w:val="20"/>
                <w:szCs w:val="20"/>
              </w:rPr>
              <w:t>Not applicable</w:t>
            </w:r>
          </w:p>
          <w:p w14:paraId="5FB84C4D" w14:textId="3C541F82" w:rsidR="008859CD" w:rsidRDefault="008859CD" w:rsidP="00FC2EBF">
            <w:pPr>
              <w:spacing w:before="60" w:after="60" w:line="276" w:lineRule="auto"/>
              <w:contextualSpacing/>
              <w:rPr>
                <w:rFonts w:cs="Arial"/>
                <w:bCs/>
                <w:sz w:val="20"/>
                <w:szCs w:val="20"/>
              </w:rPr>
            </w:pPr>
          </w:p>
          <w:p w14:paraId="55B3B957" w14:textId="3874FF5C" w:rsidR="005806BB" w:rsidRPr="00A67A29" w:rsidRDefault="00A83AA8" w:rsidP="00FC2EBF">
            <w:pPr>
              <w:spacing w:before="60" w:after="60" w:line="276" w:lineRule="auto"/>
              <w:contextualSpacing/>
              <w:rPr>
                <w:rFonts w:cs="Arial"/>
                <w:bCs/>
                <w:sz w:val="20"/>
                <w:szCs w:val="20"/>
              </w:rPr>
            </w:pPr>
            <w:r>
              <w:rPr>
                <w:rFonts w:cs="Arial"/>
                <w:bCs/>
                <w:sz w:val="20"/>
                <w:szCs w:val="20"/>
              </w:rPr>
              <w:t xml:space="preserve">Indicators of ecosystem damage have not been established for this operation or the </w:t>
            </w:r>
            <w:r w:rsidR="00E60562">
              <w:rPr>
                <w:rFonts w:cs="Arial"/>
                <w:bCs/>
                <w:sz w:val="20"/>
                <w:szCs w:val="20"/>
              </w:rPr>
              <w:t>prescri</w:t>
            </w:r>
            <w:r w:rsidR="00B81660">
              <w:rPr>
                <w:rFonts w:cs="Arial"/>
                <w:bCs/>
                <w:sz w:val="20"/>
                <w:szCs w:val="20"/>
              </w:rPr>
              <w:t>b</w:t>
            </w:r>
            <w:r w:rsidR="00E60562">
              <w:rPr>
                <w:rFonts w:cs="Arial"/>
                <w:bCs/>
                <w:sz w:val="20"/>
                <w:szCs w:val="20"/>
              </w:rPr>
              <w:t xml:space="preserve">ed </w:t>
            </w:r>
            <w:r>
              <w:rPr>
                <w:rFonts w:cs="Arial"/>
                <w:bCs/>
                <w:sz w:val="20"/>
                <w:szCs w:val="20"/>
              </w:rPr>
              <w:t>harvesting locations</w:t>
            </w:r>
            <w:r w:rsidR="00E60562">
              <w:rPr>
                <w:rFonts w:cs="Arial"/>
                <w:bCs/>
                <w:sz w:val="20"/>
                <w:szCs w:val="20"/>
              </w:rPr>
              <w:t xml:space="preserve">. Therefore, there </w:t>
            </w:r>
            <w:r w:rsidR="00E60562" w:rsidRPr="00D91489">
              <w:rPr>
                <w:rFonts w:cs="Arial"/>
                <w:bCs/>
                <w:sz w:val="20"/>
                <w:szCs w:val="20"/>
              </w:rPr>
              <w:t xml:space="preserve">are no </w:t>
            </w:r>
            <w:r w:rsidR="00E60562">
              <w:rPr>
                <w:rFonts w:cs="Arial"/>
                <w:bCs/>
                <w:sz w:val="20"/>
                <w:szCs w:val="20"/>
              </w:rPr>
              <w:t xml:space="preserve">monitoring-based </w:t>
            </w:r>
            <w:r w:rsidR="00E60562" w:rsidRPr="00D91489">
              <w:rPr>
                <w:rFonts w:cs="Arial"/>
                <w:bCs/>
                <w:sz w:val="20"/>
                <w:szCs w:val="20"/>
              </w:rPr>
              <w:t>decision rules that trigger further management responses</w:t>
            </w:r>
            <w:r w:rsidR="00E60562">
              <w:rPr>
                <w:rFonts w:cs="Arial"/>
                <w:bCs/>
                <w:sz w:val="20"/>
                <w:szCs w:val="20"/>
              </w:rPr>
              <w:t xml:space="preserve"> in response to ecosystem damage. </w:t>
            </w:r>
            <w:r w:rsidR="007142AB">
              <w:rPr>
                <w:rFonts w:cs="Arial"/>
                <w:bCs/>
                <w:sz w:val="20"/>
                <w:szCs w:val="20"/>
              </w:rPr>
              <w:t>The Protected Aquatic Biota Permit</w:t>
            </w:r>
            <w:r w:rsidR="004446F1">
              <w:rPr>
                <w:rFonts w:cs="Arial"/>
                <w:bCs/>
                <w:sz w:val="20"/>
                <w:szCs w:val="20"/>
              </w:rPr>
              <w:t xml:space="preserve"> can be cancelled at any time in writing by the VFA</w:t>
            </w:r>
            <w:r w:rsidR="00581078">
              <w:rPr>
                <w:rFonts w:cs="Arial"/>
                <w:bCs/>
                <w:sz w:val="20"/>
                <w:szCs w:val="20"/>
              </w:rPr>
              <w:t xml:space="preserve"> </w:t>
            </w:r>
            <w:r w:rsidR="004446F1">
              <w:rPr>
                <w:rFonts w:cs="Arial"/>
                <w:bCs/>
                <w:sz w:val="20"/>
                <w:szCs w:val="20"/>
              </w:rPr>
              <w:t>i</w:t>
            </w:r>
            <w:r w:rsidR="00203F8D">
              <w:rPr>
                <w:rFonts w:cs="Arial"/>
                <w:bCs/>
                <w:sz w:val="20"/>
                <w:szCs w:val="20"/>
              </w:rPr>
              <w:t xml:space="preserve">f </w:t>
            </w:r>
            <w:r w:rsidR="00A67A29">
              <w:rPr>
                <w:rFonts w:cs="Arial"/>
                <w:bCs/>
                <w:sz w:val="20"/>
                <w:szCs w:val="20"/>
              </w:rPr>
              <w:t xml:space="preserve">the applicant fails to comply with the </w:t>
            </w:r>
            <w:r w:rsidR="00203F8D">
              <w:rPr>
                <w:rFonts w:cs="Arial"/>
                <w:bCs/>
                <w:sz w:val="20"/>
                <w:szCs w:val="20"/>
              </w:rPr>
              <w:t xml:space="preserve">conditions </w:t>
            </w:r>
            <w:r w:rsidR="00A67A29">
              <w:rPr>
                <w:rFonts w:cs="Arial"/>
                <w:bCs/>
                <w:sz w:val="20"/>
                <w:szCs w:val="20"/>
              </w:rPr>
              <w:t>of th</w:t>
            </w:r>
            <w:r w:rsidR="007850ED">
              <w:rPr>
                <w:rFonts w:cs="Arial"/>
                <w:bCs/>
                <w:sz w:val="20"/>
                <w:szCs w:val="20"/>
              </w:rPr>
              <w:t>e</w:t>
            </w:r>
            <w:r w:rsidR="00A67A29">
              <w:rPr>
                <w:rFonts w:cs="Arial"/>
                <w:bCs/>
                <w:sz w:val="20"/>
                <w:szCs w:val="20"/>
              </w:rPr>
              <w:t xml:space="preserve"> permit.</w:t>
            </w:r>
          </w:p>
          <w:p w14:paraId="1743511B" w14:textId="6ADA2C60" w:rsidR="00867590" w:rsidRPr="00433FCA" w:rsidRDefault="00867590" w:rsidP="00FC2EBF">
            <w:pPr>
              <w:spacing w:before="60" w:after="60" w:line="276" w:lineRule="auto"/>
              <w:contextualSpacing/>
              <w:rPr>
                <w:rFonts w:cs="Arial"/>
                <w:sz w:val="20"/>
                <w:szCs w:val="20"/>
              </w:rPr>
            </w:pPr>
          </w:p>
        </w:tc>
      </w:tr>
      <w:tr w:rsidR="00867590" w:rsidRPr="00433FCA" w14:paraId="22F6BF5A" w14:textId="77777777" w:rsidTr="00051298">
        <w:trPr>
          <w:cantSplit/>
        </w:trPr>
        <w:tc>
          <w:tcPr>
            <w:tcW w:w="1500" w:type="pct"/>
            <w:shd w:val="clear" w:color="auto" w:fill="92D050"/>
          </w:tcPr>
          <w:p w14:paraId="6A6B59DC" w14:textId="77777777" w:rsidR="00867590" w:rsidRPr="00433FCA" w:rsidRDefault="00867590" w:rsidP="00FC2EBF">
            <w:pPr>
              <w:spacing w:before="60" w:after="60" w:line="276" w:lineRule="auto"/>
              <w:contextualSpacing/>
              <w:rPr>
                <w:rFonts w:cs="Arial"/>
                <w:sz w:val="20"/>
                <w:szCs w:val="20"/>
              </w:rPr>
            </w:pPr>
            <w:r w:rsidRPr="00433FCA">
              <w:rPr>
                <w:rFonts w:cs="Arial"/>
                <w:b/>
                <w:bCs/>
                <w:i/>
                <w:iCs/>
                <w:sz w:val="20"/>
                <w:szCs w:val="20"/>
              </w:rPr>
              <w:t>2.3.5</w:t>
            </w:r>
            <w:r w:rsidRPr="00433FCA">
              <w:rPr>
                <w:rFonts w:cs="Arial"/>
                <w:sz w:val="20"/>
                <w:szCs w:val="20"/>
              </w:rPr>
              <w:t xml:space="preserve"> The management response, considering uncertainties in the assessment and precautionary management actions, has a high chance of achieving the objective.</w:t>
            </w:r>
          </w:p>
          <w:p w14:paraId="544B66DE" w14:textId="780674B5" w:rsidR="004649FA" w:rsidRPr="00433FCA" w:rsidRDefault="004649FA" w:rsidP="00FC2EBF">
            <w:pPr>
              <w:spacing w:before="60" w:after="60" w:line="276" w:lineRule="auto"/>
              <w:contextualSpacing/>
              <w:rPr>
                <w:rFonts w:cs="Arial"/>
                <w:sz w:val="20"/>
                <w:szCs w:val="20"/>
              </w:rPr>
            </w:pPr>
          </w:p>
        </w:tc>
        <w:tc>
          <w:tcPr>
            <w:tcW w:w="3500" w:type="pct"/>
            <w:shd w:val="clear" w:color="auto" w:fill="auto"/>
          </w:tcPr>
          <w:p w14:paraId="5A9EFD2A" w14:textId="4C4CBBCE" w:rsidR="00636969" w:rsidRPr="00C2234B" w:rsidRDefault="00D91489" w:rsidP="00FC2EBF">
            <w:pPr>
              <w:spacing w:before="60" w:after="60" w:line="276" w:lineRule="auto"/>
              <w:contextualSpacing/>
              <w:rPr>
                <w:rFonts w:cs="Arial"/>
                <w:b/>
                <w:sz w:val="20"/>
                <w:szCs w:val="20"/>
              </w:rPr>
            </w:pPr>
            <w:r w:rsidRPr="00C2234B">
              <w:rPr>
                <w:rFonts w:cs="Arial"/>
                <w:b/>
                <w:sz w:val="20"/>
                <w:szCs w:val="20"/>
              </w:rPr>
              <w:t>Meets</w:t>
            </w:r>
          </w:p>
          <w:p w14:paraId="36CDBCCE" w14:textId="0DD1050E" w:rsidR="002D2C5B" w:rsidRPr="00C2234B" w:rsidRDefault="002D2C5B" w:rsidP="00FC2EBF">
            <w:pPr>
              <w:spacing w:before="60" w:after="60" w:line="276" w:lineRule="auto"/>
              <w:contextualSpacing/>
              <w:rPr>
                <w:rFonts w:cs="Arial"/>
                <w:b/>
                <w:sz w:val="20"/>
                <w:szCs w:val="20"/>
              </w:rPr>
            </w:pPr>
          </w:p>
          <w:p w14:paraId="26BB91E0" w14:textId="0DF7CE77" w:rsidR="002D2C5B" w:rsidRPr="00C2234B" w:rsidRDefault="00A11E68" w:rsidP="00FC2EBF">
            <w:pPr>
              <w:spacing w:before="60" w:after="60" w:line="276" w:lineRule="auto"/>
              <w:contextualSpacing/>
              <w:rPr>
                <w:rFonts w:cs="Arial"/>
                <w:bCs/>
                <w:sz w:val="20"/>
                <w:szCs w:val="20"/>
              </w:rPr>
            </w:pPr>
            <w:r w:rsidRPr="00C2234B">
              <w:rPr>
                <w:rFonts w:cs="Arial"/>
                <w:bCs/>
                <w:sz w:val="20"/>
                <w:szCs w:val="20"/>
              </w:rPr>
              <w:t>The management response, considering</w:t>
            </w:r>
            <w:r w:rsidR="00CA3ACC">
              <w:rPr>
                <w:rFonts w:cs="Arial"/>
                <w:bCs/>
                <w:sz w:val="20"/>
                <w:szCs w:val="20"/>
              </w:rPr>
              <w:t xml:space="preserve"> </w:t>
            </w:r>
            <w:r w:rsidR="00BF3873">
              <w:rPr>
                <w:rFonts w:cs="Arial"/>
                <w:bCs/>
                <w:sz w:val="20"/>
                <w:szCs w:val="20"/>
              </w:rPr>
              <w:t xml:space="preserve">assessment </w:t>
            </w:r>
            <w:r w:rsidR="00FA4256">
              <w:rPr>
                <w:rFonts w:cs="Arial"/>
                <w:bCs/>
                <w:sz w:val="20"/>
                <w:szCs w:val="20"/>
              </w:rPr>
              <w:t>uncertainties</w:t>
            </w:r>
            <w:r w:rsidR="00CA3ACC">
              <w:rPr>
                <w:rFonts w:cs="Arial"/>
                <w:bCs/>
                <w:sz w:val="20"/>
                <w:szCs w:val="20"/>
              </w:rPr>
              <w:t xml:space="preserve"> and precautionary management actions, </w:t>
            </w:r>
            <w:r w:rsidR="00BF3873">
              <w:rPr>
                <w:rFonts w:cs="Arial"/>
                <w:bCs/>
                <w:sz w:val="20"/>
                <w:szCs w:val="20"/>
              </w:rPr>
              <w:t xml:space="preserve">has a high chance of achieving its intent </w:t>
            </w:r>
            <w:r w:rsidR="007850ED">
              <w:rPr>
                <w:rFonts w:cs="Arial"/>
                <w:bCs/>
                <w:sz w:val="20"/>
                <w:szCs w:val="20"/>
              </w:rPr>
              <w:t>of</w:t>
            </w:r>
            <w:r w:rsidR="00BF3873">
              <w:rPr>
                <w:rFonts w:cs="Arial"/>
                <w:bCs/>
                <w:sz w:val="20"/>
                <w:szCs w:val="20"/>
              </w:rPr>
              <w:t xml:space="preserve"> minimising ecosystem damage. </w:t>
            </w:r>
            <w:r w:rsidR="007F01F2">
              <w:rPr>
                <w:rFonts w:cs="Arial"/>
                <w:bCs/>
                <w:sz w:val="20"/>
                <w:szCs w:val="20"/>
              </w:rPr>
              <w:t>The use of a highly selective</w:t>
            </w:r>
            <w:r w:rsidR="00ED64EE">
              <w:rPr>
                <w:rFonts w:cs="Arial"/>
                <w:bCs/>
                <w:sz w:val="20"/>
                <w:szCs w:val="20"/>
              </w:rPr>
              <w:t xml:space="preserve"> and low-impact fishing method (hand collection</w:t>
            </w:r>
            <w:r w:rsidR="007850ED">
              <w:rPr>
                <w:rFonts w:cs="Arial"/>
                <w:bCs/>
                <w:sz w:val="20"/>
                <w:szCs w:val="20"/>
              </w:rPr>
              <w:t xml:space="preserve"> while diving</w:t>
            </w:r>
            <w:r w:rsidR="00ED64EE">
              <w:rPr>
                <w:rFonts w:cs="Arial"/>
                <w:bCs/>
                <w:sz w:val="20"/>
                <w:szCs w:val="20"/>
              </w:rPr>
              <w:t>)</w:t>
            </w:r>
            <w:r w:rsidR="006275FE">
              <w:rPr>
                <w:rFonts w:cs="Arial"/>
                <w:bCs/>
                <w:sz w:val="20"/>
                <w:szCs w:val="20"/>
              </w:rPr>
              <w:t xml:space="preserve">, as well as the </w:t>
            </w:r>
            <w:r w:rsidR="007105DF">
              <w:rPr>
                <w:rFonts w:cs="Arial"/>
                <w:bCs/>
                <w:sz w:val="20"/>
                <w:szCs w:val="20"/>
              </w:rPr>
              <w:t>management arrangements</w:t>
            </w:r>
            <w:r w:rsidR="006275FE">
              <w:rPr>
                <w:rFonts w:cs="Arial"/>
                <w:bCs/>
                <w:sz w:val="20"/>
                <w:szCs w:val="20"/>
              </w:rPr>
              <w:t xml:space="preserve"> </w:t>
            </w:r>
            <w:r w:rsidR="00237292">
              <w:rPr>
                <w:rFonts w:cs="Arial"/>
                <w:bCs/>
                <w:sz w:val="20"/>
                <w:szCs w:val="20"/>
              </w:rPr>
              <w:t>prescribed by the VFA (e.g. species and location restrictions</w:t>
            </w:r>
            <w:r w:rsidR="00A637FB">
              <w:rPr>
                <w:rFonts w:cs="Arial"/>
                <w:bCs/>
                <w:sz w:val="20"/>
                <w:szCs w:val="20"/>
              </w:rPr>
              <w:t>, limited take</w:t>
            </w:r>
            <w:r w:rsidR="00832FA0">
              <w:rPr>
                <w:rFonts w:cs="Arial"/>
                <w:bCs/>
                <w:sz w:val="20"/>
                <w:szCs w:val="20"/>
              </w:rPr>
              <w:t>, record keeping and reporting requirements)</w:t>
            </w:r>
            <w:r w:rsidR="007105DF">
              <w:rPr>
                <w:rFonts w:cs="Arial"/>
                <w:bCs/>
                <w:sz w:val="20"/>
                <w:szCs w:val="20"/>
              </w:rPr>
              <w:t xml:space="preserve"> will </w:t>
            </w:r>
            <w:r w:rsidR="007E180D">
              <w:rPr>
                <w:rFonts w:cs="Arial"/>
                <w:bCs/>
                <w:sz w:val="20"/>
                <w:szCs w:val="20"/>
              </w:rPr>
              <w:t xml:space="preserve">reduce any </w:t>
            </w:r>
            <w:r w:rsidR="0070045B">
              <w:rPr>
                <w:rFonts w:cs="Arial"/>
                <w:bCs/>
                <w:sz w:val="20"/>
                <w:szCs w:val="20"/>
              </w:rPr>
              <w:t xml:space="preserve">potential </w:t>
            </w:r>
            <w:r w:rsidR="007E180D">
              <w:rPr>
                <w:rFonts w:cs="Arial"/>
                <w:bCs/>
                <w:sz w:val="20"/>
                <w:szCs w:val="20"/>
              </w:rPr>
              <w:t>impact on the ecosystem</w:t>
            </w:r>
            <w:r w:rsidR="0070045B">
              <w:rPr>
                <w:rFonts w:cs="Arial"/>
                <w:bCs/>
                <w:sz w:val="20"/>
                <w:szCs w:val="20"/>
              </w:rPr>
              <w:t>.</w:t>
            </w:r>
            <w:r w:rsidR="007E180D">
              <w:rPr>
                <w:rFonts w:cs="Arial"/>
                <w:bCs/>
                <w:sz w:val="20"/>
                <w:szCs w:val="20"/>
              </w:rPr>
              <w:t xml:space="preserve"> </w:t>
            </w:r>
          </w:p>
          <w:p w14:paraId="20631D76" w14:textId="77777777" w:rsidR="00636969" w:rsidRPr="00433FCA" w:rsidRDefault="00636969" w:rsidP="00FC2EBF">
            <w:pPr>
              <w:spacing w:before="60" w:after="60" w:line="276" w:lineRule="auto"/>
              <w:contextualSpacing/>
              <w:rPr>
                <w:rFonts w:cs="Arial"/>
                <w:sz w:val="20"/>
                <w:szCs w:val="20"/>
              </w:rPr>
            </w:pPr>
          </w:p>
          <w:p w14:paraId="5DABCD7B" w14:textId="1F8E985A" w:rsidR="00867590" w:rsidRPr="00433FCA" w:rsidRDefault="00867590" w:rsidP="00FC2EBF">
            <w:pPr>
              <w:spacing w:before="60" w:after="60" w:line="276" w:lineRule="auto"/>
              <w:contextualSpacing/>
              <w:rPr>
                <w:rFonts w:cs="Arial"/>
                <w:sz w:val="20"/>
                <w:szCs w:val="20"/>
              </w:rPr>
            </w:pPr>
          </w:p>
        </w:tc>
      </w:tr>
    </w:tbl>
    <w:p w14:paraId="4D8729D4" w14:textId="77777777" w:rsidR="00F8472A" w:rsidRPr="00FC2EBF" w:rsidRDefault="00F8472A" w:rsidP="00FC2EBF"/>
    <w:p w14:paraId="2D35029A" w14:textId="77777777" w:rsidR="00227603" w:rsidRPr="00FC2EBF" w:rsidRDefault="00227603" w:rsidP="00FC2EBF">
      <w:pPr>
        <w:sectPr w:rsidR="00227603" w:rsidRPr="00FC2EBF" w:rsidSect="001955CD">
          <w:pgSz w:w="16838" w:h="11906" w:orient="landscape"/>
          <w:pgMar w:top="1021" w:right="1021" w:bottom="1021" w:left="1021" w:header="709" w:footer="709" w:gutter="0"/>
          <w:cols w:space="708"/>
          <w:docGrid w:linePitch="360"/>
        </w:sectPr>
      </w:pPr>
    </w:p>
    <w:p w14:paraId="3F0B8578" w14:textId="54CC23B7" w:rsidR="006B6EF9" w:rsidRPr="00433FCA" w:rsidRDefault="006B6EF9" w:rsidP="00EF2FE1">
      <w:pPr>
        <w:pStyle w:val="Heading1"/>
        <w:rPr>
          <w:rFonts w:ascii="Arial" w:hAnsi="Arial"/>
        </w:rPr>
      </w:pPr>
      <w:bookmarkStart w:id="9" w:name="_Toc90501204"/>
      <w:r w:rsidRPr="00433FCA">
        <w:rPr>
          <w:rFonts w:ascii="Arial" w:hAnsi="Arial"/>
        </w:rPr>
        <w:t>Section</w:t>
      </w:r>
      <w:r w:rsidR="0027138D" w:rsidRPr="00433FCA">
        <w:rPr>
          <w:rFonts w:ascii="Arial" w:hAnsi="Arial"/>
        </w:rPr>
        <w:t xml:space="preserve"> </w:t>
      </w:r>
      <w:r w:rsidR="00417DFC">
        <w:rPr>
          <w:rFonts w:ascii="Arial" w:hAnsi="Arial"/>
        </w:rPr>
        <w:t>4</w:t>
      </w:r>
      <w:r w:rsidR="00223C3E" w:rsidRPr="00433FCA">
        <w:rPr>
          <w:rFonts w:ascii="Arial" w:hAnsi="Arial"/>
        </w:rPr>
        <w:t xml:space="preserve">: </w:t>
      </w:r>
      <w:r w:rsidRPr="00433FCA">
        <w:rPr>
          <w:rFonts w:ascii="Arial" w:hAnsi="Arial"/>
        </w:rPr>
        <w:t>Assessment Against the EPBC Act</w:t>
      </w:r>
      <w:bookmarkEnd w:id="9"/>
    </w:p>
    <w:p w14:paraId="7F363066" w14:textId="77777777" w:rsidR="009B066B" w:rsidRDefault="009F053A" w:rsidP="001F4207">
      <w:r w:rsidRPr="0081083E">
        <w:t xml:space="preserve">The table below is not a complete or exact representation of the EPBC Act. It is intended </w:t>
      </w:r>
      <w:r w:rsidR="007361FC" w:rsidRPr="0081083E">
        <w:t xml:space="preserve">to show that the </w:t>
      </w:r>
      <w:r w:rsidRPr="0081083E">
        <w:t xml:space="preserve">relevant sections and components of the EPBC Act </w:t>
      </w:r>
      <w:r w:rsidR="00897628" w:rsidRPr="0081083E">
        <w:t xml:space="preserve">have been taken into account in the formulation of </w:t>
      </w:r>
      <w:r w:rsidRPr="0081083E">
        <w:t xml:space="preserve">advice on the fishery in relation to decisions under Part 13 and Part 13A. </w:t>
      </w:r>
    </w:p>
    <w:p w14:paraId="690C012B" w14:textId="3BDF43BB" w:rsidR="00F73C73" w:rsidRPr="001F4207" w:rsidRDefault="00F73C73" w:rsidP="001F4207"/>
    <w:p w14:paraId="63A4FE7E" w14:textId="4BABCD6D" w:rsidR="009F053A" w:rsidRPr="00EF2FE1" w:rsidRDefault="009F053A" w:rsidP="00CC1027">
      <w:pPr>
        <w:pStyle w:val="Heading2"/>
      </w:pPr>
      <w:bookmarkStart w:id="10" w:name="_Toc90501205"/>
      <w:r w:rsidRPr="00EF2FE1">
        <w:t xml:space="preserve">Part 12 </w:t>
      </w:r>
      <w:r w:rsidR="00F73C73">
        <w:t>– Identifying and monitoring biodiversity and making bioregional plans</w:t>
      </w:r>
      <w:bookmarkEnd w:id="10"/>
    </w:p>
    <w:tbl>
      <w:tblPr>
        <w:tblStyle w:val="TableGrid"/>
        <w:tblW w:w="5000" w:type="pct"/>
        <w:tblLook w:val="04A0" w:firstRow="1" w:lastRow="0" w:firstColumn="1" w:lastColumn="0" w:noHBand="0" w:noVBand="1"/>
      </w:tblPr>
      <w:tblGrid>
        <w:gridCol w:w="7421"/>
        <w:gridCol w:w="7422"/>
      </w:tblGrid>
      <w:tr w:rsidR="009F053A" w:rsidRPr="00EF2FE1" w14:paraId="503FF0BC" w14:textId="77777777" w:rsidTr="00EF2FE1">
        <w:trPr>
          <w:cnfStyle w:val="100000000000" w:firstRow="1" w:lastRow="0" w:firstColumn="0" w:lastColumn="0" w:oddVBand="0" w:evenVBand="0" w:oddHBand="0" w:evenHBand="0" w:firstRowFirstColumn="0" w:firstRowLastColumn="0" w:lastRowFirstColumn="0" w:lastRowLastColumn="0"/>
        </w:trPr>
        <w:tc>
          <w:tcPr>
            <w:tcW w:w="2500" w:type="pct"/>
            <w:shd w:val="clear" w:color="auto" w:fill="D9D9D9" w:themeFill="background1" w:themeFillShade="D9"/>
            <w:vAlign w:val="center"/>
          </w:tcPr>
          <w:p w14:paraId="4BC41F5C" w14:textId="35615BB6" w:rsidR="009F053A" w:rsidRPr="00EF2FE1" w:rsidRDefault="00400844" w:rsidP="00FC2EBF">
            <w:pPr>
              <w:spacing w:before="60" w:after="60" w:line="276" w:lineRule="auto"/>
              <w:ind w:left="426" w:hanging="426"/>
              <w:contextualSpacing/>
              <w:jc w:val="center"/>
              <w:rPr>
                <w:rFonts w:cs="Arial"/>
                <w:b/>
                <w:sz w:val="20"/>
                <w:szCs w:val="20"/>
              </w:rPr>
            </w:pPr>
            <w:r w:rsidRPr="00EF2FE1">
              <w:rPr>
                <w:rFonts w:cs="Arial"/>
                <w:b/>
                <w:sz w:val="20"/>
                <w:szCs w:val="20"/>
              </w:rPr>
              <w:t>Section 176 Bioregional Plans</w:t>
            </w:r>
          </w:p>
        </w:tc>
        <w:tc>
          <w:tcPr>
            <w:tcW w:w="2500" w:type="pct"/>
            <w:shd w:val="clear" w:color="auto" w:fill="D9D9D9" w:themeFill="background1" w:themeFillShade="D9"/>
            <w:vAlign w:val="center"/>
          </w:tcPr>
          <w:p w14:paraId="3DF3E25D" w14:textId="77777777" w:rsidR="009F053A" w:rsidRPr="00EF2FE1" w:rsidRDefault="009F053A" w:rsidP="00FC2EBF">
            <w:pPr>
              <w:spacing w:before="60" w:after="60" w:line="276" w:lineRule="auto"/>
              <w:contextualSpacing/>
              <w:jc w:val="center"/>
              <w:rPr>
                <w:rFonts w:cs="Arial"/>
                <w:b/>
                <w:sz w:val="20"/>
                <w:szCs w:val="20"/>
              </w:rPr>
            </w:pPr>
            <w:r w:rsidRPr="00EF2FE1">
              <w:rPr>
                <w:rFonts w:cs="Arial"/>
                <w:b/>
                <w:sz w:val="20"/>
                <w:szCs w:val="20"/>
              </w:rPr>
              <w:t>Comment</w:t>
            </w:r>
          </w:p>
        </w:tc>
      </w:tr>
      <w:tr w:rsidR="009F053A" w:rsidRPr="00EF2FE1" w14:paraId="50519DE6" w14:textId="77777777" w:rsidTr="00EF2FE1">
        <w:trPr>
          <w:cnfStyle w:val="000000100000" w:firstRow="0" w:lastRow="0" w:firstColumn="0" w:lastColumn="0" w:oddVBand="0" w:evenVBand="0" w:oddHBand="1" w:evenHBand="0" w:firstRowFirstColumn="0" w:firstRowLastColumn="0" w:lastRowFirstColumn="0" w:lastRowLastColumn="0"/>
        </w:trPr>
        <w:tc>
          <w:tcPr>
            <w:tcW w:w="2500" w:type="pct"/>
          </w:tcPr>
          <w:p w14:paraId="1BC9E8EF" w14:textId="0A9BDB04" w:rsidR="009F053A" w:rsidRPr="00EF2FE1" w:rsidRDefault="00557756" w:rsidP="00FC2EBF">
            <w:pPr>
              <w:pStyle w:val="ListNumber"/>
            </w:pPr>
            <w:r>
              <w:t>(5)</w:t>
            </w:r>
            <w:r w:rsidRPr="00F73C73">
              <w:tab/>
            </w:r>
            <w:r w:rsidR="009F053A" w:rsidRPr="00EF2FE1">
              <w:t>Minister must have regard to relevant bioregional plans</w:t>
            </w:r>
          </w:p>
          <w:p w14:paraId="2F4C8136" w14:textId="77777777" w:rsidR="00D40B13" w:rsidRPr="00EF2FE1" w:rsidRDefault="00D40B13" w:rsidP="00FC2EBF">
            <w:pPr>
              <w:spacing w:before="60" w:after="60" w:line="276" w:lineRule="auto"/>
              <w:ind w:left="426" w:hanging="426"/>
              <w:contextualSpacing/>
              <w:rPr>
                <w:rFonts w:cs="Arial"/>
                <w:sz w:val="20"/>
                <w:szCs w:val="20"/>
              </w:rPr>
            </w:pPr>
          </w:p>
        </w:tc>
        <w:tc>
          <w:tcPr>
            <w:tcW w:w="2500" w:type="pct"/>
            <w:shd w:val="clear" w:color="auto" w:fill="auto"/>
          </w:tcPr>
          <w:p w14:paraId="5D8FA19C" w14:textId="59DDAA30" w:rsidR="002F564A" w:rsidRPr="00EF2FE1" w:rsidRDefault="00681B4C" w:rsidP="00FC2EBF">
            <w:pPr>
              <w:spacing w:before="60" w:after="60" w:line="276" w:lineRule="auto"/>
              <w:contextualSpacing/>
              <w:rPr>
                <w:rFonts w:cs="Arial"/>
                <w:b/>
                <w:sz w:val="20"/>
                <w:szCs w:val="20"/>
              </w:rPr>
            </w:pPr>
            <w:r>
              <w:rPr>
                <w:rFonts w:cs="Arial"/>
                <w:b/>
                <w:sz w:val="20"/>
                <w:szCs w:val="20"/>
              </w:rPr>
              <w:t>Not applicable</w:t>
            </w:r>
          </w:p>
          <w:p w14:paraId="6852ECC1" w14:textId="5D9F53F2" w:rsidR="009F053A" w:rsidRPr="00EF2FE1" w:rsidRDefault="001D073A" w:rsidP="00681B4C">
            <w:pPr>
              <w:spacing w:before="60" w:after="60" w:line="276" w:lineRule="auto"/>
              <w:contextualSpacing/>
              <w:rPr>
                <w:rFonts w:cs="Arial"/>
                <w:sz w:val="20"/>
                <w:szCs w:val="20"/>
              </w:rPr>
            </w:pPr>
            <w:r w:rsidRPr="001B5710">
              <w:rPr>
                <w:rFonts w:cs="Arial"/>
                <w:color w:val="000000" w:themeColor="text1"/>
                <w:sz w:val="20"/>
                <w:szCs w:val="20"/>
              </w:rPr>
              <w:t>The operation occurs in</w:t>
            </w:r>
            <w:r w:rsidR="001B5710">
              <w:rPr>
                <w:rFonts w:cs="Arial"/>
                <w:color w:val="000000" w:themeColor="text1"/>
                <w:sz w:val="20"/>
                <w:szCs w:val="20"/>
              </w:rPr>
              <w:t xml:space="preserve"> the</w:t>
            </w:r>
            <w:r w:rsidRPr="001B5710">
              <w:rPr>
                <w:rFonts w:cs="Arial"/>
                <w:color w:val="000000" w:themeColor="text1"/>
                <w:sz w:val="20"/>
                <w:szCs w:val="20"/>
              </w:rPr>
              <w:t xml:space="preserve"> Victorian state waters of Port Phillip Bay</w:t>
            </w:r>
            <w:r w:rsidR="00F73940" w:rsidRPr="001B5710">
              <w:rPr>
                <w:rFonts w:cs="Arial"/>
                <w:color w:val="000000" w:themeColor="text1"/>
                <w:sz w:val="20"/>
                <w:szCs w:val="20"/>
              </w:rPr>
              <w:t xml:space="preserve"> and Western Port Bay</w:t>
            </w:r>
            <w:r w:rsidR="001B5710" w:rsidRPr="001B5710">
              <w:rPr>
                <w:rFonts w:cs="Arial"/>
                <w:color w:val="000000" w:themeColor="text1"/>
                <w:sz w:val="20"/>
                <w:szCs w:val="20"/>
              </w:rPr>
              <w:t xml:space="preserve">. </w:t>
            </w:r>
            <w:r w:rsidR="001B5710">
              <w:rPr>
                <w:rFonts w:cs="Arial"/>
                <w:color w:val="000000" w:themeColor="text1"/>
                <w:sz w:val="20"/>
                <w:szCs w:val="20"/>
              </w:rPr>
              <w:t>Such areas are not located within</w:t>
            </w:r>
            <w:r w:rsidR="001B5710" w:rsidRPr="001B5710">
              <w:rPr>
                <w:rFonts w:cs="Arial"/>
                <w:color w:val="000000" w:themeColor="text1"/>
                <w:sz w:val="20"/>
                <w:szCs w:val="20"/>
              </w:rPr>
              <w:t xml:space="preserve"> Commonwealth </w:t>
            </w:r>
            <w:r w:rsidR="00190125">
              <w:rPr>
                <w:rFonts w:cs="Arial"/>
                <w:color w:val="000000" w:themeColor="text1"/>
                <w:sz w:val="20"/>
                <w:szCs w:val="20"/>
              </w:rPr>
              <w:t>marine regions</w:t>
            </w:r>
            <w:r w:rsidR="001B5710">
              <w:rPr>
                <w:rFonts w:cs="Arial"/>
                <w:color w:val="000000" w:themeColor="text1"/>
                <w:sz w:val="20"/>
                <w:szCs w:val="20"/>
              </w:rPr>
              <w:t xml:space="preserve"> which require a bioregional plan.</w:t>
            </w:r>
          </w:p>
        </w:tc>
      </w:tr>
    </w:tbl>
    <w:p w14:paraId="66236F12" w14:textId="77777777" w:rsidR="009F053A" w:rsidRPr="001F4207" w:rsidRDefault="009F053A" w:rsidP="001F4207"/>
    <w:p w14:paraId="6F9840FF" w14:textId="348208BB" w:rsidR="009F053A" w:rsidRDefault="009F053A" w:rsidP="00CC1027">
      <w:pPr>
        <w:pStyle w:val="Heading2"/>
      </w:pPr>
      <w:bookmarkStart w:id="11" w:name="_Toc90501206"/>
      <w:r w:rsidRPr="00EF2FE1">
        <w:t>Part 13</w:t>
      </w:r>
      <w:r w:rsidR="00C83B59" w:rsidRPr="00EF2FE1">
        <w:t xml:space="preserve"> </w:t>
      </w:r>
      <w:r w:rsidR="00F73C73">
        <w:t>– Species and communities</w:t>
      </w:r>
      <w:bookmarkEnd w:id="11"/>
    </w:p>
    <w:p w14:paraId="7B95B137" w14:textId="108CCFF9" w:rsidR="0021628B" w:rsidRPr="00A10AD2" w:rsidRDefault="00B5408F" w:rsidP="0021628B">
      <w:pPr>
        <w:rPr>
          <w:rFonts w:cs="Arial"/>
          <w:color w:val="000000" w:themeColor="text1"/>
          <w:sz w:val="20"/>
          <w:szCs w:val="20"/>
        </w:rPr>
      </w:pPr>
      <w:r>
        <w:rPr>
          <w:rFonts w:cs="Arial"/>
          <w:color w:val="000000" w:themeColor="text1"/>
          <w:sz w:val="20"/>
          <w:szCs w:val="20"/>
        </w:rPr>
        <w:t xml:space="preserve">Given that PQ Aquatics operates </w:t>
      </w:r>
      <w:r w:rsidR="00037890">
        <w:rPr>
          <w:rFonts w:cs="Arial"/>
          <w:color w:val="000000" w:themeColor="text1"/>
          <w:sz w:val="20"/>
          <w:szCs w:val="20"/>
        </w:rPr>
        <w:t xml:space="preserve">only </w:t>
      </w:r>
      <w:r>
        <w:rPr>
          <w:rFonts w:cs="Arial"/>
          <w:color w:val="000000" w:themeColor="text1"/>
          <w:sz w:val="20"/>
          <w:szCs w:val="20"/>
        </w:rPr>
        <w:t>in Victorian state waters (e.g. Port Phillip Bay, Western Port Bay)</w:t>
      </w:r>
      <w:r w:rsidR="003F3F18">
        <w:rPr>
          <w:rFonts w:cs="Arial"/>
          <w:color w:val="000000" w:themeColor="text1"/>
          <w:sz w:val="20"/>
          <w:szCs w:val="20"/>
        </w:rPr>
        <w:t xml:space="preserve"> and does not </w:t>
      </w:r>
      <w:r w:rsidR="00037890">
        <w:rPr>
          <w:rFonts w:cs="Arial"/>
          <w:color w:val="000000" w:themeColor="text1"/>
          <w:sz w:val="20"/>
          <w:szCs w:val="20"/>
        </w:rPr>
        <w:t>operate</w:t>
      </w:r>
      <w:r w:rsidR="003F3F18">
        <w:rPr>
          <w:rFonts w:cs="Arial"/>
          <w:color w:val="000000" w:themeColor="text1"/>
          <w:sz w:val="20"/>
          <w:szCs w:val="20"/>
        </w:rPr>
        <w:t xml:space="preserve"> in a Commonwealth </w:t>
      </w:r>
      <w:r w:rsidR="00190125">
        <w:rPr>
          <w:rFonts w:cs="Arial"/>
          <w:color w:val="000000" w:themeColor="text1"/>
          <w:sz w:val="20"/>
          <w:szCs w:val="20"/>
        </w:rPr>
        <w:t>marine regions</w:t>
      </w:r>
      <w:r w:rsidR="003F3F18">
        <w:rPr>
          <w:rFonts w:cs="Arial"/>
          <w:color w:val="000000" w:themeColor="text1"/>
          <w:sz w:val="20"/>
          <w:szCs w:val="20"/>
        </w:rPr>
        <w:t xml:space="preserve"> where a bioregional plan is required</w:t>
      </w:r>
      <w:r>
        <w:rPr>
          <w:rFonts w:cs="Arial"/>
          <w:color w:val="000000" w:themeColor="text1"/>
          <w:sz w:val="20"/>
          <w:szCs w:val="20"/>
        </w:rPr>
        <w:t xml:space="preserve">, </w:t>
      </w:r>
      <w:r w:rsidR="005F4EF4">
        <w:rPr>
          <w:rFonts w:cs="Arial"/>
          <w:color w:val="000000" w:themeColor="text1"/>
          <w:sz w:val="20"/>
          <w:szCs w:val="20"/>
        </w:rPr>
        <w:t>Part 13 Accreditation is not applicable to this operation</w:t>
      </w:r>
      <w:r w:rsidR="003F3F18">
        <w:rPr>
          <w:rFonts w:cs="Arial"/>
          <w:color w:val="000000" w:themeColor="text1"/>
          <w:sz w:val="20"/>
          <w:szCs w:val="20"/>
        </w:rPr>
        <w:t>.</w:t>
      </w:r>
      <w:r w:rsidR="00DA77FF">
        <w:rPr>
          <w:rFonts w:cs="Arial"/>
          <w:color w:val="000000" w:themeColor="text1"/>
          <w:sz w:val="20"/>
          <w:szCs w:val="20"/>
        </w:rPr>
        <w:t xml:space="preserve"> The impact of this operation within Victorian state waters</w:t>
      </w:r>
      <w:r w:rsidR="000F2F43">
        <w:rPr>
          <w:rFonts w:cs="Arial"/>
          <w:color w:val="000000" w:themeColor="text1"/>
          <w:sz w:val="20"/>
          <w:szCs w:val="20"/>
        </w:rPr>
        <w:t xml:space="preserve"> and on wild syngnathid populations and other EPBC Act listed Marine species, is considered in Part </w:t>
      </w:r>
      <w:r w:rsidR="00A10AD2">
        <w:rPr>
          <w:rFonts w:cs="Arial"/>
          <w:color w:val="000000" w:themeColor="text1"/>
          <w:sz w:val="20"/>
          <w:szCs w:val="20"/>
        </w:rPr>
        <w:t xml:space="preserve">13A below. </w:t>
      </w:r>
      <w:r w:rsidR="0021628B" w:rsidRPr="00AE6A69">
        <w:rPr>
          <w:rFonts w:cs="Arial"/>
          <w:color w:val="000000" w:themeColor="text1"/>
          <w:sz w:val="20"/>
          <w:szCs w:val="20"/>
        </w:rPr>
        <w:t>PQ Aquatics</w:t>
      </w:r>
      <w:r w:rsidR="0021628B" w:rsidRPr="00AE6A69">
        <w:rPr>
          <w:rFonts w:cs="Arial"/>
          <w:b/>
          <w:color w:val="000000" w:themeColor="text1"/>
          <w:sz w:val="20"/>
          <w:szCs w:val="20"/>
        </w:rPr>
        <w:t xml:space="preserve"> </w:t>
      </w:r>
      <w:r w:rsidR="00A10AD2">
        <w:rPr>
          <w:rFonts w:cs="Arial"/>
          <w:color w:val="000000" w:themeColor="text1"/>
          <w:sz w:val="20"/>
          <w:szCs w:val="20"/>
        </w:rPr>
        <w:t>is</w:t>
      </w:r>
      <w:r w:rsidR="0021628B" w:rsidRPr="00AE6A69">
        <w:rPr>
          <w:rFonts w:cs="Arial"/>
          <w:color w:val="000000" w:themeColor="text1"/>
          <w:sz w:val="20"/>
          <w:szCs w:val="20"/>
        </w:rPr>
        <w:t xml:space="preserve"> managed under the </w:t>
      </w:r>
      <w:r w:rsidR="0021628B" w:rsidRPr="00AE6A69">
        <w:rPr>
          <w:rFonts w:cs="Arial"/>
          <w:i/>
          <w:iCs/>
          <w:color w:val="000000" w:themeColor="text1"/>
          <w:sz w:val="20"/>
          <w:szCs w:val="20"/>
        </w:rPr>
        <w:t>Fisheries Act 1995</w:t>
      </w:r>
      <w:r w:rsidR="00745271">
        <w:rPr>
          <w:rFonts w:cs="Arial"/>
          <w:i/>
          <w:iCs/>
          <w:color w:val="000000" w:themeColor="text1"/>
          <w:sz w:val="20"/>
          <w:szCs w:val="20"/>
        </w:rPr>
        <w:t xml:space="preserve"> </w:t>
      </w:r>
      <w:r w:rsidR="00745271">
        <w:rPr>
          <w:rFonts w:cs="Arial"/>
          <w:color w:val="000000" w:themeColor="text1"/>
          <w:sz w:val="20"/>
          <w:szCs w:val="20"/>
        </w:rPr>
        <w:t>(Vic)</w:t>
      </w:r>
      <w:r w:rsidR="0021628B" w:rsidRPr="00AE6A69">
        <w:rPr>
          <w:rFonts w:cs="Arial"/>
          <w:color w:val="000000" w:themeColor="text1"/>
          <w:sz w:val="20"/>
          <w:szCs w:val="20"/>
        </w:rPr>
        <w:t xml:space="preserve">, </w:t>
      </w:r>
      <w:r w:rsidR="0021628B" w:rsidRPr="00745271">
        <w:rPr>
          <w:rFonts w:cs="Arial"/>
          <w:color w:val="000000" w:themeColor="text1"/>
          <w:sz w:val="20"/>
          <w:szCs w:val="20"/>
        </w:rPr>
        <w:t>Fisheries Regulations 2019</w:t>
      </w:r>
      <w:r w:rsidR="00037890">
        <w:rPr>
          <w:rFonts w:cs="Arial"/>
          <w:color w:val="000000" w:themeColor="text1"/>
          <w:sz w:val="20"/>
          <w:szCs w:val="20"/>
        </w:rPr>
        <w:t xml:space="preserve"> </w:t>
      </w:r>
      <w:r w:rsidR="00745271">
        <w:rPr>
          <w:rFonts w:cs="Arial"/>
          <w:color w:val="000000" w:themeColor="text1"/>
          <w:sz w:val="20"/>
          <w:szCs w:val="20"/>
        </w:rPr>
        <w:t xml:space="preserve">(Vic) </w:t>
      </w:r>
      <w:r w:rsidR="0021628B" w:rsidRPr="00AE6A69">
        <w:rPr>
          <w:rFonts w:cs="Arial"/>
          <w:color w:val="000000" w:themeColor="text1"/>
          <w:sz w:val="20"/>
          <w:szCs w:val="20"/>
        </w:rPr>
        <w:t>and a Protected Aquatic Biota Permit issued by the Victorian Fisheries Authority.</w:t>
      </w:r>
    </w:p>
    <w:p w14:paraId="1A7518C5" w14:textId="77777777" w:rsidR="00FC510B" w:rsidRDefault="00FC510B">
      <w:r>
        <w:br w:type="page"/>
      </w:r>
    </w:p>
    <w:p w14:paraId="3C1550C8" w14:textId="77777777" w:rsidR="009F053A" w:rsidRPr="001F4207" w:rsidRDefault="009F053A" w:rsidP="001F4207"/>
    <w:p w14:paraId="7CF63A23" w14:textId="3C59189E" w:rsidR="009D5019" w:rsidRPr="00EF2FE1" w:rsidRDefault="009D5019" w:rsidP="001F4207">
      <w:pPr>
        <w:pStyle w:val="Heading2"/>
      </w:pPr>
      <w:bookmarkStart w:id="12" w:name="_Toc90501207"/>
      <w:r w:rsidRPr="00EF2FE1">
        <w:t>Part 13A</w:t>
      </w:r>
      <w:r w:rsidR="007F1ABC" w:rsidRPr="00EF2FE1">
        <w:t xml:space="preserve"> </w:t>
      </w:r>
      <w:r w:rsidR="00F73C73">
        <w:t>– International movement of wildlife specimens</w:t>
      </w:r>
      <w:bookmarkEnd w:id="12"/>
    </w:p>
    <w:tbl>
      <w:tblPr>
        <w:tblStyle w:val="TableGrid1"/>
        <w:tblW w:w="5000" w:type="pct"/>
        <w:tblLook w:val="04A0" w:firstRow="1" w:lastRow="0" w:firstColumn="1" w:lastColumn="0" w:noHBand="0" w:noVBand="1"/>
      </w:tblPr>
      <w:tblGrid>
        <w:gridCol w:w="7421"/>
        <w:gridCol w:w="7422"/>
      </w:tblGrid>
      <w:tr w:rsidR="00D40B13" w:rsidRPr="001F4207" w14:paraId="3C655134" w14:textId="77777777" w:rsidTr="00CC77AB">
        <w:trPr>
          <w:cnfStyle w:val="100000000000" w:firstRow="1" w:lastRow="0" w:firstColumn="0" w:lastColumn="0" w:oddVBand="0" w:evenVBand="0" w:oddHBand="0" w:evenHBand="0" w:firstRowFirstColumn="0" w:firstRowLastColumn="0" w:lastRowFirstColumn="0" w:lastRowLastColumn="0"/>
        </w:trPr>
        <w:tc>
          <w:tcPr>
            <w:tcW w:w="5000" w:type="pct"/>
            <w:gridSpan w:val="2"/>
            <w:shd w:val="clear" w:color="auto" w:fill="D9D9D9" w:themeFill="background1" w:themeFillShade="D9"/>
            <w:vAlign w:val="center"/>
          </w:tcPr>
          <w:p w14:paraId="0F5148DF" w14:textId="01036097" w:rsidR="00D40B13" w:rsidRPr="001F4207" w:rsidRDefault="00D40B13" w:rsidP="00FC2EBF">
            <w:pPr>
              <w:spacing w:before="60" w:after="60" w:line="276" w:lineRule="auto"/>
              <w:contextualSpacing/>
              <w:jc w:val="center"/>
              <w:rPr>
                <w:rFonts w:cs="Arial"/>
                <w:b/>
                <w:sz w:val="20"/>
                <w:szCs w:val="20"/>
              </w:rPr>
            </w:pPr>
            <w:r w:rsidRPr="001F4207">
              <w:rPr>
                <w:rFonts w:cs="Arial"/>
                <w:b/>
                <w:bCs/>
                <w:noProof/>
                <w:sz w:val="20"/>
                <w:szCs w:val="20"/>
              </w:rPr>
              <w:t>Section 303BA Objects of Part 13A</w:t>
            </w:r>
          </w:p>
        </w:tc>
      </w:tr>
      <w:tr w:rsidR="001C70CA" w:rsidRPr="001F4207" w14:paraId="2C296CF2" w14:textId="77777777" w:rsidTr="00CC77AB">
        <w:trPr>
          <w:cnfStyle w:val="000000100000" w:firstRow="0" w:lastRow="0" w:firstColumn="0" w:lastColumn="0" w:oddVBand="0" w:evenVBand="0" w:oddHBand="1" w:evenHBand="0" w:firstRowFirstColumn="0" w:firstRowLastColumn="0" w:lastRowFirstColumn="0" w:lastRowLastColumn="0"/>
        </w:trPr>
        <w:tc>
          <w:tcPr>
            <w:tcW w:w="2500" w:type="pct"/>
          </w:tcPr>
          <w:p w14:paraId="214AF701" w14:textId="48F00C58" w:rsidR="001C70CA" w:rsidRPr="001F4207" w:rsidRDefault="001C70CA" w:rsidP="00FC2EBF">
            <w:pPr>
              <w:pStyle w:val="ListNumber"/>
              <w:rPr>
                <w:noProof/>
              </w:rPr>
            </w:pPr>
            <w:r w:rsidRPr="001F4207">
              <w:t>(1)</w:t>
            </w:r>
            <w:r w:rsidRPr="001F4207">
              <w:tab/>
              <w:t xml:space="preserve">The </w:t>
            </w:r>
            <w:r w:rsidRPr="001F4207">
              <w:rPr>
                <w:noProof/>
              </w:rPr>
              <w:t>objects of this Part are as follows</w:t>
            </w:r>
            <w:r w:rsidRPr="001F4207">
              <w:t>:</w:t>
            </w:r>
          </w:p>
          <w:p w14:paraId="53F2A16D" w14:textId="7F2BF5AB" w:rsidR="001C70CA" w:rsidRPr="001F4207" w:rsidRDefault="001C70CA" w:rsidP="00FC2EBF">
            <w:pPr>
              <w:pStyle w:val="ListNumber2"/>
            </w:pPr>
            <w:r w:rsidRPr="001F4207">
              <w:t>(a)</w:t>
            </w:r>
            <w:r w:rsidRPr="001F4207">
              <w:tab/>
              <w:t>to ensure that Australia complies with its obligations under CITES and the Biodiversity Convention;</w:t>
            </w:r>
          </w:p>
          <w:p w14:paraId="1E27B80E" w14:textId="1B22B1A9" w:rsidR="001C70CA" w:rsidRPr="001F4207" w:rsidRDefault="001C70CA" w:rsidP="00FC2EBF">
            <w:pPr>
              <w:pStyle w:val="ListNumber2"/>
            </w:pPr>
            <w:r w:rsidRPr="001F4207">
              <w:t>(b)</w:t>
            </w:r>
            <w:r w:rsidRPr="001F4207">
              <w:tab/>
              <w:t>to protect wildlife that may be adversely affected by trade;</w:t>
            </w:r>
          </w:p>
          <w:p w14:paraId="0BD3A59F" w14:textId="77777777" w:rsidR="001C70CA" w:rsidRPr="001F4207" w:rsidRDefault="001C70CA" w:rsidP="00FC2EBF">
            <w:pPr>
              <w:pStyle w:val="ListNumber2"/>
            </w:pPr>
            <w:r w:rsidRPr="001F4207">
              <w:t>(c)</w:t>
            </w:r>
            <w:r w:rsidRPr="001F4207">
              <w:tab/>
              <w:t>to promote the conservation of biodiversity in Australia and other countries;</w:t>
            </w:r>
          </w:p>
          <w:p w14:paraId="51856DBF" w14:textId="77777777" w:rsidR="001C70CA" w:rsidRPr="001F4207" w:rsidRDefault="001C70CA" w:rsidP="00FC2EBF">
            <w:pPr>
              <w:pStyle w:val="ListNumber2"/>
            </w:pPr>
            <w:r w:rsidRPr="001F4207">
              <w:t>(d)</w:t>
            </w:r>
            <w:r w:rsidRPr="001F4207">
              <w:tab/>
              <w:t>to ensure that any commercial utilisation of Australian native wildlife for the purposes of export is managed in an ecologically sustainable way;</w:t>
            </w:r>
          </w:p>
          <w:p w14:paraId="06D01FF1" w14:textId="77777777" w:rsidR="001C70CA" w:rsidRPr="001F4207" w:rsidRDefault="001C70CA" w:rsidP="00FC2EBF">
            <w:pPr>
              <w:pStyle w:val="ListNumber2"/>
            </w:pPr>
            <w:r w:rsidRPr="001F4207">
              <w:t>(e)</w:t>
            </w:r>
            <w:r w:rsidRPr="001F4207">
              <w:tab/>
              <w:t>to promote the humane treatment of wildlife;</w:t>
            </w:r>
          </w:p>
          <w:p w14:paraId="79661513" w14:textId="77777777" w:rsidR="001C70CA" w:rsidRPr="001F4207" w:rsidRDefault="001C70CA" w:rsidP="00FC2EBF">
            <w:pPr>
              <w:pStyle w:val="ListNumber2"/>
            </w:pPr>
            <w:r w:rsidRPr="001F4207">
              <w:t>(f)</w:t>
            </w:r>
            <w:r w:rsidRPr="001F4207">
              <w:tab/>
              <w:t>to ensure ethical conduct during any research associated with the utilisation of wildlife; and</w:t>
            </w:r>
          </w:p>
          <w:p w14:paraId="4E62EAB3" w14:textId="5C436067" w:rsidR="001C70CA" w:rsidRPr="001F4207" w:rsidRDefault="001C70CA" w:rsidP="00FC2EBF">
            <w:pPr>
              <w:pStyle w:val="ListNumber2"/>
            </w:pPr>
            <w:r w:rsidRPr="001F4207">
              <w:t>(h)</w:t>
            </w:r>
            <w:r w:rsidRPr="001F4207">
              <w:tab/>
              <w:t>to ensure the precautionary principle is taken into account in making decisions relating to the utilisation of wildlife.</w:t>
            </w:r>
          </w:p>
        </w:tc>
        <w:tc>
          <w:tcPr>
            <w:tcW w:w="2500" w:type="pct"/>
          </w:tcPr>
          <w:p w14:paraId="7FE098BF" w14:textId="77777777" w:rsidR="00AA7DA1" w:rsidRPr="00AD7B41" w:rsidRDefault="00AA7DA1" w:rsidP="00AA7DA1">
            <w:pPr>
              <w:spacing w:before="80" w:after="80" w:line="276" w:lineRule="auto"/>
              <w:contextualSpacing/>
              <w:rPr>
                <w:rFonts w:cs="Arial"/>
                <w:sz w:val="20"/>
                <w:szCs w:val="20"/>
              </w:rPr>
            </w:pPr>
            <w:r w:rsidRPr="00AD7B41">
              <w:rPr>
                <w:rFonts w:cs="Arial"/>
                <w:sz w:val="20"/>
                <w:szCs w:val="20"/>
              </w:rPr>
              <w:t>The management arrangements for the fishery have been assessed and found to be consistent with the general guidance provided in the objects of Part 13A as:</w:t>
            </w:r>
          </w:p>
          <w:p w14:paraId="6650D14B" w14:textId="77777777" w:rsidR="00AA7DA1" w:rsidRPr="00AD7B41" w:rsidRDefault="00AA7DA1" w:rsidP="00AA7DA1">
            <w:pPr>
              <w:numPr>
                <w:ilvl w:val="0"/>
                <w:numId w:val="6"/>
              </w:numPr>
              <w:spacing w:before="80" w:after="80" w:line="276" w:lineRule="auto"/>
              <w:contextualSpacing/>
              <w:rPr>
                <w:rFonts w:cs="Arial"/>
                <w:sz w:val="20"/>
                <w:szCs w:val="20"/>
              </w:rPr>
            </w:pPr>
            <w:r w:rsidRPr="00AD7B41">
              <w:rPr>
                <w:rFonts w:cs="Arial"/>
                <w:sz w:val="20"/>
                <w:szCs w:val="20"/>
              </w:rPr>
              <w:t>the harvest of any Convention on International Trade in Endangered Species of Wild Fauna and Flora (CITES) listed species is sustainable and consistent with Australia’s obligations</w:t>
            </w:r>
          </w:p>
          <w:p w14:paraId="457A1877" w14:textId="77777777" w:rsidR="00AA7DA1" w:rsidRPr="00AD7B41" w:rsidRDefault="00AA7DA1" w:rsidP="00AA7DA1">
            <w:pPr>
              <w:numPr>
                <w:ilvl w:val="0"/>
                <w:numId w:val="6"/>
              </w:numPr>
              <w:spacing w:before="80" w:after="80" w:line="276" w:lineRule="auto"/>
              <w:contextualSpacing/>
              <w:rPr>
                <w:rFonts w:cs="Arial"/>
                <w:sz w:val="20"/>
                <w:szCs w:val="20"/>
              </w:rPr>
            </w:pPr>
            <w:r w:rsidRPr="00AD7B41">
              <w:rPr>
                <w:rFonts w:cs="Arial"/>
                <w:sz w:val="20"/>
                <w:szCs w:val="20"/>
              </w:rPr>
              <w:t>there are management arrangements in place to ensure that the resource is being managed in an ecologically sustainable way</w:t>
            </w:r>
          </w:p>
          <w:p w14:paraId="78096E7C" w14:textId="1DC6F0A2" w:rsidR="00AA7DA1" w:rsidRPr="00AD7B41" w:rsidRDefault="00AA7DA1" w:rsidP="00AA7DA1">
            <w:pPr>
              <w:numPr>
                <w:ilvl w:val="0"/>
                <w:numId w:val="6"/>
              </w:numPr>
              <w:spacing w:before="80" w:after="80" w:line="276" w:lineRule="auto"/>
              <w:contextualSpacing/>
              <w:rPr>
                <w:rFonts w:cs="Arial"/>
                <w:sz w:val="20"/>
                <w:szCs w:val="20"/>
              </w:rPr>
            </w:pPr>
            <w:r w:rsidRPr="00AD7B41">
              <w:rPr>
                <w:rFonts w:cs="Arial"/>
                <w:sz w:val="20"/>
                <w:szCs w:val="20"/>
              </w:rPr>
              <w:t xml:space="preserve">the operation of </w:t>
            </w:r>
            <w:r w:rsidRPr="00AA7DA1">
              <w:rPr>
                <w:rFonts w:cs="Arial"/>
                <w:sz w:val="20"/>
                <w:szCs w:val="20"/>
              </w:rPr>
              <w:t xml:space="preserve">Victorian PQ Aquatics Syngnathids Wildlife Trade Operation </w:t>
            </w:r>
            <w:r w:rsidRPr="00AD7B41">
              <w:rPr>
                <w:rFonts w:cs="Arial"/>
                <w:sz w:val="20"/>
                <w:szCs w:val="20"/>
              </w:rPr>
              <w:t xml:space="preserve">is unlikely to be unsustainable and threaten biodiversity within the next three years, and </w:t>
            </w:r>
          </w:p>
          <w:p w14:paraId="46E1671E" w14:textId="48B1BD45" w:rsidR="009F5E63" w:rsidRPr="003472AB" w:rsidRDefault="00AA7DA1" w:rsidP="003472AB">
            <w:pPr>
              <w:numPr>
                <w:ilvl w:val="0"/>
                <w:numId w:val="6"/>
              </w:numPr>
              <w:spacing w:before="80" w:after="80" w:line="276" w:lineRule="auto"/>
              <w:contextualSpacing/>
              <w:rPr>
                <w:rFonts w:cs="Arial"/>
                <w:sz w:val="20"/>
                <w:szCs w:val="20"/>
              </w:rPr>
            </w:pPr>
            <w:r w:rsidRPr="003472AB">
              <w:rPr>
                <w:rFonts w:cs="Arial"/>
                <w:sz w:val="20"/>
                <w:szCs w:val="20"/>
              </w:rPr>
              <w:t>the Environment Protection and Biodiversity Conservation Regulations 2000 do not specify fish as a class of animal in relation to the welfare of live specimens.</w:t>
            </w:r>
          </w:p>
          <w:p w14:paraId="0FEDAD98" w14:textId="07AE58A6" w:rsidR="001C70CA" w:rsidRPr="001F4207" w:rsidRDefault="001C70CA" w:rsidP="00FC2EBF">
            <w:pPr>
              <w:pStyle w:val="ListNumber2"/>
            </w:pPr>
            <w:r w:rsidRPr="001F4207" w:rsidDel="001C70CA">
              <w:t xml:space="preserve"> </w:t>
            </w:r>
          </w:p>
        </w:tc>
      </w:tr>
      <w:tr w:rsidR="00D40B13" w:rsidRPr="001F4207" w14:paraId="4624BC86" w14:textId="77777777" w:rsidTr="00CC77AB">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D9D9D9" w:themeFill="background1" w:themeFillShade="D9"/>
            <w:vAlign w:val="center"/>
          </w:tcPr>
          <w:p w14:paraId="22E737C0" w14:textId="4706CC4F" w:rsidR="00D40B13" w:rsidRPr="001F4207" w:rsidRDefault="00D40B13" w:rsidP="00FC2EBF">
            <w:pPr>
              <w:spacing w:before="60" w:after="60" w:line="276" w:lineRule="auto"/>
              <w:ind w:left="426" w:hanging="426"/>
              <w:contextualSpacing/>
              <w:jc w:val="center"/>
              <w:rPr>
                <w:rFonts w:cs="Arial"/>
                <w:b/>
                <w:sz w:val="20"/>
                <w:szCs w:val="20"/>
              </w:rPr>
            </w:pPr>
            <w:r w:rsidRPr="001F4207">
              <w:rPr>
                <w:rFonts w:cs="Arial"/>
                <w:b/>
                <w:sz w:val="20"/>
                <w:szCs w:val="20"/>
              </w:rPr>
              <w:t>Section 303 CG Minister may issue permits (CITES species)</w:t>
            </w:r>
          </w:p>
        </w:tc>
        <w:tc>
          <w:tcPr>
            <w:tcW w:w="2500" w:type="pct"/>
            <w:shd w:val="clear" w:color="auto" w:fill="D9D9D9" w:themeFill="background1" w:themeFillShade="D9"/>
            <w:vAlign w:val="center"/>
          </w:tcPr>
          <w:p w14:paraId="1B527A26" w14:textId="1573575D" w:rsidR="00D40B13" w:rsidRPr="001F4207" w:rsidRDefault="00D40B13" w:rsidP="00FC2EBF">
            <w:pPr>
              <w:spacing w:before="60" w:after="60" w:line="276" w:lineRule="auto"/>
              <w:contextualSpacing/>
              <w:jc w:val="center"/>
              <w:rPr>
                <w:rFonts w:cs="Arial"/>
                <w:b/>
                <w:sz w:val="20"/>
                <w:szCs w:val="20"/>
              </w:rPr>
            </w:pPr>
            <w:r w:rsidRPr="001F4207">
              <w:rPr>
                <w:rFonts w:cs="Arial"/>
                <w:b/>
                <w:sz w:val="20"/>
                <w:szCs w:val="20"/>
              </w:rPr>
              <w:t>Comment</w:t>
            </w:r>
          </w:p>
        </w:tc>
      </w:tr>
      <w:tr w:rsidR="00D40B13" w:rsidRPr="001F4207" w14:paraId="6658FC4B" w14:textId="77777777" w:rsidTr="00074553">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92D050"/>
          </w:tcPr>
          <w:p w14:paraId="34E2FBCB" w14:textId="3C165E9D" w:rsidR="00D40B13" w:rsidRPr="001F4207" w:rsidRDefault="00D40B13" w:rsidP="00FC2EBF">
            <w:pPr>
              <w:pStyle w:val="ListNumber"/>
            </w:pPr>
            <w:r w:rsidRPr="001F4207">
              <w:t>(3)</w:t>
            </w:r>
            <w:r w:rsidR="00A961C6" w:rsidRPr="001F4207">
              <w:tab/>
            </w:r>
            <w:r w:rsidRPr="001F4207">
              <w:t>The Minister must not issue a permit unless the Minister is satisfied that:</w:t>
            </w:r>
          </w:p>
          <w:p w14:paraId="415815ED" w14:textId="3C4D10A3" w:rsidR="00D40B13" w:rsidRPr="001F4207" w:rsidRDefault="00A961C6" w:rsidP="00FC2EBF">
            <w:pPr>
              <w:pStyle w:val="ListNumber2"/>
            </w:pPr>
            <w:r w:rsidRPr="001F4207">
              <w:t>(a)</w:t>
            </w:r>
            <w:r w:rsidR="00D40B13" w:rsidRPr="001F4207">
              <w:tab/>
              <w:t>the action or actions specified in the permit will not be detrimental to, or contribute to trade which is detrimental to:</w:t>
            </w:r>
          </w:p>
          <w:p w14:paraId="706F1B7A" w14:textId="4E5EC525" w:rsidR="00111796" w:rsidRPr="001F4207" w:rsidRDefault="00111796" w:rsidP="00FC2EBF">
            <w:pPr>
              <w:pStyle w:val="ListNumber3"/>
              <w:spacing w:line="276" w:lineRule="auto"/>
            </w:pPr>
            <w:r w:rsidRPr="001F4207">
              <w:t>(i)</w:t>
            </w:r>
            <w:r w:rsidRPr="001F4207">
              <w:tab/>
              <w:t>the survival of any taxon to which the specimen belongs; or</w:t>
            </w:r>
          </w:p>
          <w:p w14:paraId="5A0FB4C6" w14:textId="129D3190" w:rsidR="00807BB8" w:rsidRPr="001F4207" w:rsidRDefault="00807BB8" w:rsidP="00FC2EBF">
            <w:pPr>
              <w:pStyle w:val="ListNumber3"/>
              <w:spacing w:line="276" w:lineRule="auto"/>
            </w:pPr>
          </w:p>
        </w:tc>
        <w:tc>
          <w:tcPr>
            <w:tcW w:w="2500" w:type="pct"/>
          </w:tcPr>
          <w:p w14:paraId="574DD456" w14:textId="534B43B6" w:rsidR="0030175F" w:rsidRPr="0030175F" w:rsidRDefault="0030175F" w:rsidP="00FC2EBF">
            <w:pPr>
              <w:spacing w:before="60" w:after="60" w:line="276" w:lineRule="auto"/>
              <w:contextualSpacing/>
              <w:rPr>
                <w:rFonts w:cs="Arial"/>
                <w:b/>
                <w:bCs/>
                <w:color w:val="000000" w:themeColor="text1"/>
                <w:sz w:val="20"/>
                <w:szCs w:val="20"/>
              </w:rPr>
            </w:pPr>
            <w:r w:rsidRPr="0030175F">
              <w:rPr>
                <w:rFonts w:cs="Arial"/>
                <w:b/>
                <w:bCs/>
                <w:color w:val="000000" w:themeColor="text1"/>
                <w:sz w:val="20"/>
                <w:szCs w:val="20"/>
              </w:rPr>
              <w:t>Meets</w:t>
            </w:r>
          </w:p>
          <w:p w14:paraId="2586FA94" w14:textId="2A394C97" w:rsidR="00D40B13" w:rsidRPr="0030175F" w:rsidRDefault="00D40B13" w:rsidP="00FC2EBF">
            <w:pPr>
              <w:spacing w:before="60" w:after="60" w:line="276" w:lineRule="auto"/>
              <w:contextualSpacing/>
              <w:rPr>
                <w:rFonts w:cs="Arial"/>
                <w:color w:val="000000" w:themeColor="text1"/>
                <w:sz w:val="20"/>
                <w:szCs w:val="20"/>
                <w:highlight w:val="cyan"/>
              </w:rPr>
            </w:pPr>
            <w:r w:rsidRPr="0030175F">
              <w:rPr>
                <w:rFonts w:cs="Arial"/>
                <w:color w:val="000000" w:themeColor="text1"/>
                <w:sz w:val="20"/>
                <w:szCs w:val="20"/>
              </w:rPr>
              <w:t xml:space="preserve">Given the </w:t>
            </w:r>
            <w:r w:rsidR="00255B43" w:rsidRPr="0030175F">
              <w:rPr>
                <w:rFonts w:cs="Arial"/>
                <w:color w:val="000000" w:themeColor="text1"/>
                <w:sz w:val="20"/>
                <w:szCs w:val="20"/>
              </w:rPr>
              <w:t>operations</w:t>
            </w:r>
            <w:r w:rsidRPr="0030175F">
              <w:rPr>
                <w:rFonts w:cs="Arial"/>
                <w:color w:val="000000" w:themeColor="text1"/>
                <w:sz w:val="20"/>
                <w:szCs w:val="20"/>
              </w:rPr>
              <w:t xml:space="preserve">’ management arrangements in place to monitor and control the level of harvest of CITES species and noting the minimal level of CITES species being exported from the </w:t>
            </w:r>
            <w:r w:rsidR="00021286">
              <w:rPr>
                <w:rFonts w:cs="Arial"/>
                <w:color w:val="000000" w:themeColor="text1"/>
                <w:sz w:val="20"/>
                <w:szCs w:val="20"/>
              </w:rPr>
              <w:t>operation</w:t>
            </w:r>
            <w:r w:rsidRPr="0030175F">
              <w:rPr>
                <w:rFonts w:cs="Arial"/>
                <w:color w:val="000000" w:themeColor="text1"/>
                <w:sz w:val="20"/>
                <w:szCs w:val="20"/>
              </w:rPr>
              <w:t xml:space="preserve">, the </w:t>
            </w:r>
            <w:r w:rsidR="00B079D8">
              <w:rPr>
                <w:rFonts w:cs="Arial"/>
                <w:color w:val="000000" w:themeColor="text1"/>
                <w:sz w:val="20"/>
                <w:szCs w:val="20"/>
              </w:rPr>
              <w:t>d</w:t>
            </w:r>
            <w:r w:rsidRPr="0030175F">
              <w:rPr>
                <w:rFonts w:cs="Arial"/>
                <w:color w:val="000000" w:themeColor="text1"/>
                <w:sz w:val="20"/>
                <w:szCs w:val="20"/>
              </w:rPr>
              <w:t xml:space="preserve">epartment considers that the </w:t>
            </w:r>
            <w:r w:rsidR="004661DB" w:rsidRPr="0030175F">
              <w:rPr>
                <w:rFonts w:cs="Arial"/>
                <w:color w:val="000000" w:themeColor="text1"/>
                <w:sz w:val="20"/>
                <w:szCs w:val="20"/>
              </w:rPr>
              <w:t>operation</w:t>
            </w:r>
            <w:r w:rsidRPr="0030175F">
              <w:rPr>
                <w:rFonts w:cs="Arial"/>
                <w:color w:val="000000" w:themeColor="text1"/>
                <w:sz w:val="20"/>
                <w:szCs w:val="20"/>
              </w:rPr>
              <w:t xml:space="preserve"> will not be detrimental to the survival of any taxon to which the CITES specimen belongs in the short to medium term. A condition on the WTO declaration for </w:t>
            </w:r>
            <w:r w:rsidR="001B5AA8" w:rsidRPr="0030175F">
              <w:rPr>
                <w:rFonts w:cs="Arial"/>
                <w:color w:val="000000" w:themeColor="text1"/>
                <w:sz w:val="20"/>
                <w:szCs w:val="20"/>
              </w:rPr>
              <w:t xml:space="preserve">the </w:t>
            </w:r>
            <w:r w:rsidR="004661DB" w:rsidRPr="0030175F">
              <w:rPr>
                <w:rFonts w:cs="Arial"/>
                <w:color w:val="000000" w:themeColor="text1"/>
                <w:sz w:val="20"/>
                <w:szCs w:val="20"/>
              </w:rPr>
              <w:t>operation</w:t>
            </w:r>
            <w:r w:rsidR="001B5AA8" w:rsidRPr="0030175F">
              <w:rPr>
                <w:rFonts w:cs="Arial"/>
                <w:color w:val="000000" w:themeColor="text1"/>
                <w:sz w:val="20"/>
                <w:szCs w:val="20"/>
              </w:rPr>
              <w:t xml:space="preserve"> </w:t>
            </w:r>
            <w:r w:rsidRPr="0030175F">
              <w:rPr>
                <w:rFonts w:cs="Arial"/>
                <w:color w:val="000000" w:themeColor="text1"/>
                <w:sz w:val="20"/>
                <w:szCs w:val="20"/>
              </w:rPr>
              <w:t xml:space="preserve">includes annual reporting requirements, which will allow the </w:t>
            </w:r>
            <w:r w:rsidR="00B079D8">
              <w:rPr>
                <w:rFonts w:cs="Arial"/>
                <w:color w:val="000000" w:themeColor="text1"/>
                <w:sz w:val="20"/>
                <w:szCs w:val="20"/>
              </w:rPr>
              <w:t>d</w:t>
            </w:r>
            <w:r w:rsidRPr="0030175F">
              <w:rPr>
                <w:rFonts w:cs="Arial"/>
                <w:color w:val="000000" w:themeColor="text1"/>
                <w:sz w:val="20"/>
                <w:szCs w:val="20"/>
              </w:rPr>
              <w:t xml:space="preserve">epartment to monitor the status of CITES specimens harvested </w:t>
            </w:r>
            <w:r w:rsidR="00021286">
              <w:rPr>
                <w:rFonts w:cs="Arial"/>
                <w:color w:val="000000" w:themeColor="text1"/>
                <w:sz w:val="20"/>
                <w:szCs w:val="20"/>
              </w:rPr>
              <w:t>by the operation.</w:t>
            </w:r>
          </w:p>
          <w:p w14:paraId="2796FC47" w14:textId="2832B227" w:rsidR="00056E19" w:rsidRPr="001F4207" w:rsidRDefault="00056E19" w:rsidP="0030175F">
            <w:pPr>
              <w:spacing w:before="60" w:after="60" w:line="276" w:lineRule="auto"/>
              <w:contextualSpacing/>
              <w:rPr>
                <w:rFonts w:cs="Arial"/>
                <w:b/>
                <w:sz w:val="20"/>
                <w:szCs w:val="20"/>
              </w:rPr>
            </w:pPr>
          </w:p>
        </w:tc>
      </w:tr>
      <w:tr w:rsidR="00D40B13" w:rsidRPr="001F4207" w14:paraId="10EE98F1" w14:textId="77777777" w:rsidTr="00696B61">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92D050"/>
          </w:tcPr>
          <w:p w14:paraId="245B49A2" w14:textId="76F82710" w:rsidR="00111796" w:rsidRPr="001F4207" w:rsidRDefault="00111796" w:rsidP="00FC2EBF">
            <w:pPr>
              <w:pStyle w:val="ListNumber3"/>
              <w:spacing w:line="276" w:lineRule="auto"/>
            </w:pPr>
            <w:r w:rsidRPr="001F4207">
              <w:t>(ii)</w:t>
            </w:r>
            <w:r w:rsidRPr="001F4207">
              <w:tab/>
              <w:t>the recovery in nature of any taxon to which the specimen belongs; or</w:t>
            </w:r>
          </w:p>
          <w:p w14:paraId="47C6F1FD" w14:textId="36D27C91" w:rsidR="00807BB8" w:rsidRPr="001F4207" w:rsidRDefault="00807BB8" w:rsidP="00FC2EBF">
            <w:pPr>
              <w:pStyle w:val="ListNumber3"/>
              <w:spacing w:line="276" w:lineRule="auto"/>
            </w:pPr>
          </w:p>
        </w:tc>
        <w:tc>
          <w:tcPr>
            <w:tcW w:w="2500" w:type="pct"/>
          </w:tcPr>
          <w:p w14:paraId="00D91F9B" w14:textId="7F1D917B" w:rsidR="00535514" w:rsidRPr="00535514" w:rsidRDefault="00535514" w:rsidP="00FC2EBF">
            <w:pPr>
              <w:spacing w:before="60" w:after="60" w:line="276" w:lineRule="auto"/>
              <w:contextualSpacing/>
              <w:rPr>
                <w:rFonts w:cs="Arial"/>
                <w:b/>
                <w:bCs/>
                <w:sz w:val="20"/>
                <w:szCs w:val="20"/>
              </w:rPr>
            </w:pPr>
            <w:r w:rsidRPr="00535514">
              <w:rPr>
                <w:rFonts w:cs="Arial"/>
                <w:b/>
                <w:bCs/>
                <w:sz w:val="20"/>
                <w:szCs w:val="20"/>
              </w:rPr>
              <w:t>Meets</w:t>
            </w:r>
          </w:p>
          <w:p w14:paraId="363E5924" w14:textId="793ACA35" w:rsidR="00056E19" w:rsidRPr="001F4207" w:rsidRDefault="00D40B13" w:rsidP="00891695">
            <w:pPr>
              <w:spacing w:before="60" w:after="60" w:line="276" w:lineRule="auto"/>
              <w:contextualSpacing/>
              <w:rPr>
                <w:rFonts w:cs="Arial"/>
                <w:b/>
                <w:sz w:val="20"/>
                <w:szCs w:val="20"/>
              </w:rPr>
            </w:pPr>
            <w:r w:rsidRPr="00891695">
              <w:rPr>
                <w:rFonts w:cs="Arial"/>
                <w:color w:val="000000" w:themeColor="text1"/>
                <w:sz w:val="20"/>
                <w:szCs w:val="20"/>
              </w:rPr>
              <w:t xml:space="preserve">The CITES specimens </w:t>
            </w:r>
            <w:r w:rsidR="000C10D1" w:rsidRPr="00891695">
              <w:rPr>
                <w:rFonts w:cs="Arial"/>
                <w:color w:val="000000" w:themeColor="text1"/>
                <w:sz w:val="20"/>
                <w:szCs w:val="20"/>
              </w:rPr>
              <w:t>that are harvested as part of the</w:t>
            </w:r>
            <w:r w:rsidRPr="00891695">
              <w:rPr>
                <w:rFonts w:cs="Arial"/>
                <w:color w:val="000000" w:themeColor="text1"/>
                <w:sz w:val="20"/>
                <w:szCs w:val="20"/>
              </w:rPr>
              <w:t xml:space="preserve"> </w:t>
            </w:r>
            <w:r w:rsidR="00535514" w:rsidRPr="00891695">
              <w:rPr>
                <w:rFonts w:cs="Arial"/>
                <w:color w:val="000000" w:themeColor="text1"/>
                <w:sz w:val="20"/>
                <w:szCs w:val="20"/>
              </w:rPr>
              <w:t>operation</w:t>
            </w:r>
            <w:r w:rsidRPr="00891695">
              <w:rPr>
                <w:rFonts w:cs="Arial"/>
                <w:color w:val="000000" w:themeColor="text1"/>
                <w:sz w:val="20"/>
                <w:szCs w:val="20"/>
              </w:rPr>
              <w:t xml:space="preserve"> are not considered to be overfished in </w:t>
            </w:r>
            <w:r w:rsidR="000C10D1" w:rsidRPr="00891695">
              <w:rPr>
                <w:rFonts w:cs="Arial"/>
                <w:color w:val="000000" w:themeColor="text1"/>
                <w:sz w:val="20"/>
                <w:szCs w:val="20"/>
              </w:rPr>
              <w:t>Victoria.</w:t>
            </w:r>
            <w:r w:rsidRPr="00891695">
              <w:rPr>
                <w:rFonts w:cs="Arial"/>
                <w:color w:val="000000" w:themeColor="text1"/>
                <w:sz w:val="20"/>
                <w:szCs w:val="20"/>
              </w:rPr>
              <w:t xml:space="preserve"> </w:t>
            </w:r>
            <w:r w:rsidR="000C10D1" w:rsidRPr="00891695">
              <w:rPr>
                <w:rFonts w:cs="Arial"/>
                <w:color w:val="000000" w:themeColor="text1"/>
                <w:sz w:val="20"/>
                <w:szCs w:val="20"/>
              </w:rPr>
              <w:t>M</w:t>
            </w:r>
            <w:r w:rsidRPr="00891695">
              <w:rPr>
                <w:rFonts w:cs="Arial"/>
                <w:color w:val="000000" w:themeColor="text1"/>
                <w:sz w:val="20"/>
                <w:szCs w:val="20"/>
              </w:rPr>
              <w:t xml:space="preserve">anagement arrangements </w:t>
            </w:r>
            <w:r w:rsidR="000C10D1" w:rsidRPr="00891695">
              <w:rPr>
                <w:rFonts w:cs="Arial"/>
                <w:color w:val="000000" w:themeColor="text1"/>
                <w:sz w:val="20"/>
                <w:szCs w:val="20"/>
              </w:rPr>
              <w:t xml:space="preserve">are </w:t>
            </w:r>
            <w:r w:rsidRPr="00891695">
              <w:rPr>
                <w:rFonts w:cs="Arial"/>
                <w:color w:val="000000" w:themeColor="text1"/>
                <w:sz w:val="20"/>
                <w:szCs w:val="20"/>
              </w:rPr>
              <w:t>in place</w:t>
            </w:r>
            <w:r w:rsidR="00F62D66" w:rsidRPr="00891695">
              <w:rPr>
                <w:rFonts w:cs="Arial"/>
                <w:color w:val="000000" w:themeColor="text1"/>
                <w:sz w:val="20"/>
                <w:szCs w:val="20"/>
              </w:rPr>
              <w:t>,</w:t>
            </w:r>
            <w:r w:rsidRPr="00891695">
              <w:rPr>
                <w:rFonts w:cs="Arial"/>
                <w:color w:val="000000" w:themeColor="text1"/>
                <w:sz w:val="20"/>
                <w:szCs w:val="20"/>
              </w:rPr>
              <w:t xml:space="preserve"> including </w:t>
            </w:r>
            <w:r w:rsidR="000C0B83" w:rsidRPr="00891695">
              <w:rPr>
                <w:rFonts w:cs="Arial"/>
                <w:color w:val="000000" w:themeColor="text1"/>
                <w:sz w:val="20"/>
                <w:szCs w:val="20"/>
              </w:rPr>
              <w:t>annual harvest limits and</w:t>
            </w:r>
            <w:r w:rsidR="00F62D66" w:rsidRPr="00891695">
              <w:rPr>
                <w:rFonts w:cs="Arial"/>
                <w:color w:val="000000" w:themeColor="text1"/>
                <w:sz w:val="20"/>
                <w:szCs w:val="20"/>
              </w:rPr>
              <w:t xml:space="preserve"> spatial restrictions, to</w:t>
            </w:r>
            <w:r w:rsidRPr="00891695">
              <w:rPr>
                <w:rFonts w:cs="Arial"/>
                <w:color w:val="000000" w:themeColor="text1"/>
                <w:sz w:val="20"/>
                <w:szCs w:val="20"/>
              </w:rPr>
              <w:t xml:space="preserve"> </w:t>
            </w:r>
            <w:r w:rsidR="00EA711D" w:rsidRPr="00891695">
              <w:rPr>
                <w:rFonts w:cs="Arial"/>
                <w:color w:val="000000" w:themeColor="text1"/>
                <w:sz w:val="20"/>
                <w:szCs w:val="20"/>
              </w:rPr>
              <w:t>ensure that the low level of harvest continues to be ecologically sustainable</w:t>
            </w:r>
            <w:r w:rsidRPr="00891695">
              <w:rPr>
                <w:rFonts w:cs="Arial"/>
                <w:color w:val="000000" w:themeColor="text1"/>
                <w:sz w:val="20"/>
                <w:szCs w:val="20"/>
              </w:rPr>
              <w:t xml:space="preserve">. </w:t>
            </w:r>
          </w:p>
        </w:tc>
      </w:tr>
      <w:tr w:rsidR="00D40B13" w:rsidRPr="001F4207" w14:paraId="7AC271A7" w14:textId="77777777" w:rsidTr="00696B61">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92D050"/>
          </w:tcPr>
          <w:p w14:paraId="6C3860AC" w14:textId="77777777" w:rsidR="00111796" w:rsidRPr="001F4207" w:rsidRDefault="00111796" w:rsidP="00FC2EBF">
            <w:pPr>
              <w:pStyle w:val="ListNumber3"/>
              <w:spacing w:line="276" w:lineRule="auto"/>
            </w:pPr>
            <w:r w:rsidRPr="001F4207">
              <w:t>(iii)</w:t>
            </w:r>
            <w:r w:rsidRPr="001F4207">
              <w:tab/>
              <w:t>any relevant ecosystem (for example, detriment to habitat or biodiversity); and</w:t>
            </w:r>
          </w:p>
          <w:p w14:paraId="1D292992" w14:textId="7C2DCE45" w:rsidR="00807BB8" w:rsidRPr="001F4207" w:rsidRDefault="00807BB8" w:rsidP="00FC2EBF">
            <w:pPr>
              <w:pStyle w:val="ListNumber3"/>
              <w:spacing w:line="276" w:lineRule="auto"/>
            </w:pPr>
          </w:p>
        </w:tc>
        <w:tc>
          <w:tcPr>
            <w:tcW w:w="2500" w:type="pct"/>
          </w:tcPr>
          <w:p w14:paraId="39FB09A9" w14:textId="77777777" w:rsidR="009159BE" w:rsidRDefault="00690743" w:rsidP="00690743">
            <w:pPr>
              <w:spacing w:before="60" w:after="60" w:line="276" w:lineRule="auto"/>
              <w:contextualSpacing/>
              <w:rPr>
                <w:rFonts w:cs="Arial"/>
                <w:b/>
                <w:bCs/>
                <w:color w:val="000000" w:themeColor="text1"/>
                <w:sz w:val="20"/>
                <w:szCs w:val="20"/>
              </w:rPr>
            </w:pPr>
            <w:r w:rsidRPr="00690743">
              <w:rPr>
                <w:rFonts w:cs="Arial"/>
                <w:b/>
                <w:bCs/>
                <w:color w:val="000000" w:themeColor="text1"/>
                <w:sz w:val="20"/>
                <w:szCs w:val="20"/>
              </w:rPr>
              <w:t>Meets</w:t>
            </w:r>
          </w:p>
          <w:p w14:paraId="333192A7" w14:textId="16C17356" w:rsidR="00056E19" w:rsidRPr="009159BE" w:rsidRDefault="00D40B13" w:rsidP="00690743">
            <w:pPr>
              <w:spacing w:before="60" w:after="60" w:line="276" w:lineRule="auto"/>
              <w:contextualSpacing/>
              <w:rPr>
                <w:rFonts w:cs="Arial"/>
                <w:b/>
                <w:bCs/>
                <w:color w:val="000000" w:themeColor="text1"/>
                <w:sz w:val="20"/>
                <w:szCs w:val="20"/>
              </w:rPr>
            </w:pPr>
            <w:r w:rsidRPr="00690743">
              <w:rPr>
                <w:rFonts w:cs="Arial"/>
                <w:color w:val="000000" w:themeColor="text1"/>
                <w:sz w:val="20"/>
                <w:szCs w:val="20"/>
              </w:rPr>
              <w:t xml:space="preserve">Recognising the </w:t>
            </w:r>
            <w:r w:rsidR="00245D86" w:rsidRPr="00690743">
              <w:rPr>
                <w:rFonts w:cs="Arial"/>
                <w:color w:val="000000" w:themeColor="text1"/>
                <w:sz w:val="20"/>
                <w:szCs w:val="20"/>
              </w:rPr>
              <w:t>sma</w:t>
            </w:r>
            <w:r w:rsidR="007A296B" w:rsidRPr="00690743">
              <w:rPr>
                <w:rFonts w:cs="Arial"/>
                <w:color w:val="000000" w:themeColor="text1"/>
                <w:sz w:val="20"/>
                <w:szCs w:val="20"/>
              </w:rPr>
              <w:t xml:space="preserve">ll scale </w:t>
            </w:r>
            <w:r w:rsidR="0031616B" w:rsidRPr="00690743">
              <w:rPr>
                <w:rFonts w:cs="Arial"/>
                <w:color w:val="000000" w:themeColor="text1"/>
                <w:sz w:val="20"/>
                <w:szCs w:val="20"/>
              </w:rPr>
              <w:t>(a</w:t>
            </w:r>
            <w:r w:rsidR="002F5808" w:rsidRPr="00690743">
              <w:rPr>
                <w:rFonts w:cs="Arial"/>
                <w:color w:val="000000" w:themeColor="text1"/>
                <w:sz w:val="20"/>
                <w:szCs w:val="20"/>
              </w:rPr>
              <w:t>n annual</w:t>
            </w:r>
            <w:r w:rsidR="0031616B" w:rsidRPr="00690743">
              <w:rPr>
                <w:rFonts w:cs="Arial"/>
                <w:color w:val="000000" w:themeColor="text1"/>
                <w:sz w:val="20"/>
                <w:szCs w:val="20"/>
              </w:rPr>
              <w:t xml:space="preserve"> maximum of 4 specimens</w:t>
            </w:r>
            <w:r w:rsidR="002F5808" w:rsidRPr="00690743">
              <w:rPr>
                <w:rFonts w:cs="Arial"/>
                <w:color w:val="000000" w:themeColor="text1"/>
                <w:sz w:val="20"/>
                <w:szCs w:val="20"/>
              </w:rPr>
              <w:t xml:space="preserve"> of each species) </w:t>
            </w:r>
            <w:r w:rsidR="007A296B" w:rsidRPr="00690743">
              <w:rPr>
                <w:rFonts w:cs="Arial"/>
                <w:color w:val="000000" w:themeColor="text1"/>
                <w:sz w:val="20"/>
                <w:szCs w:val="20"/>
              </w:rPr>
              <w:t xml:space="preserve">and </w:t>
            </w:r>
            <w:r w:rsidRPr="00690743">
              <w:rPr>
                <w:rFonts w:cs="Arial"/>
                <w:color w:val="000000" w:themeColor="text1"/>
                <w:sz w:val="20"/>
                <w:szCs w:val="20"/>
              </w:rPr>
              <w:t xml:space="preserve">nature of </w:t>
            </w:r>
            <w:r w:rsidR="003F2BBA">
              <w:rPr>
                <w:rFonts w:cs="Arial"/>
                <w:color w:val="000000" w:themeColor="text1"/>
                <w:sz w:val="20"/>
                <w:szCs w:val="20"/>
              </w:rPr>
              <w:t xml:space="preserve">the </w:t>
            </w:r>
            <w:r w:rsidRPr="00690743">
              <w:rPr>
                <w:rFonts w:cs="Arial"/>
                <w:color w:val="000000" w:themeColor="text1"/>
                <w:sz w:val="20"/>
                <w:szCs w:val="20"/>
              </w:rPr>
              <w:t>harvest</w:t>
            </w:r>
            <w:r w:rsidR="00891695" w:rsidRPr="00690743">
              <w:rPr>
                <w:rFonts w:cs="Arial"/>
                <w:color w:val="000000" w:themeColor="text1"/>
                <w:sz w:val="20"/>
                <w:szCs w:val="20"/>
              </w:rPr>
              <w:t xml:space="preserve"> </w:t>
            </w:r>
            <w:r w:rsidR="0031616B" w:rsidRPr="00690743">
              <w:rPr>
                <w:rFonts w:cs="Arial"/>
                <w:color w:val="000000" w:themeColor="text1"/>
                <w:sz w:val="20"/>
                <w:szCs w:val="20"/>
              </w:rPr>
              <w:t>(</w:t>
            </w:r>
            <w:r w:rsidR="00891695" w:rsidRPr="00690743">
              <w:rPr>
                <w:rFonts w:cs="Arial"/>
                <w:color w:val="000000" w:themeColor="text1"/>
                <w:sz w:val="20"/>
                <w:szCs w:val="20"/>
              </w:rPr>
              <w:t>hand collection),</w:t>
            </w:r>
            <w:r w:rsidRPr="00690743">
              <w:rPr>
                <w:rFonts w:cs="Arial"/>
                <w:color w:val="000000" w:themeColor="text1"/>
                <w:sz w:val="20"/>
                <w:szCs w:val="20"/>
              </w:rPr>
              <w:t xml:space="preserve"> the potential for </w:t>
            </w:r>
            <w:r w:rsidR="001B5AA8" w:rsidRPr="00690743">
              <w:rPr>
                <w:rFonts w:cs="Arial"/>
                <w:color w:val="000000" w:themeColor="text1"/>
                <w:sz w:val="20"/>
                <w:szCs w:val="20"/>
              </w:rPr>
              <w:t xml:space="preserve">the </w:t>
            </w:r>
            <w:r w:rsidR="002F5808" w:rsidRPr="00690743">
              <w:rPr>
                <w:rFonts w:cs="Arial"/>
                <w:color w:val="000000" w:themeColor="text1"/>
                <w:sz w:val="20"/>
                <w:szCs w:val="20"/>
              </w:rPr>
              <w:t>operation</w:t>
            </w:r>
            <w:r w:rsidRPr="00690743">
              <w:rPr>
                <w:rFonts w:cs="Arial"/>
                <w:color w:val="000000" w:themeColor="text1"/>
                <w:sz w:val="20"/>
                <w:szCs w:val="20"/>
              </w:rPr>
              <w:t xml:space="preserve"> to impact unacceptably and unsustainably on any relevant ecosystem generally is considered low. The </w:t>
            </w:r>
            <w:r w:rsidR="00BE0B86">
              <w:rPr>
                <w:rFonts w:cs="Arial"/>
                <w:color w:val="000000" w:themeColor="text1"/>
                <w:sz w:val="20"/>
                <w:szCs w:val="20"/>
              </w:rPr>
              <w:t>d</w:t>
            </w:r>
            <w:r w:rsidRPr="00690743">
              <w:rPr>
                <w:rFonts w:cs="Arial"/>
                <w:color w:val="000000" w:themeColor="text1"/>
                <w:sz w:val="20"/>
                <w:szCs w:val="20"/>
              </w:rPr>
              <w:t xml:space="preserve">epartment is satisfied that </w:t>
            </w:r>
            <w:r w:rsidR="002F5808" w:rsidRPr="00690743">
              <w:rPr>
                <w:rFonts w:cs="Arial"/>
                <w:color w:val="000000" w:themeColor="text1"/>
                <w:sz w:val="20"/>
                <w:szCs w:val="20"/>
              </w:rPr>
              <w:t>the operation</w:t>
            </w:r>
            <w:r w:rsidRPr="00690743">
              <w:rPr>
                <w:rFonts w:cs="Arial"/>
                <w:color w:val="000000" w:themeColor="text1"/>
                <w:sz w:val="20"/>
                <w:szCs w:val="20"/>
              </w:rPr>
              <w:t xml:space="preserve"> is conducted in a manner that minimises the impact of fishing operations on the ecosystem generally.</w:t>
            </w:r>
          </w:p>
          <w:p w14:paraId="4F2C8A4C" w14:textId="2BF6B95B" w:rsidR="00690743" w:rsidRPr="00690743" w:rsidRDefault="00690743" w:rsidP="00690743">
            <w:pPr>
              <w:spacing w:before="60" w:after="60" w:line="276" w:lineRule="auto"/>
              <w:contextualSpacing/>
              <w:rPr>
                <w:rFonts w:cs="Arial"/>
                <w:sz w:val="20"/>
                <w:szCs w:val="20"/>
              </w:rPr>
            </w:pPr>
          </w:p>
        </w:tc>
      </w:tr>
      <w:tr w:rsidR="00400844" w:rsidRPr="001F4207" w14:paraId="5EC1D884" w14:textId="77777777" w:rsidTr="00CC77AB">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D9D9D9" w:themeFill="background1" w:themeFillShade="D9"/>
            <w:vAlign w:val="center"/>
          </w:tcPr>
          <w:p w14:paraId="6B284D35" w14:textId="198A92B6" w:rsidR="00400844" w:rsidRPr="001F4207" w:rsidRDefault="00400844" w:rsidP="00FC2EBF">
            <w:pPr>
              <w:spacing w:before="60" w:after="60" w:line="276" w:lineRule="auto"/>
              <w:ind w:left="426" w:hanging="426"/>
              <w:contextualSpacing/>
              <w:jc w:val="center"/>
              <w:rPr>
                <w:rFonts w:cs="Arial"/>
                <w:b/>
                <w:sz w:val="20"/>
                <w:szCs w:val="20"/>
              </w:rPr>
            </w:pPr>
            <w:r w:rsidRPr="001F4207">
              <w:rPr>
                <w:rFonts w:cs="Arial"/>
                <w:b/>
                <w:sz w:val="20"/>
                <w:szCs w:val="20"/>
              </w:rPr>
              <w:t>Section 303DC Minister may amend list (non CITES species)</w:t>
            </w:r>
          </w:p>
        </w:tc>
        <w:tc>
          <w:tcPr>
            <w:tcW w:w="2500" w:type="pct"/>
            <w:shd w:val="clear" w:color="auto" w:fill="D9D9D9" w:themeFill="background1" w:themeFillShade="D9"/>
            <w:vAlign w:val="center"/>
          </w:tcPr>
          <w:p w14:paraId="0426C78B" w14:textId="352AD0C9" w:rsidR="00400844" w:rsidRPr="001F4207" w:rsidRDefault="00400844" w:rsidP="00FC2EBF">
            <w:pPr>
              <w:spacing w:before="60" w:after="60" w:line="276" w:lineRule="auto"/>
              <w:contextualSpacing/>
              <w:jc w:val="center"/>
              <w:rPr>
                <w:rFonts w:cs="Arial"/>
                <w:b/>
                <w:sz w:val="20"/>
                <w:szCs w:val="20"/>
              </w:rPr>
            </w:pPr>
            <w:r w:rsidRPr="001F4207">
              <w:rPr>
                <w:rFonts w:cs="Arial"/>
                <w:b/>
                <w:sz w:val="20"/>
                <w:szCs w:val="20"/>
              </w:rPr>
              <w:t>Comment</w:t>
            </w:r>
          </w:p>
        </w:tc>
      </w:tr>
      <w:tr w:rsidR="00D40B13" w:rsidRPr="001F4207" w14:paraId="2F4AE07E" w14:textId="77777777" w:rsidTr="00CC77AB">
        <w:trPr>
          <w:cnfStyle w:val="000000100000" w:firstRow="0" w:lastRow="0" w:firstColumn="0" w:lastColumn="0" w:oddVBand="0" w:evenVBand="0" w:oddHBand="1" w:evenHBand="0" w:firstRowFirstColumn="0" w:firstRowLastColumn="0" w:lastRowFirstColumn="0" w:lastRowLastColumn="0"/>
        </w:trPr>
        <w:tc>
          <w:tcPr>
            <w:tcW w:w="2500" w:type="pct"/>
          </w:tcPr>
          <w:p w14:paraId="358C20E3" w14:textId="0F5EE9C0" w:rsidR="00D40B13" w:rsidRPr="001F4207" w:rsidRDefault="00D40B13" w:rsidP="00FC2EBF">
            <w:pPr>
              <w:pStyle w:val="ListNumber"/>
            </w:pPr>
            <w:r w:rsidRPr="001F4207">
              <w:t>(1)</w:t>
            </w:r>
            <w:r w:rsidR="00A961C6" w:rsidRPr="001F4207">
              <w:tab/>
            </w:r>
            <w:r w:rsidRPr="001F4207">
              <w:tab/>
              <w:t>The Minister may, by legislative instrument, amend the list referred to in section 303DB [list of exempt native specimens] by:</w:t>
            </w:r>
          </w:p>
          <w:p w14:paraId="5BD6692C" w14:textId="77777777" w:rsidR="00D40B13" w:rsidRPr="001F4207" w:rsidRDefault="00D40B13" w:rsidP="00FC2EBF">
            <w:pPr>
              <w:pStyle w:val="ListNumber2"/>
            </w:pPr>
            <w:r w:rsidRPr="001F4207">
              <w:t>(a)</w:t>
            </w:r>
            <w:r w:rsidRPr="001F4207">
              <w:tab/>
              <w:t>doing any of the following:</w:t>
            </w:r>
          </w:p>
          <w:p w14:paraId="37F3AF82" w14:textId="77777777" w:rsidR="00807BB8" w:rsidRPr="001F4207" w:rsidRDefault="00807BB8" w:rsidP="00FC2EBF">
            <w:pPr>
              <w:pStyle w:val="ListNumber3"/>
              <w:spacing w:line="276" w:lineRule="auto"/>
            </w:pPr>
            <w:r w:rsidRPr="001F4207">
              <w:t>(i)</w:t>
            </w:r>
            <w:r w:rsidRPr="001F4207">
              <w:tab/>
              <w:t>including items in the list;</w:t>
            </w:r>
          </w:p>
          <w:p w14:paraId="076142CE" w14:textId="77777777" w:rsidR="00807BB8" w:rsidRPr="001F4207" w:rsidRDefault="00807BB8" w:rsidP="00FC2EBF">
            <w:pPr>
              <w:pStyle w:val="ListNumber3"/>
              <w:spacing w:line="276" w:lineRule="auto"/>
            </w:pPr>
            <w:r w:rsidRPr="001F4207">
              <w:t>(ii)</w:t>
            </w:r>
            <w:r w:rsidRPr="001F4207">
              <w:tab/>
              <w:t>deleting items from the list;</w:t>
            </w:r>
          </w:p>
          <w:p w14:paraId="718D1923" w14:textId="77777777" w:rsidR="00807BB8" w:rsidRPr="001F4207" w:rsidRDefault="00807BB8" w:rsidP="00FC2EBF">
            <w:pPr>
              <w:pStyle w:val="ListNumber3"/>
              <w:spacing w:line="276" w:lineRule="auto"/>
            </w:pPr>
            <w:r w:rsidRPr="001F4207">
              <w:t>(iii)</w:t>
            </w:r>
            <w:r w:rsidRPr="001F4207">
              <w:tab/>
              <w:t>imposing a condition or restriction to which the inclusion of a specimen in the list is subject;</w:t>
            </w:r>
          </w:p>
          <w:p w14:paraId="0B90D3C4" w14:textId="77777777" w:rsidR="00807BB8" w:rsidRPr="001F4207" w:rsidRDefault="00807BB8" w:rsidP="00FC2EBF">
            <w:pPr>
              <w:pStyle w:val="ListNumber3"/>
              <w:spacing w:line="276" w:lineRule="auto"/>
            </w:pPr>
            <w:r w:rsidRPr="001F4207">
              <w:t>(iv)</w:t>
            </w:r>
            <w:r w:rsidRPr="001F4207">
              <w:tab/>
              <w:t>varying or revoking a condition or restriction to which the inclusion of a specimen in the list is subject; or</w:t>
            </w:r>
          </w:p>
          <w:p w14:paraId="3928EB02" w14:textId="04728374" w:rsidR="00807BB8" w:rsidRPr="001F4207" w:rsidRDefault="00807BB8" w:rsidP="00FC2EBF">
            <w:pPr>
              <w:pStyle w:val="ListNumber2"/>
            </w:pPr>
            <w:r w:rsidRPr="001F4207">
              <w:t>(b)</w:t>
            </w:r>
            <w:r w:rsidRPr="001F4207">
              <w:tab/>
              <w:t>correcting an inaccuracy or updating the name of a species.</w:t>
            </w:r>
          </w:p>
          <w:p w14:paraId="4E0E7799" w14:textId="32BBB077" w:rsidR="00807BB8" w:rsidRPr="001F4207" w:rsidRDefault="00807BB8" w:rsidP="00FC2EBF">
            <w:pPr>
              <w:pStyle w:val="ListNumber2"/>
            </w:pPr>
          </w:p>
        </w:tc>
        <w:tc>
          <w:tcPr>
            <w:tcW w:w="2500" w:type="pct"/>
            <w:shd w:val="clear" w:color="auto" w:fill="auto"/>
          </w:tcPr>
          <w:p w14:paraId="784B8942" w14:textId="7BE32887" w:rsidR="005C0537" w:rsidRPr="009159BE" w:rsidRDefault="00304367" w:rsidP="00FC2EBF">
            <w:pPr>
              <w:pStyle w:val="Default"/>
              <w:spacing w:before="60" w:after="60" w:line="276" w:lineRule="auto"/>
              <w:contextualSpacing/>
              <w:rPr>
                <w:rFonts w:ascii="Arial" w:hAnsi="Arial" w:cs="Arial"/>
                <w:b/>
                <w:bCs/>
                <w:sz w:val="20"/>
                <w:szCs w:val="20"/>
              </w:rPr>
            </w:pPr>
            <w:r w:rsidRPr="009159BE">
              <w:rPr>
                <w:rFonts w:ascii="Arial" w:hAnsi="Arial" w:cs="Arial"/>
                <w:b/>
                <w:bCs/>
                <w:sz w:val="20"/>
                <w:szCs w:val="20"/>
              </w:rPr>
              <w:t>Not applicable</w:t>
            </w:r>
          </w:p>
          <w:p w14:paraId="5496C32B" w14:textId="36CA39D7" w:rsidR="00304367" w:rsidRDefault="00304367" w:rsidP="00FC2EBF">
            <w:pPr>
              <w:pStyle w:val="Default"/>
              <w:spacing w:before="60" w:after="60" w:line="276" w:lineRule="auto"/>
              <w:contextualSpacing/>
              <w:rPr>
                <w:rFonts w:ascii="Arial" w:hAnsi="Arial" w:cs="Arial"/>
                <w:sz w:val="20"/>
                <w:szCs w:val="20"/>
              </w:rPr>
            </w:pPr>
          </w:p>
          <w:p w14:paraId="0719B231" w14:textId="2197105F" w:rsidR="00304367" w:rsidRDefault="003E3BFD" w:rsidP="00FC2EBF">
            <w:pPr>
              <w:pStyle w:val="Default"/>
              <w:spacing w:before="60" w:after="60" w:line="276" w:lineRule="auto"/>
              <w:contextualSpacing/>
              <w:rPr>
                <w:rFonts w:ascii="Arial" w:hAnsi="Arial" w:cs="Arial"/>
                <w:sz w:val="20"/>
                <w:szCs w:val="20"/>
              </w:rPr>
            </w:pPr>
            <w:r>
              <w:rPr>
                <w:rFonts w:ascii="Arial" w:hAnsi="Arial" w:cs="Arial"/>
                <w:sz w:val="20"/>
                <w:szCs w:val="20"/>
              </w:rPr>
              <w:t>The PQ Aquatics Syngnathids Wildlife Trade Operation</w:t>
            </w:r>
            <w:r w:rsidR="009159BE">
              <w:rPr>
                <w:rFonts w:ascii="Arial" w:hAnsi="Arial" w:cs="Arial"/>
                <w:sz w:val="20"/>
                <w:szCs w:val="20"/>
              </w:rPr>
              <w:t xml:space="preserve"> </w:t>
            </w:r>
            <w:r w:rsidR="00BA174D">
              <w:rPr>
                <w:rFonts w:ascii="Arial" w:hAnsi="Arial" w:cs="Arial"/>
                <w:sz w:val="20"/>
                <w:szCs w:val="20"/>
              </w:rPr>
              <w:t xml:space="preserve">is not eligible for listing on the List of Exempt Native Specimens (LENS), </w:t>
            </w:r>
            <w:r w:rsidR="00360FC4">
              <w:rPr>
                <w:rFonts w:ascii="Arial" w:hAnsi="Arial" w:cs="Arial"/>
                <w:sz w:val="20"/>
                <w:szCs w:val="20"/>
              </w:rPr>
              <w:t xml:space="preserve">given that </w:t>
            </w:r>
            <w:r w:rsidR="008C2606">
              <w:rPr>
                <w:rFonts w:ascii="Arial" w:hAnsi="Arial" w:cs="Arial"/>
                <w:sz w:val="20"/>
                <w:szCs w:val="20"/>
              </w:rPr>
              <w:t xml:space="preserve">both </w:t>
            </w:r>
            <w:r w:rsidR="00360FC4">
              <w:rPr>
                <w:rFonts w:ascii="Arial" w:hAnsi="Arial" w:cs="Arial"/>
                <w:sz w:val="20"/>
                <w:szCs w:val="20"/>
              </w:rPr>
              <w:t>CITES</w:t>
            </w:r>
            <w:r w:rsidR="00BE0B86">
              <w:rPr>
                <w:rFonts w:ascii="Arial" w:hAnsi="Arial" w:cs="Arial"/>
                <w:sz w:val="20"/>
                <w:szCs w:val="20"/>
              </w:rPr>
              <w:t>-</w:t>
            </w:r>
            <w:r w:rsidR="00141E9B">
              <w:rPr>
                <w:rFonts w:ascii="Arial" w:hAnsi="Arial" w:cs="Arial"/>
                <w:sz w:val="20"/>
                <w:szCs w:val="20"/>
              </w:rPr>
              <w:t xml:space="preserve"> and EPBC Act</w:t>
            </w:r>
            <w:r w:rsidR="00BE0B86">
              <w:rPr>
                <w:rFonts w:ascii="Arial" w:hAnsi="Arial" w:cs="Arial"/>
                <w:sz w:val="20"/>
                <w:szCs w:val="20"/>
              </w:rPr>
              <w:t>–</w:t>
            </w:r>
            <w:r w:rsidR="00141E9B">
              <w:rPr>
                <w:rFonts w:ascii="Arial" w:hAnsi="Arial" w:cs="Arial"/>
                <w:sz w:val="20"/>
                <w:szCs w:val="20"/>
              </w:rPr>
              <w:t>listed species (</w:t>
            </w:r>
            <w:r w:rsidR="00141E9B" w:rsidRPr="001653A1">
              <w:rPr>
                <w:rFonts w:ascii="Arial" w:hAnsi="Arial" w:cs="Arial"/>
                <w:i/>
                <w:iCs/>
                <w:sz w:val="20"/>
                <w:szCs w:val="20"/>
              </w:rPr>
              <w:t>H</w:t>
            </w:r>
            <w:r w:rsidR="001653A1" w:rsidRPr="001653A1">
              <w:rPr>
                <w:rFonts w:ascii="Arial" w:hAnsi="Arial" w:cs="Arial"/>
                <w:i/>
                <w:iCs/>
                <w:sz w:val="20"/>
                <w:szCs w:val="20"/>
              </w:rPr>
              <w:t>ippocampus abdominalis</w:t>
            </w:r>
            <w:r w:rsidR="001653A1">
              <w:rPr>
                <w:rFonts w:ascii="Arial" w:hAnsi="Arial" w:cs="Arial"/>
                <w:sz w:val="20"/>
                <w:szCs w:val="20"/>
              </w:rPr>
              <w:t xml:space="preserve"> and </w:t>
            </w:r>
            <w:r w:rsidR="001653A1" w:rsidRPr="001653A1">
              <w:rPr>
                <w:rFonts w:ascii="Arial" w:hAnsi="Arial" w:cs="Arial"/>
                <w:i/>
                <w:iCs/>
                <w:sz w:val="20"/>
                <w:szCs w:val="20"/>
              </w:rPr>
              <w:t>H. breviceps</w:t>
            </w:r>
            <w:r w:rsidR="001653A1">
              <w:rPr>
                <w:rFonts w:ascii="Arial" w:hAnsi="Arial" w:cs="Arial"/>
                <w:sz w:val="20"/>
                <w:szCs w:val="20"/>
              </w:rPr>
              <w:t xml:space="preserve">) </w:t>
            </w:r>
            <w:r w:rsidR="00141E9B">
              <w:rPr>
                <w:rFonts w:ascii="Arial" w:hAnsi="Arial" w:cs="Arial"/>
                <w:sz w:val="20"/>
                <w:szCs w:val="20"/>
              </w:rPr>
              <w:t>are being harvested.</w:t>
            </w:r>
          </w:p>
          <w:p w14:paraId="093E1F7E" w14:textId="1069D133" w:rsidR="00060995" w:rsidRPr="001F4207" w:rsidRDefault="00060995" w:rsidP="008C2606">
            <w:pPr>
              <w:pStyle w:val="Default"/>
              <w:spacing w:before="60" w:after="60" w:line="276" w:lineRule="auto"/>
              <w:contextualSpacing/>
              <w:rPr>
                <w:rFonts w:ascii="Arial" w:hAnsi="Arial" w:cs="Arial"/>
                <w:sz w:val="20"/>
                <w:szCs w:val="20"/>
              </w:rPr>
            </w:pPr>
          </w:p>
        </w:tc>
      </w:tr>
      <w:tr w:rsidR="00D40B13" w:rsidRPr="001F4207" w14:paraId="5A8D2589" w14:textId="77777777" w:rsidTr="00CC77AB">
        <w:trPr>
          <w:cnfStyle w:val="000000010000" w:firstRow="0" w:lastRow="0" w:firstColumn="0" w:lastColumn="0" w:oddVBand="0" w:evenVBand="0" w:oddHBand="0" w:evenHBand="1" w:firstRowFirstColumn="0" w:firstRowLastColumn="0" w:lastRowFirstColumn="0" w:lastRowLastColumn="0"/>
        </w:trPr>
        <w:tc>
          <w:tcPr>
            <w:tcW w:w="2500" w:type="pct"/>
          </w:tcPr>
          <w:p w14:paraId="0CDFB265" w14:textId="72DD1CDC" w:rsidR="00807BB8" w:rsidRPr="001F4207" w:rsidRDefault="00D40B13" w:rsidP="00FC2EBF">
            <w:pPr>
              <w:pStyle w:val="ListNumber"/>
            </w:pPr>
            <w:r w:rsidRPr="001F4207">
              <w:t>(1A)</w:t>
            </w:r>
            <w:r w:rsidR="00A961C6" w:rsidRPr="001F4207">
              <w:tab/>
            </w:r>
            <w:r w:rsidRPr="001F4207">
              <w:t xml:space="preserve">In deciding to amend the LENS, the Minister must rely primarily on outcomes </w:t>
            </w:r>
            <w:r w:rsidR="008E3115" w:rsidRPr="001F4207">
              <w:t xml:space="preserve">an assessment under </w:t>
            </w:r>
            <w:r w:rsidRPr="001F4207">
              <w:t>Part 10, Div</w:t>
            </w:r>
            <w:r w:rsidR="008E3115" w:rsidRPr="001F4207">
              <w:t>isions</w:t>
            </w:r>
            <w:r w:rsidRPr="001F4207">
              <w:t xml:space="preserve"> 1 or 2 </w:t>
            </w:r>
          </w:p>
          <w:p w14:paraId="669312B2" w14:textId="7CCB8509" w:rsidR="00227603" w:rsidRPr="001F4207" w:rsidRDefault="00227603" w:rsidP="00FC2EBF">
            <w:pPr>
              <w:pStyle w:val="ListNumber"/>
            </w:pPr>
          </w:p>
        </w:tc>
        <w:tc>
          <w:tcPr>
            <w:tcW w:w="2500" w:type="pct"/>
            <w:shd w:val="clear" w:color="auto" w:fill="auto"/>
          </w:tcPr>
          <w:p w14:paraId="61AEC85A" w14:textId="77777777" w:rsidR="005F0371" w:rsidRPr="0064081F" w:rsidRDefault="00FB656E" w:rsidP="00FC2EBF">
            <w:pPr>
              <w:spacing w:before="60" w:after="60" w:line="276" w:lineRule="auto"/>
              <w:contextualSpacing/>
              <w:rPr>
                <w:rFonts w:cs="Arial"/>
                <w:b/>
                <w:sz w:val="20"/>
                <w:szCs w:val="20"/>
              </w:rPr>
            </w:pPr>
            <w:r w:rsidRPr="0064081F">
              <w:rPr>
                <w:rFonts w:cs="Arial"/>
                <w:b/>
                <w:sz w:val="20"/>
                <w:szCs w:val="20"/>
              </w:rPr>
              <w:t xml:space="preserve">Not applicable </w:t>
            </w:r>
          </w:p>
          <w:p w14:paraId="290915FD" w14:textId="7F70D1E0" w:rsidR="00FB656E" w:rsidRDefault="00236F59" w:rsidP="00FC2EBF">
            <w:pPr>
              <w:spacing w:before="60" w:after="60" w:line="276" w:lineRule="auto"/>
              <w:contextualSpacing/>
              <w:rPr>
                <w:rFonts w:cs="Arial"/>
                <w:sz w:val="20"/>
                <w:szCs w:val="20"/>
              </w:rPr>
            </w:pPr>
            <w:r>
              <w:rPr>
                <w:rFonts w:cs="Arial"/>
                <w:sz w:val="20"/>
                <w:szCs w:val="20"/>
              </w:rPr>
              <w:t>The area</w:t>
            </w:r>
            <w:r w:rsidR="00A04291">
              <w:rPr>
                <w:rFonts w:cs="Arial"/>
                <w:sz w:val="20"/>
                <w:szCs w:val="20"/>
              </w:rPr>
              <w:t>s</w:t>
            </w:r>
            <w:r>
              <w:rPr>
                <w:rFonts w:cs="Arial"/>
                <w:sz w:val="20"/>
                <w:szCs w:val="20"/>
              </w:rPr>
              <w:t xml:space="preserve"> in which PQ Aquatics operates, Port</w:t>
            </w:r>
            <w:r w:rsidR="00457DD7">
              <w:rPr>
                <w:rFonts w:cs="Arial"/>
                <w:sz w:val="20"/>
                <w:szCs w:val="20"/>
              </w:rPr>
              <w:t xml:space="preserve"> Phillip Bay and Western Port Bay in Victoria, are not</w:t>
            </w:r>
            <w:r w:rsidR="00FB656E" w:rsidRPr="001F4207">
              <w:rPr>
                <w:rFonts w:cs="Arial"/>
                <w:sz w:val="20"/>
                <w:szCs w:val="20"/>
              </w:rPr>
              <w:t xml:space="preserve"> managed by the Commonwealth.</w:t>
            </w:r>
          </w:p>
          <w:p w14:paraId="631FEB27" w14:textId="26DB5BFE" w:rsidR="00E57AB7" w:rsidRPr="001F4207" w:rsidRDefault="00D40B13" w:rsidP="0064081F">
            <w:pPr>
              <w:spacing w:before="60" w:after="60" w:line="276" w:lineRule="auto"/>
              <w:contextualSpacing/>
              <w:rPr>
                <w:rFonts w:cs="Arial"/>
                <w:sz w:val="20"/>
                <w:szCs w:val="20"/>
              </w:rPr>
            </w:pPr>
            <w:r w:rsidRPr="001F4207">
              <w:rPr>
                <w:rFonts w:cs="Arial"/>
                <w:sz w:val="20"/>
                <w:szCs w:val="20"/>
              </w:rPr>
              <w:t xml:space="preserve"> </w:t>
            </w:r>
          </w:p>
        </w:tc>
      </w:tr>
      <w:tr w:rsidR="00D40B13" w:rsidRPr="001F4207" w14:paraId="38C0624F" w14:textId="77777777" w:rsidTr="00CC77AB">
        <w:trPr>
          <w:cnfStyle w:val="000000100000" w:firstRow="0" w:lastRow="0" w:firstColumn="0" w:lastColumn="0" w:oddVBand="0" w:evenVBand="0" w:oddHBand="1" w:evenHBand="0" w:firstRowFirstColumn="0" w:firstRowLastColumn="0" w:lastRowFirstColumn="0" w:lastRowLastColumn="0"/>
        </w:trPr>
        <w:tc>
          <w:tcPr>
            <w:tcW w:w="2500" w:type="pct"/>
          </w:tcPr>
          <w:p w14:paraId="3D0126F3" w14:textId="4DEA95BE" w:rsidR="00807BB8" w:rsidRPr="001F4207" w:rsidRDefault="00D40B13" w:rsidP="00FC2EBF">
            <w:pPr>
              <w:pStyle w:val="ListNumber"/>
            </w:pPr>
            <w:r w:rsidRPr="001F4207">
              <w:t>(1C)</w:t>
            </w:r>
            <w:r w:rsidR="00A961C6" w:rsidRPr="001F4207">
              <w:tab/>
            </w:r>
            <w:r w:rsidRPr="001F4207">
              <w:t>The above does not limit matters that may be considered when deciding to amend LENS.</w:t>
            </w:r>
          </w:p>
          <w:p w14:paraId="73E5E7F6" w14:textId="7040175C" w:rsidR="00227603" w:rsidRPr="001F4207" w:rsidRDefault="00227603" w:rsidP="00FC2EBF">
            <w:pPr>
              <w:pStyle w:val="ListNumber"/>
            </w:pPr>
          </w:p>
        </w:tc>
        <w:tc>
          <w:tcPr>
            <w:tcW w:w="2500" w:type="pct"/>
            <w:shd w:val="clear" w:color="auto" w:fill="auto"/>
          </w:tcPr>
          <w:p w14:paraId="08395378" w14:textId="356B7546" w:rsidR="008A28AD" w:rsidRDefault="002F564A" w:rsidP="00FC2EBF">
            <w:pPr>
              <w:spacing w:before="60" w:after="60" w:line="276" w:lineRule="auto"/>
              <w:contextualSpacing/>
              <w:rPr>
                <w:rFonts w:cs="Arial"/>
                <w:b/>
                <w:sz w:val="20"/>
                <w:szCs w:val="20"/>
              </w:rPr>
            </w:pPr>
            <w:r w:rsidRPr="007A6798">
              <w:rPr>
                <w:rFonts w:cs="Arial"/>
                <w:b/>
                <w:sz w:val="20"/>
                <w:szCs w:val="20"/>
              </w:rPr>
              <w:t>Not applicable</w:t>
            </w:r>
            <w:r w:rsidRPr="001F4207">
              <w:rPr>
                <w:rFonts w:cs="Arial"/>
                <w:b/>
                <w:sz w:val="20"/>
                <w:szCs w:val="20"/>
              </w:rPr>
              <w:t xml:space="preserve"> </w:t>
            </w:r>
          </w:p>
          <w:p w14:paraId="767EC409" w14:textId="77FE263F" w:rsidR="003464E7" w:rsidRPr="00401CF8" w:rsidRDefault="003464E7" w:rsidP="00FC2EBF">
            <w:pPr>
              <w:spacing w:before="60" w:after="60" w:line="276" w:lineRule="auto"/>
              <w:contextualSpacing/>
              <w:rPr>
                <w:rFonts w:cs="Arial"/>
                <w:bCs/>
                <w:sz w:val="20"/>
                <w:szCs w:val="20"/>
              </w:rPr>
            </w:pPr>
            <w:r w:rsidRPr="00401CF8">
              <w:rPr>
                <w:rFonts w:cs="Arial"/>
                <w:bCs/>
                <w:sz w:val="20"/>
                <w:szCs w:val="20"/>
              </w:rPr>
              <w:t>The PQ Aquatics Syngnathids</w:t>
            </w:r>
            <w:r w:rsidR="00401CF8">
              <w:rPr>
                <w:rFonts w:cs="Arial"/>
                <w:bCs/>
                <w:sz w:val="20"/>
                <w:szCs w:val="20"/>
              </w:rPr>
              <w:t xml:space="preserve"> Wildlife Trade Operation</w:t>
            </w:r>
            <w:r w:rsidR="00403BA3">
              <w:rPr>
                <w:rFonts w:cs="Arial"/>
                <w:bCs/>
                <w:sz w:val="20"/>
                <w:szCs w:val="20"/>
              </w:rPr>
              <w:t xml:space="preserve"> </w:t>
            </w:r>
            <w:r w:rsidR="00401CF8">
              <w:rPr>
                <w:rFonts w:cs="Arial"/>
                <w:bCs/>
                <w:sz w:val="20"/>
                <w:szCs w:val="20"/>
              </w:rPr>
              <w:t>is not eligible for listing on the LENS, given that both CITES</w:t>
            </w:r>
            <w:r w:rsidR="00403BA3">
              <w:rPr>
                <w:rFonts w:cs="Arial"/>
                <w:bCs/>
                <w:sz w:val="20"/>
                <w:szCs w:val="20"/>
              </w:rPr>
              <w:t>-</w:t>
            </w:r>
            <w:r w:rsidR="00401CF8">
              <w:rPr>
                <w:rFonts w:cs="Arial"/>
                <w:bCs/>
                <w:sz w:val="20"/>
                <w:szCs w:val="20"/>
              </w:rPr>
              <w:t xml:space="preserve"> and EPBC Act</w:t>
            </w:r>
            <w:r w:rsidR="00403BA3">
              <w:rPr>
                <w:rFonts w:cs="Arial"/>
                <w:bCs/>
                <w:sz w:val="20"/>
                <w:szCs w:val="20"/>
              </w:rPr>
              <w:t>–</w:t>
            </w:r>
            <w:r w:rsidR="00401CF8">
              <w:rPr>
                <w:rFonts w:cs="Arial"/>
                <w:bCs/>
                <w:sz w:val="20"/>
                <w:szCs w:val="20"/>
              </w:rPr>
              <w:t>listed species are being harvested.</w:t>
            </w:r>
          </w:p>
          <w:p w14:paraId="748BF845" w14:textId="1A43C823" w:rsidR="00E57AB7" w:rsidRPr="001F4207" w:rsidRDefault="00E57AB7" w:rsidP="00401CF8">
            <w:pPr>
              <w:spacing w:before="60" w:after="60" w:line="276" w:lineRule="auto"/>
              <w:contextualSpacing/>
              <w:rPr>
                <w:rFonts w:cs="Arial"/>
                <w:sz w:val="20"/>
                <w:szCs w:val="20"/>
              </w:rPr>
            </w:pPr>
          </w:p>
        </w:tc>
      </w:tr>
      <w:tr w:rsidR="00D40B13" w:rsidRPr="001F4207" w14:paraId="50241D9F" w14:textId="77777777" w:rsidTr="00CC77AB">
        <w:trPr>
          <w:cnfStyle w:val="000000010000" w:firstRow="0" w:lastRow="0" w:firstColumn="0" w:lastColumn="0" w:oddVBand="0" w:evenVBand="0" w:oddHBand="0" w:evenHBand="1" w:firstRowFirstColumn="0" w:firstRowLastColumn="0" w:lastRowFirstColumn="0" w:lastRowLastColumn="0"/>
        </w:trPr>
        <w:tc>
          <w:tcPr>
            <w:tcW w:w="2500" w:type="pct"/>
          </w:tcPr>
          <w:p w14:paraId="47883243" w14:textId="7925DC91" w:rsidR="00D40B13" w:rsidRPr="001F4207" w:rsidRDefault="00D40B13" w:rsidP="00FC2EBF">
            <w:pPr>
              <w:pStyle w:val="ListNumber"/>
            </w:pPr>
            <w:r w:rsidRPr="001F4207">
              <w:t>(3)</w:t>
            </w:r>
            <w:r w:rsidR="00A961C6" w:rsidRPr="001F4207">
              <w:tab/>
            </w:r>
            <w:r w:rsidRPr="001F4207">
              <w:t>Before amending the LENS, the Minister must consult:</w:t>
            </w:r>
          </w:p>
          <w:p w14:paraId="72317F56" w14:textId="7F20C045" w:rsidR="00807BB8" w:rsidRPr="001F4207" w:rsidRDefault="00807BB8" w:rsidP="00FC2EBF">
            <w:pPr>
              <w:pStyle w:val="ListNumber2"/>
            </w:pPr>
            <w:r w:rsidRPr="001F4207">
              <w:t>(a)</w:t>
            </w:r>
            <w:r w:rsidRPr="001F4207">
              <w:tab/>
              <w:t>other Minister or Ministers as appropriate; and</w:t>
            </w:r>
          </w:p>
          <w:p w14:paraId="6FEF0265" w14:textId="7EB32D86" w:rsidR="00807BB8" w:rsidRPr="001F4207" w:rsidRDefault="00807BB8" w:rsidP="00FC2EBF">
            <w:pPr>
              <w:pStyle w:val="ListNumber2"/>
            </w:pPr>
            <w:r w:rsidRPr="001F4207">
              <w:t>(b)</w:t>
            </w:r>
            <w:r w:rsidRPr="001F4207">
              <w:tab/>
              <w:t>other Minister or Ministers of each State and self-governing Territory as appropriate; and</w:t>
            </w:r>
          </w:p>
          <w:p w14:paraId="713AFE99" w14:textId="6D67B617" w:rsidR="00227603" w:rsidRPr="001F4207" w:rsidRDefault="00807BB8" w:rsidP="00F56355">
            <w:pPr>
              <w:pStyle w:val="ListNumber2"/>
            </w:pPr>
            <w:r w:rsidRPr="001F4207">
              <w:t>(c)</w:t>
            </w:r>
            <w:r w:rsidRPr="001F4207">
              <w:tab/>
              <w:t>other persons and organisations as appropriate.</w:t>
            </w:r>
          </w:p>
        </w:tc>
        <w:tc>
          <w:tcPr>
            <w:tcW w:w="2500" w:type="pct"/>
            <w:shd w:val="clear" w:color="auto" w:fill="auto"/>
          </w:tcPr>
          <w:p w14:paraId="5934C70E" w14:textId="77777777" w:rsidR="008A28AD" w:rsidRPr="001F4207" w:rsidRDefault="001C70CA" w:rsidP="00FC2EBF">
            <w:pPr>
              <w:spacing w:before="60" w:after="60" w:line="276" w:lineRule="auto"/>
              <w:contextualSpacing/>
              <w:rPr>
                <w:rFonts w:cs="Arial"/>
                <w:b/>
                <w:sz w:val="20"/>
                <w:szCs w:val="20"/>
              </w:rPr>
            </w:pPr>
            <w:r w:rsidRPr="00D70B6D">
              <w:rPr>
                <w:rFonts w:cs="Arial"/>
                <w:b/>
                <w:sz w:val="20"/>
                <w:szCs w:val="20"/>
              </w:rPr>
              <w:t>Not applicable</w:t>
            </w:r>
            <w:r w:rsidRPr="001F4207">
              <w:rPr>
                <w:rFonts w:cs="Arial"/>
                <w:b/>
                <w:sz w:val="20"/>
                <w:szCs w:val="20"/>
              </w:rPr>
              <w:t xml:space="preserve"> </w:t>
            </w:r>
          </w:p>
          <w:p w14:paraId="63F27C32" w14:textId="0D7FDB3C" w:rsidR="00D70B6D" w:rsidRPr="00D70B6D" w:rsidRDefault="00D70B6D" w:rsidP="00D70B6D">
            <w:pPr>
              <w:spacing w:before="60" w:after="60" w:line="276" w:lineRule="auto"/>
              <w:contextualSpacing/>
              <w:rPr>
                <w:rFonts w:cs="Arial"/>
                <w:bCs/>
                <w:sz w:val="20"/>
                <w:szCs w:val="20"/>
              </w:rPr>
            </w:pPr>
            <w:r w:rsidRPr="00D70B6D">
              <w:rPr>
                <w:rFonts w:cs="Arial"/>
                <w:bCs/>
                <w:sz w:val="20"/>
                <w:szCs w:val="20"/>
              </w:rPr>
              <w:t>The PQ Aquatics Syngnathids Wildlife Trade Operations is not eligible for listing on the LENS, given that both CITES</w:t>
            </w:r>
            <w:r w:rsidR="00403BA3">
              <w:rPr>
                <w:rFonts w:cs="Arial"/>
                <w:bCs/>
                <w:sz w:val="20"/>
                <w:szCs w:val="20"/>
              </w:rPr>
              <w:t>-</w:t>
            </w:r>
            <w:r w:rsidRPr="00D70B6D">
              <w:rPr>
                <w:rFonts w:cs="Arial"/>
                <w:bCs/>
                <w:sz w:val="20"/>
                <w:szCs w:val="20"/>
              </w:rPr>
              <w:t xml:space="preserve"> and EPBC Act</w:t>
            </w:r>
            <w:r w:rsidR="00403BA3">
              <w:rPr>
                <w:rFonts w:cs="Arial"/>
                <w:bCs/>
                <w:sz w:val="20"/>
                <w:szCs w:val="20"/>
              </w:rPr>
              <w:t>–</w:t>
            </w:r>
            <w:r w:rsidRPr="00D70B6D">
              <w:rPr>
                <w:rFonts w:cs="Arial"/>
                <w:bCs/>
                <w:sz w:val="20"/>
                <w:szCs w:val="20"/>
              </w:rPr>
              <w:t>listed species are being harvested.</w:t>
            </w:r>
          </w:p>
          <w:p w14:paraId="3FA5A127" w14:textId="58C547AA" w:rsidR="00E57AB7" w:rsidRPr="001F4207" w:rsidRDefault="00E57AB7" w:rsidP="00D70B6D">
            <w:pPr>
              <w:spacing w:before="60" w:after="60" w:line="276" w:lineRule="auto"/>
              <w:contextualSpacing/>
              <w:rPr>
                <w:rFonts w:cs="Arial"/>
                <w:sz w:val="20"/>
                <w:szCs w:val="20"/>
              </w:rPr>
            </w:pPr>
          </w:p>
        </w:tc>
      </w:tr>
      <w:tr w:rsidR="00DF3B87" w:rsidRPr="001F4207" w14:paraId="29D711AC" w14:textId="77777777" w:rsidTr="00CC77AB">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D9D9D9" w:themeFill="background1" w:themeFillShade="D9"/>
            <w:vAlign w:val="center"/>
          </w:tcPr>
          <w:p w14:paraId="5A470539" w14:textId="22216B5A" w:rsidR="00DF3B87" w:rsidRPr="001F4207" w:rsidRDefault="00DF3B87" w:rsidP="00FC2EBF">
            <w:pPr>
              <w:spacing w:before="60" w:after="60" w:line="276" w:lineRule="auto"/>
              <w:ind w:left="426" w:hanging="426"/>
              <w:contextualSpacing/>
              <w:jc w:val="center"/>
              <w:rPr>
                <w:rFonts w:cs="Arial"/>
                <w:sz w:val="20"/>
                <w:szCs w:val="20"/>
              </w:rPr>
            </w:pPr>
            <w:r w:rsidRPr="001F4207">
              <w:rPr>
                <w:rFonts w:cs="Arial"/>
                <w:b/>
                <w:sz w:val="20"/>
                <w:szCs w:val="20"/>
              </w:rPr>
              <w:t>Section 303FN Approved wildlife trade operation</w:t>
            </w:r>
          </w:p>
        </w:tc>
        <w:tc>
          <w:tcPr>
            <w:tcW w:w="2500" w:type="pct"/>
            <w:shd w:val="clear" w:color="auto" w:fill="D9D9D9" w:themeFill="background1" w:themeFillShade="D9"/>
            <w:vAlign w:val="center"/>
          </w:tcPr>
          <w:p w14:paraId="71A03325" w14:textId="666FCAFD" w:rsidR="00DF3B87" w:rsidRPr="001F4207" w:rsidRDefault="00DF3B87" w:rsidP="00FC2EBF">
            <w:pPr>
              <w:spacing w:before="60" w:after="60" w:line="276" w:lineRule="auto"/>
              <w:contextualSpacing/>
              <w:jc w:val="center"/>
              <w:rPr>
                <w:rFonts w:cs="Arial"/>
                <w:b/>
                <w:sz w:val="20"/>
                <w:szCs w:val="20"/>
              </w:rPr>
            </w:pPr>
            <w:r w:rsidRPr="001F4207">
              <w:rPr>
                <w:rFonts w:cs="Arial"/>
                <w:b/>
                <w:sz w:val="20"/>
                <w:szCs w:val="20"/>
              </w:rPr>
              <w:t>Comment</w:t>
            </w:r>
          </w:p>
        </w:tc>
      </w:tr>
      <w:tr w:rsidR="00A74920" w:rsidRPr="001F4207" w14:paraId="3FA8DBB8" w14:textId="77777777" w:rsidTr="00696B61">
        <w:trPr>
          <w:cnfStyle w:val="000000010000" w:firstRow="0" w:lastRow="0" w:firstColumn="0" w:lastColumn="0" w:oddVBand="0" w:evenVBand="0" w:oddHBand="0" w:evenHBand="1" w:firstRowFirstColumn="0" w:firstRowLastColumn="0" w:lastRowFirstColumn="0" w:lastRowLastColumn="0"/>
          <w:trHeight w:val="3304"/>
        </w:trPr>
        <w:tc>
          <w:tcPr>
            <w:tcW w:w="2500" w:type="pct"/>
            <w:shd w:val="clear" w:color="auto" w:fill="92D050"/>
          </w:tcPr>
          <w:p w14:paraId="7640CCDD" w14:textId="0BD238FA" w:rsidR="00A74920" w:rsidRPr="001F4207" w:rsidRDefault="00A74920" w:rsidP="00FC2EBF">
            <w:pPr>
              <w:pStyle w:val="ListNumber"/>
            </w:pPr>
            <w:r w:rsidRPr="001F4207">
              <w:t>(3)</w:t>
            </w:r>
            <w:r w:rsidRPr="001F4207">
              <w:tab/>
              <w:t xml:space="preserve">The Minister must not declare an operation as an approved wildlife trade operation unless the Minister is </w:t>
            </w:r>
            <w:r w:rsidRPr="001F4207">
              <w:rPr>
                <w:b/>
              </w:rPr>
              <w:t>satisfied</w:t>
            </w:r>
            <w:r w:rsidRPr="001F4207">
              <w:t xml:space="preserve"> that:</w:t>
            </w:r>
          </w:p>
          <w:p w14:paraId="532CF461" w14:textId="77777777" w:rsidR="00A74920" w:rsidRPr="001F4207" w:rsidRDefault="00A74920" w:rsidP="00FC2EBF">
            <w:pPr>
              <w:pStyle w:val="ListNumber2"/>
            </w:pPr>
            <w:r w:rsidRPr="001F4207">
              <w:t>(a)</w:t>
            </w:r>
            <w:r w:rsidRPr="001F4207">
              <w:tab/>
              <w:t>the operation is consistent with the objects of Part 13A of the Act; and</w:t>
            </w:r>
          </w:p>
          <w:p w14:paraId="07F71B09" w14:textId="77777777" w:rsidR="00A74920" w:rsidRPr="001F4207" w:rsidRDefault="00A74920" w:rsidP="00FC2EBF">
            <w:pPr>
              <w:pStyle w:val="ListNumber2"/>
            </w:pPr>
            <w:r w:rsidRPr="001F4207">
              <w:t>(b)</w:t>
            </w:r>
            <w:r w:rsidRPr="001F4207">
              <w:tab/>
              <w:t>the operation will not be detrimental to:</w:t>
            </w:r>
          </w:p>
          <w:p w14:paraId="2DD4D83A" w14:textId="77777777" w:rsidR="00A74920" w:rsidRPr="001F4207" w:rsidRDefault="00A74920" w:rsidP="00FC2EBF">
            <w:pPr>
              <w:pStyle w:val="ListNumber3"/>
              <w:spacing w:line="276" w:lineRule="auto"/>
            </w:pPr>
            <w:r w:rsidRPr="001F4207">
              <w:t>(i)</w:t>
            </w:r>
            <w:r w:rsidRPr="001F4207">
              <w:tab/>
              <w:t>the survival of a taxon to which the operation relates; or</w:t>
            </w:r>
          </w:p>
          <w:p w14:paraId="5977E623" w14:textId="77777777" w:rsidR="00A74920" w:rsidRPr="001F4207" w:rsidRDefault="00A74920" w:rsidP="00FC2EBF">
            <w:pPr>
              <w:pStyle w:val="ListNumber3"/>
              <w:spacing w:line="276" w:lineRule="auto"/>
            </w:pPr>
            <w:r w:rsidRPr="001F4207">
              <w:t>(ii)</w:t>
            </w:r>
            <w:r w:rsidRPr="001F4207">
              <w:tab/>
              <w:t>the conservation status of a taxon to which the operation relates; and</w:t>
            </w:r>
          </w:p>
          <w:p w14:paraId="67C4A7FA" w14:textId="4667DB99" w:rsidR="00A74920" w:rsidRPr="001F4207" w:rsidRDefault="00A74920" w:rsidP="00FC2EBF">
            <w:pPr>
              <w:pStyle w:val="ListNumber2"/>
            </w:pPr>
            <w:r w:rsidRPr="001F4207">
              <w:t>(ba)</w:t>
            </w:r>
            <w:r w:rsidRPr="001F4207">
              <w:tab/>
            </w:r>
            <w:r w:rsidR="005F0430">
              <w:t xml:space="preserve"> </w:t>
            </w:r>
            <w:r w:rsidRPr="001F4207">
              <w:t>the operation will not be likely to threaten any relevant ecosystem including (but not limited to) any habitat or biodiversity; and</w:t>
            </w:r>
          </w:p>
          <w:p w14:paraId="48696EA2" w14:textId="7E7ACD05" w:rsidR="00A74920" w:rsidRPr="001F4207" w:rsidRDefault="00A74920" w:rsidP="00FC2EBF">
            <w:pPr>
              <w:pStyle w:val="ListNumber2"/>
            </w:pPr>
          </w:p>
        </w:tc>
        <w:tc>
          <w:tcPr>
            <w:tcW w:w="2500" w:type="pct"/>
            <w:shd w:val="clear" w:color="auto" w:fill="auto"/>
          </w:tcPr>
          <w:p w14:paraId="10A6E1BE" w14:textId="77777777" w:rsidR="00A74920" w:rsidRPr="00193A28" w:rsidRDefault="00A74920" w:rsidP="00FC2EBF">
            <w:pPr>
              <w:spacing w:before="60" w:after="60" w:line="276" w:lineRule="auto"/>
              <w:contextualSpacing/>
              <w:rPr>
                <w:rFonts w:cs="Arial"/>
                <w:b/>
                <w:sz w:val="20"/>
                <w:szCs w:val="20"/>
              </w:rPr>
            </w:pPr>
            <w:r w:rsidRPr="00193A28">
              <w:rPr>
                <w:rFonts w:cs="Arial"/>
                <w:b/>
                <w:sz w:val="20"/>
                <w:szCs w:val="20"/>
              </w:rPr>
              <w:t>Meets</w:t>
            </w:r>
          </w:p>
          <w:p w14:paraId="57E46C3A" w14:textId="346C2228" w:rsidR="00A74920" w:rsidRPr="001F4207" w:rsidRDefault="00A74920" w:rsidP="00FC2EBF">
            <w:pPr>
              <w:spacing w:before="60" w:after="60" w:line="276" w:lineRule="auto"/>
              <w:contextualSpacing/>
              <w:rPr>
                <w:rFonts w:cs="Arial"/>
                <w:sz w:val="20"/>
                <w:szCs w:val="20"/>
              </w:rPr>
            </w:pPr>
            <w:r w:rsidRPr="001F4207">
              <w:rPr>
                <w:rFonts w:cs="Arial"/>
                <w:sz w:val="20"/>
                <w:szCs w:val="20"/>
              </w:rPr>
              <w:t xml:space="preserve">The </w:t>
            </w:r>
            <w:r w:rsidR="00717DDF">
              <w:rPr>
                <w:rFonts w:cs="Arial"/>
                <w:sz w:val="20"/>
                <w:szCs w:val="20"/>
              </w:rPr>
              <w:t xml:space="preserve">PQ Aquatics Syngnathids Wildlife Trade Operation is consistent </w:t>
            </w:r>
            <w:r w:rsidRPr="001F4207">
              <w:rPr>
                <w:rFonts w:cs="Arial"/>
                <w:sz w:val="20"/>
                <w:szCs w:val="20"/>
              </w:rPr>
              <w:t>with Objects of 13A – see above assessment against the Guidelines.</w:t>
            </w:r>
          </w:p>
          <w:p w14:paraId="5C85AEFF" w14:textId="77777777" w:rsidR="00640728" w:rsidRDefault="00640728" w:rsidP="00FC2EBF">
            <w:pPr>
              <w:spacing w:before="60" w:after="60" w:line="276" w:lineRule="auto"/>
              <w:contextualSpacing/>
              <w:rPr>
                <w:rFonts w:cs="Arial"/>
                <w:sz w:val="20"/>
                <w:szCs w:val="20"/>
              </w:rPr>
            </w:pPr>
          </w:p>
          <w:p w14:paraId="0FC625E7" w14:textId="64A9EEB2" w:rsidR="001318BD" w:rsidRPr="001318BD" w:rsidRDefault="00A74920" w:rsidP="001318BD">
            <w:pPr>
              <w:spacing w:before="60" w:after="60" w:line="276" w:lineRule="auto"/>
              <w:contextualSpacing/>
              <w:rPr>
                <w:rFonts w:cs="Arial"/>
                <w:sz w:val="20"/>
                <w:szCs w:val="20"/>
              </w:rPr>
            </w:pPr>
            <w:r w:rsidRPr="001F4207">
              <w:rPr>
                <w:rFonts w:cs="Arial"/>
                <w:sz w:val="20"/>
                <w:szCs w:val="20"/>
              </w:rPr>
              <w:t xml:space="preserve">The </w:t>
            </w:r>
            <w:r w:rsidRPr="001F4207">
              <w:rPr>
                <w:rFonts w:cs="Arial"/>
                <w:iCs/>
                <w:sz w:val="20"/>
                <w:szCs w:val="20"/>
              </w:rPr>
              <w:t>fishery</w:t>
            </w:r>
            <w:r w:rsidRPr="001F4207">
              <w:rPr>
                <w:rFonts w:cs="Arial"/>
                <w:sz w:val="20"/>
                <w:szCs w:val="20"/>
              </w:rPr>
              <w:t xml:space="preserve"> will not be detrimental to the survival or conservation status of a taxon to which it relates, nor will it threaten any relevant ecosystem, within the next </w:t>
            </w:r>
            <w:r w:rsidR="00F04869" w:rsidRPr="00640728">
              <w:rPr>
                <w:rFonts w:cs="Arial"/>
                <w:b/>
                <w:sz w:val="20"/>
                <w:szCs w:val="20"/>
              </w:rPr>
              <w:t>3</w:t>
            </w:r>
            <w:r w:rsidRPr="00640728">
              <w:rPr>
                <w:rFonts w:cs="Arial"/>
                <w:b/>
                <w:sz w:val="20"/>
                <w:szCs w:val="20"/>
              </w:rPr>
              <w:t xml:space="preserve"> years</w:t>
            </w:r>
            <w:r w:rsidRPr="00640728">
              <w:rPr>
                <w:rFonts w:cs="Arial"/>
                <w:sz w:val="20"/>
                <w:szCs w:val="20"/>
              </w:rPr>
              <w:t xml:space="preserve">, given the management measures currently in place, which include </w:t>
            </w:r>
            <w:r w:rsidR="00E85EB6">
              <w:rPr>
                <w:rFonts w:cs="Arial"/>
                <w:sz w:val="20"/>
                <w:szCs w:val="20"/>
              </w:rPr>
              <w:t>restrictions on the number of syngnathid species and specimens</w:t>
            </w:r>
            <w:r w:rsidR="00FC64B5">
              <w:rPr>
                <w:rFonts w:cs="Arial"/>
                <w:sz w:val="20"/>
                <w:szCs w:val="20"/>
              </w:rPr>
              <w:t xml:space="preserve"> harvested in Victoria</w:t>
            </w:r>
            <w:r w:rsidR="00C307C8">
              <w:rPr>
                <w:rFonts w:cs="Arial"/>
                <w:sz w:val="20"/>
                <w:szCs w:val="20"/>
              </w:rPr>
              <w:t xml:space="preserve">, </w:t>
            </w:r>
            <w:r w:rsidR="00FC64B5">
              <w:rPr>
                <w:rFonts w:cs="Arial"/>
                <w:sz w:val="20"/>
                <w:szCs w:val="20"/>
              </w:rPr>
              <w:t>restri</w:t>
            </w:r>
            <w:r w:rsidR="004D09B0">
              <w:rPr>
                <w:rFonts w:cs="Arial"/>
                <w:sz w:val="20"/>
                <w:szCs w:val="20"/>
              </w:rPr>
              <w:t>c</w:t>
            </w:r>
            <w:r w:rsidR="00FC64B5">
              <w:rPr>
                <w:rFonts w:cs="Arial"/>
                <w:sz w:val="20"/>
                <w:szCs w:val="20"/>
              </w:rPr>
              <w:t xml:space="preserve">tions on harvesting locations, </w:t>
            </w:r>
            <w:r w:rsidR="00C307C8">
              <w:rPr>
                <w:rFonts w:cs="Arial"/>
                <w:sz w:val="20"/>
                <w:szCs w:val="20"/>
              </w:rPr>
              <w:t>hand collection</w:t>
            </w:r>
            <w:r w:rsidR="00FC64B5">
              <w:rPr>
                <w:rFonts w:cs="Arial"/>
                <w:sz w:val="20"/>
                <w:szCs w:val="20"/>
              </w:rPr>
              <w:t xml:space="preserve"> by diving</w:t>
            </w:r>
            <w:r w:rsidR="00C307C8">
              <w:rPr>
                <w:rFonts w:cs="Arial"/>
                <w:sz w:val="20"/>
                <w:szCs w:val="20"/>
              </w:rPr>
              <w:t>,</w:t>
            </w:r>
            <w:r w:rsidR="00B02C2F">
              <w:rPr>
                <w:rFonts w:cs="Arial"/>
                <w:sz w:val="20"/>
                <w:szCs w:val="20"/>
              </w:rPr>
              <w:t xml:space="preserve"> </w:t>
            </w:r>
            <w:r w:rsidR="00193A28">
              <w:rPr>
                <w:rFonts w:cs="Arial"/>
                <w:sz w:val="20"/>
                <w:szCs w:val="20"/>
              </w:rPr>
              <w:t xml:space="preserve">the use of designated captive facilities, and </w:t>
            </w:r>
            <w:r w:rsidR="00995749">
              <w:rPr>
                <w:rFonts w:cs="Arial"/>
                <w:sz w:val="20"/>
                <w:szCs w:val="20"/>
              </w:rPr>
              <w:t>record keeping and reporting requirements.</w:t>
            </w:r>
            <w:r w:rsidR="00E85EB6">
              <w:rPr>
                <w:rFonts w:cs="Arial"/>
                <w:sz w:val="20"/>
                <w:szCs w:val="20"/>
              </w:rPr>
              <w:t xml:space="preserve"> </w:t>
            </w:r>
            <w:r w:rsidR="00C307C8">
              <w:rPr>
                <w:rFonts w:cs="Arial"/>
                <w:sz w:val="20"/>
                <w:szCs w:val="20"/>
              </w:rPr>
              <w:t xml:space="preserve"> </w:t>
            </w:r>
          </w:p>
        </w:tc>
      </w:tr>
      <w:tr w:rsidR="00DF3B87" w:rsidRPr="001F4207" w14:paraId="22144A57" w14:textId="77777777" w:rsidTr="00CC77AB">
        <w:trPr>
          <w:cnfStyle w:val="000000100000" w:firstRow="0" w:lastRow="0" w:firstColumn="0" w:lastColumn="0" w:oddVBand="0" w:evenVBand="0" w:oddHBand="1" w:evenHBand="0" w:firstRowFirstColumn="0" w:firstRowLastColumn="0" w:lastRowFirstColumn="0" w:lastRowLastColumn="0"/>
        </w:trPr>
        <w:tc>
          <w:tcPr>
            <w:tcW w:w="2500" w:type="pct"/>
          </w:tcPr>
          <w:p w14:paraId="4533AC8C" w14:textId="23D5DA57" w:rsidR="00DF3B87" w:rsidRPr="001F4207" w:rsidRDefault="00DF3B87" w:rsidP="00FC2EBF">
            <w:pPr>
              <w:pStyle w:val="ListNumber2"/>
            </w:pPr>
            <w:r w:rsidRPr="001F4207">
              <w:t>(c)</w:t>
            </w:r>
            <w:r w:rsidRPr="001F4207">
              <w:tab/>
              <w:t>if the operation relates to the taking of live specimens that belong to a taxon specified in the regulations – the conditions that, under the regulations, are applicable to the welfare of the specimens are likely to be complied with; and</w:t>
            </w:r>
          </w:p>
          <w:p w14:paraId="052799C3" w14:textId="415B2C26" w:rsidR="00DF3B87" w:rsidRPr="001F4207" w:rsidRDefault="00DF3B87" w:rsidP="00FC2EBF">
            <w:pPr>
              <w:pStyle w:val="ListNumber2"/>
            </w:pPr>
          </w:p>
        </w:tc>
        <w:tc>
          <w:tcPr>
            <w:tcW w:w="2500" w:type="pct"/>
            <w:shd w:val="clear" w:color="auto" w:fill="auto"/>
          </w:tcPr>
          <w:p w14:paraId="36F5AB0D" w14:textId="77777777" w:rsidR="00DF3B87" w:rsidRPr="001F4207" w:rsidRDefault="00DF3B87" w:rsidP="00FC2EBF">
            <w:pPr>
              <w:spacing w:before="60" w:after="60" w:line="276" w:lineRule="auto"/>
              <w:contextualSpacing/>
              <w:rPr>
                <w:rFonts w:cs="Arial"/>
                <w:b/>
                <w:sz w:val="20"/>
                <w:szCs w:val="20"/>
              </w:rPr>
            </w:pPr>
            <w:r w:rsidRPr="00193A28">
              <w:rPr>
                <w:rFonts w:cs="Arial"/>
                <w:b/>
                <w:sz w:val="20"/>
                <w:szCs w:val="20"/>
              </w:rPr>
              <w:t>Not applicable</w:t>
            </w:r>
            <w:r w:rsidRPr="001F4207">
              <w:rPr>
                <w:rFonts w:cs="Arial"/>
                <w:b/>
                <w:sz w:val="20"/>
                <w:szCs w:val="20"/>
              </w:rPr>
              <w:t xml:space="preserve"> </w:t>
            </w:r>
          </w:p>
          <w:p w14:paraId="13BEC90F" w14:textId="20282A0B" w:rsidR="00DF3B87" w:rsidRPr="001F4207" w:rsidRDefault="00DF3B87" w:rsidP="00FC2EBF">
            <w:pPr>
              <w:spacing w:before="60" w:after="60" w:line="276" w:lineRule="auto"/>
              <w:contextualSpacing/>
              <w:rPr>
                <w:rFonts w:cs="Arial"/>
                <w:sz w:val="20"/>
                <w:szCs w:val="20"/>
              </w:rPr>
            </w:pPr>
            <w:r w:rsidRPr="001F4207">
              <w:rPr>
                <w:rFonts w:cs="Arial"/>
                <w:sz w:val="20"/>
                <w:szCs w:val="20"/>
              </w:rPr>
              <w:t xml:space="preserve">The </w:t>
            </w:r>
            <w:r w:rsidRPr="00AA0DFA">
              <w:rPr>
                <w:rFonts w:cs="Arial"/>
                <w:sz w:val="20"/>
                <w:szCs w:val="20"/>
              </w:rPr>
              <w:t xml:space="preserve">Environment Protection and Biodiversity Conservation Regulations 2000 </w:t>
            </w:r>
            <w:r w:rsidRPr="001F4207">
              <w:rPr>
                <w:rFonts w:cs="Arial"/>
                <w:sz w:val="20"/>
                <w:szCs w:val="20"/>
              </w:rPr>
              <w:t>(EPBC Regulations) do</w:t>
            </w:r>
            <w:r w:rsidR="00AA0DFA">
              <w:rPr>
                <w:rFonts w:cs="Arial"/>
                <w:sz w:val="20"/>
                <w:szCs w:val="20"/>
              </w:rPr>
              <w:t xml:space="preserve"> </w:t>
            </w:r>
            <w:r w:rsidRPr="001F4207">
              <w:rPr>
                <w:rFonts w:cs="Arial"/>
                <w:sz w:val="20"/>
                <w:szCs w:val="20"/>
              </w:rPr>
              <w:t xml:space="preserve">not specify </w:t>
            </w:r>
            <w:r w:rsidR="00AB2EEE">
              <w:rPr>
                <w:rFonts w:cs="Arial"/>
                <w:sz w:val="20"/>
                <w:szCs w:val="20"/>
              </w:rPr>
              <w:t>Syngnathidae</w:t>
            </w:r>
            <w:r w:rsidRPr="001F4207">
              <w:rPr>
                <w:rFonts w:cs="Arial"/>
                <w:sz w:val="20"/>
                <w:szCs w:val="20"/>
              </w:rPr>
              <w:t xml:space="preserve"> as a </w:t>
            </w:r>
            <w:r w:rsidR="00AA0DFA">
              <w:rPr>
                <w:rFonts w:cs="Arial"/>
                <w:sz w:val="20"/>
                <w:szCs w:val="20"/>
              </w:rPr>
              <w:t>family</w:t>
            </w:r>
            <w:r w:rsidRPr="001F4207">
              <w:rPr>
                <w:rFonts w:cs="Arial"/>
                <w:sz w:val="20"/>
                <w:szCs w:val="20"/>
              </w:rPr>
              <w:t xml:space="preserve"> of animal in relation to the welfare of live specimens.</w:t>
            </w:r>
          </w:p>
          <w:p w14:paraId="5B4285CF" w14:textId="0E02DF7F" w:rsidR="00DF3B87" w:rsidRPr="001F4207" w:rsidRDefault="00DF3B87" w:rsidP="00FC2EBF">
            <w:pPr>
              <w:spacing w:before="60" w:after="60" w:line="276" w:lineRule="auto"/>
              <w:contextualSpacing/>
              <w:rPr>
                <w:rFonts w:cs="Arial"/>
                <w:b/>
                <w:sz w:val="20"/>
                <w:szCs w:val="20"/>
              </w:rPr>
            </w:pPr>
          </w:p>
        </w:tc>
      </w:tr>
      <w:tr w:rsidR="00DF3B87" w:rsidRPr="001F4207" w14:paraId="69E94C3C" w14:textId="77777777" w:rsidTr="00CC77AB">
        <w:trPr>
          <w:cnfStyle w:val="000000010000" w:firstRow="0" w:lastRow="0" w:firstColumn="0" w:lastColumn="0" w:oddVBand="0" w:evenVBand="0" w:oddHBand="0" w:evenHBand="1" w:firstRowFirstColumn="0" w:firstRowLastColumn="0" w:lastRowFirstColumn="0" w:lastRowLastColumn="0"/>
        </w:trPr>
        <w:tc>
          <w:tcPr>
            <w:tcW w:w="2500" w:type="pct"/>
          </w:tcPr>
          <w:p w14:paraId="1CD82FDE" w14:textId="41DFFF9E" w:rsidR="00DF3B87" w:rsidRPr="001F4207" w:rsidRDefault="00DF3B87" w:rsidP="00FC2EBF">
            <w:pPr>
              <w:pStyle w:val="ListNumber2"/>
            </w:pPr>
            <w:r w:rsidRPr="001F4207">
              <w:t>(d)</w:t>
            </w:r>
            <w:r w:rsidRPr="001F4207">
              <w:tab/>
              <w:t>such other conditions (if any) as are specified in the regulations have been, or are likely to be, satisfied.</w:t>
            </w:r>
          </w:p>
          <w:p w14:paraId="3255826D" w14:textId="578F26D3" w:rsidR="00DF3B87" w:rsidRPr="001F4207" w:rsidRDefault="00DF3B87" w:rsidP="00FC2EBF">
            <w:pPr>
              <w:pStyle w:val="ListNumber2"/>
            </w:pPr>
          </w:p>
        </w:tc>
        <w:tc>
          <w:tcPr>
            <w:tcW w:w="2500" w:type="pct"/>
            <w:shd w:val="clear" w:color="auto" w:fill="auto"/>
          </w:tcPr>
          <w:p w14:paraId="40540906" w14:textId="77777777" w:rsidR="00DF3B87" w:rsidRPr="001F4207" w:rsidRDefault="00DF3B87" w:rsidP="00FC2EBF">
            <w:pPr>
              <w:spacing w:before="60" w:after="60" w:line="276" w:lineRule="auto"/>
              <w:contextualSpacing/>
              <w:rPr>
                <w:rFonts w:cs="Arial"/>
                <w:b/>
                <w:sz w:val="20"/>
                <w:szCs w:val="20"/>
              </w:rPr>
            </w:pPr>
            <w:r w:rsidRPr="00AB2EEE">
              <w:rPr>
                <w:rFonts w:cs="Arial"/>
                <w:b/>
                <w:sz w:val="20"/>
                <w:szCs w:val="20"/>
              </w:rPr>
              <w:t>Not applicable</w:t>
            </w:r>
            <w:r w:rsidRPr="001F4207">
              <w:rPr>
                <w:rFonts w:cs="Arial"/>
                <w:b/>
                <w:sz w:val="20"/>
                <w:szCs w:val="20"/>
              </w:rPr>
              <w:t xml:space="preserve"> </w:t>
            </w:r>
          </w:p>
          <w:p w14:paraId="4FD17E34" w14:textId="77777777" w:rsidR="00DF3B87" w:rsidRPr="001F4207" w:rsidRDefault="00DF3B87" w:rsidP="00FC2EBF">
            <w:pPr>
              <w:spacing w:before="60" w:after="60" w:line="276" w:lineRule="auto"/>
              <w:contextualSpacing/>
              <w:rPr>
                <w:rFonts w:cs="Arial"/>
                <w:sz w:val="20"/>
                <w:szCs w:val="20"/>
              </w:rPr>
            </w:pPr>
            <w:r w:rsidRPr="001F4207">
              <w:rPr>
                <w:rFonts w:cs="Arial"/>
                <w:sz w:val="20"/>
                <w:szCs w:val="20"/>
              </w:rPr>
              <w:t>No other conditions are specified in relation to commercial fisheries in the EPBC Regulations.</w:t>
            </w:r>
          </w:p>
          <w:p w14:paraId="15794F71" w14:textId="72EB1221" w:rsidR="00DF3B87" w:rsidRPr="001F4207" w:rsidRDefault="00DF3B87" w:rsidP="00FC2EBF">
            <w:pPr>
              <w:spacing w:before="60" w:after="60" w:line="276" w:lineRule="auto"/>
              <w:contextualSpacing/>
              <w:rPr>
                <w:rFonts w:cs="Arial"/>
                <w:b/>
                <w:sz w:val="20"/>
                <w:szCs w:val="20"/>
              </w:rPr>
            </w:pPr>
          </w:p>
        </w:tc>
      </w:tr>
      <w:tr w:rsidR="00DF3B87" w:rsidRPr="001F4207" w14:paraId="00A781E9" w14:textId="77777777" w:rsidTr="00696B61">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92D050"/>
          </w:tcPr>
          <w:p w14:paraId="37044E32" w14:textId="0DB8F0E0" w:rsidR="00DF3B87" w:rsidRPr="001F4207" w:rsidRDefault="00DF3B87" w:rsidP="00FC2EBF">
            <w:pPr>
              <w:pStyle w:val="ListNumber"/>
            </w:pPr>
            <w:r w:rsidRPr="001F4207">
              <w:t>(4)</w:t>
            </w:r>
            <w:r w:rsidRPr="001F4207">
              <w:tab/>
              <w:t xml:space="preserve">In deciding whether to declare an operation as an approved wildlife trade operation the Minister must have </w:t>
            </w:r>
            <w:r w:rsidRPr="001F4207">
              <w:rPr>
                <w:b/>
              </w:rPr>
              <w:t>regard</w:t>
            </w:r>
            <w:r w:rsidRPr="001F4207">
              <w:t xml:space="preserve"> to:</w:t>
            </w:r>
          </w:p>
          <w:p w14:paraId="495E36D3" w14:textId="77777777" w:rsidR="00DF3B87" w:rsidRPr="001F4207" w:rsidRDefault="00DF3B87" w:rsidP="00FC2EBF">
            <w:pPr>
              <w:pStyle w:val="ListNumber2"/>
            </w:pPr>
            <w:r w:rsidRPr="001F4207">
              <w:t>(a)</w:t>
            </w:r>
            <w:r w:rsidRPr="001F4207">
              <w:tab/>
              <w:t>the significance of the impact of the operation on an ecosystem (for example, an impact on habitat or biodiversity); and</w:t>
            </w:r>
          </w:p>
          <w:p w14:paraId="1C68DEAA" w14:textId="31FAA2FB" w:rsidR="00DF3B87" w:rsidRPr="001F4207" w:rsidRDefault="00DF3B87" w:rsidP="00FC2EBF">
            <w:pPr>
              <w:pStyle w:val="ListNumber2"/>
            </w:pPr>
          </w:p>
        </w:tc>
        <w:tc>
          <w:tcPr>
            <w:tcW w:w="2500" w:type="pct"/>
            <w:shd w:val="clear" w:color="auto" w:fill="auto"/>
          </w:tcPr>
          <w:p w14:paraId="69507286" w14:textId="77777777" w:rsidR="00DF3B87" w:rsidRPr="005830A2" w:rsidRDefault="00DF3B87" w:rsidP="00FC2EBF">
            <w:pPr>
              <w:spacing w:before="60" w:after="60" w:line="276" w:lineRule="auto"/>
              <w:contextualSpacing/>
              <w:rPr>
                <w:rFonts w:cs="Arial"/>
                <w:b/>
                <w:sz w:val="20"/>
                <w:szCs w:val="20"/>
              </w:rPr>
            </w:pPr>
            <w:r w:rsidRPr="005830A2">
              <w:rPr>
                <w:rFonts w:cs="Arial"/>
                <w:b/>
                <w:sz w:val="20"/>
                <w:szCs w:val="20"/>
              </w:rPr>
              <w:t>Meets</w:t>
            </w:r>
          </w:p>
          <w:p w14:paraId="1016A556" w14:textId="2F524723" w:rsidR="00DF3B87" w:rsidRPr="001F4207" w:rsidRDefault="00DF3B87" w:rsidP="00FC2EBF">
            <w:pPr>
              <w:spacing w:before="60" w:after="60" w:line="276" w:lineRule="auto"/>
              <w:contextualSpacing/>
              <w:rPr>
                <w:rFonts w:cs="Arial"/>
                <w:sz w:val="20"/>
                <w:szCs w:val="20"/>
              </w:rPr>
            </w:pPr>
            <w:r w:rsidRPr="001F4207">
              <w:rPr>
                <w:rFonts w:cs="Arial"/>
                <w:sz w:val="20"/>
                <w:szCs w:val="20"/>
              </w:rPr>
              <w:t xml:space="preserve">The </w:t>
            </w:r>
            <w:r w:rsidR="005830A2">
              <w:rPr>
                <w:rFonts w:cs="Arial"/>
                <w:sz w:val="20"/>
                <w:szCs w:val="20"/>
              </w:rPr>
              <w:t>PQ Aquatics Syngnathids Wildlife Trade Operation</w:t>
            </w:r>
            <w:r w:rsidRPr="001F4207">
              <w:rPr>
                <w:rFonts w:cs="Arial"/>
                <w:sz w:val="20"/>
                <w:szCs w:val="20"/>
              </w:rPr>
              <w:t xml:space="preserve"> will not have a significant impact on any relevant ecosystem within the next </w:t>
            </w:r>
            <w:r w:rsidR="00E059C4" w:rsidRPr="00E059C4">
              <w:rPr>
                <w:rFonts w:cs="Arial"/>
                <w:b/>
                <w:sz w:val="20"/>
                <w:szCs w:val="20"/>
              </w:rPr>
              <w:t>3</w:t>
            </w:r>
            <w:r w:rsidRPr="00E059C4">
              <w:rPr>
                <w:rFonts w:cs="Arial"/>
                <w:b/>
                <w:sz w:val="20"/>
                <w:szCs w:val="20"/>
              </w:rPr>
              <w:t xml:space="preserve"> years</w:t>
            </w:r>
            <w:r w:rsidRPr="001F4207">
              <w:rPr>
                <w:rFonts w:cs="Arial"/>
                <w:sz w:val="20"/>
                <w:szCs w:val="20"/>
              </w:rPr>
              <w:t>, given the management measures currently in place, which include the arrangements described above at s303FN 3(b).</w:t>
            </w:r>
          </w:p>
          <w:p w14:paraId="7E32DF25" w14:textId="554A5B1D" w:rsidR="00DF3B87" w:rsidRPr="001F4207" w:rsidRDefault="00DF3B87" w:rsidP="00FC2EBF">
            <w:pPr>
              <w:spacing w:before="60" w:after="60" w:line="276" w:lineRule="auto"/>
              <w:contextualSpacing/>
              <w:rPr>
                <w:rFonts w:cs="Arial"/>
                <w:b/>
                <w:sz w:val="20"/>
                <w:szCs w:val="20"/>
              </w:rPr>
            </w:pPr>
          </w:p>
        </w:tc>
      </w:tr>
      <w:tr w:rsidR="00DF3B87" w:rsidRPr="001F4207" w14:paraId="7252F391" w14:textId="77777777" w:rsidTr="00696B61">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92D050"/>
          </w:tcPr>
          <w:p w14:paraId="3E6A221B" w14:textId="77777777" w:rsidR="00DF3B87" w:rsidRPr="001F4207" w:rsidRDefault="00DF3B87" w:rsidP="00FC2EBF">
            <w:pPr>
              <w:pStyle w:val="ListNumber2"/>
            </w:pPr>
            <w:r w:rsidRPr="001F4207">
              <w:t>(b)</w:t>
            </w:r>
            <w:r w:rsidRPr="001F4207">
              <w:tab/>
              <w:t>the effectiveness of the management arrangements for the operation (including monitoring procedures).</w:t>
            </w:r>
          </w:p>
          <w:p w14:paraId="6C1B27E2" w14:textId="05731D1F" w:rsidR="00DF3B87" w:rsidRPr="001F4207" w:rsidRDefault="00DF3B87" w:rsidP="00FC2EBF">
            <w:pPr>
              <w:pStyle w:val="ListNumber2"/>
            </w:pPr>
          </w:p>
        </w:tc>
        <w:tc>
          <w:tcPr>
            <w:tcW w:w="2500" w:type="pct"/>
            <w:shd w:val="clear" w:color="auto" w:fill="auto"/>
          </w:tcPr>
          <w:p w14:paraId="22E56732" w14:textId="77777777" w:rsidR="00DF3B87" w:rsidRPr="0080137A" w:rsidRDefault="00DF3B87" w:rsidP="00FC2EBF">
            <w:pPr>
              <w:spacing w:before="60" w:after="60" w:line="276" w:lineRule="auto"/>
              <w:contextualSpacing/>
              <w:rPr>
                <w:rFonts w:cs="Arial"/>
                <w:b/>
                <w:sz w:val="20"/>
                <w:szCs w:val="20"/>
              </w:rPr>
            </w:pPr>
            <w:r w:rsidRPr="0080137A">
              <w:rPr>
                <w:rFonts w:cs="Arial"/>
                <w:b/>
                <w:sz w:val="20"/>
                <w:szCs w:val="20"/>
              </w:rPr>
              <w:t>Meets</w:t>
            </w:r>
          </w:p>
          <w:p w14:paraId="35397CCB" w14:textId="4BFA630A" w:rsidR="00DF3B87" w:rsidRPr="001F4207" w:rsidRDefault="00DF3B87" w:rsidP="00FC2EBF">
            <w:pPr>
              <w:spacing w:before="60" w:after="60" w:line="276" w:lineRule="auto"/>
              <w:contextualSpacing/>
              <w:rPr>
                <w:rFonts w:cs="Arial"/>
                <w:sz w:val="20"/>
                <w:szCs w:val="20"/>
              </w:rPr>
            </w:pPr>
            <w:r w:rsidRPr="001F4207">
              <w:rPr>
                <w:rFonts w:cs="Arial"/>
                <w:sz w:val="20"/>
                <w:szCs w:val="20"/>
              </w:rPr>
              <w:t xml:space="preserve">The management arrangements that will be employed for the </w:t>
            </w:r>
            <w:r w:rsidR="00645E7E">
              <w:rPr>
                <w:rFonts w:cs="Arial"/>
                <w:sz w:val="20"/>
                <w:szCs w:val="20"/>
              </w:rPr>
              <w:t xml:space="preserve">Victorian </w:t>
            </w:r>
            <w:r w:rsidR="007242C9">
              <w:rPr>
                <w:rFonts w:cs="Arial"/>
                <w:sz w:val="20"/>
                <w:szCs w:val="20"/>
              </w:rPr>
              <w:t xml:space="preserve">PQ Aquatics </w:t>
            </w:r>
            <w:r w:rsidR="00645E7E">
              <w:rPr>
                <w:rFonts w:cs="Arial"/>
                <w:sz w:val="20"/>
                <w:szCs w:val="20"/>
              </w:rPr>
              <w:t>Syngnathids Wildlife Trade Operation</w:t>
            </w:r>
            <w:r w:rsidR="007242C9">
              <w:rPr>
                <w:rFonts w:cs="Arial"/>
                <w:sz w:val="20"/>
                <w:szCs w:val="20"/>
              </w:rPr>
              <w:t>,</w:t>
            </w:r>
            <w:r w:rsidRPr="001F4207">
              <w:rPr>
                <w:rFonts w:cs="Arial"/>
                <w:sz w:val="20"/>
                <w:szCs w:val="20"/>
              </w:rPr>
              <w:t xml:space="preserve"> as outlined in in the assessment against the Guidelines (above), are likely to be effective. </w:t>
            </w:r>
          </w:p>
          <w:p w14:paraId="68D5EF87" w14:textId="79754645" w:rsidR="00DF3B87" w:rsidRPr="001F4207" w:rsidRDefault="00DF3B87" w:rsidP="00FC2EBF">
            <w:pPr>
              <w:spacing w:before="60" w:after="60" w:line="276" w:lineRule="auto"/>
              <w:contextualSpacing/>
              <w:rPr>
                <w:rFonts w:cs="Arial"/>
                <w:b/>
                <w:sz w:val="20"/>
                <w:szCs w:val="20"/>
              </w:rPr>
            </w:pPr>
          </w:p>
        </w:tc>
      </w:tr>
      <w:tr w:rsidR="00DF3B87" w:rsidRPr="001F4207" w14:paraId="4B92FE55" w14:textId="77777777" w:rsidTr="00696B61">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92D050"/>
          </w:tcPr>
          <w:p w14:paraId="1F897613" w14:textId="4DD7CB90" w:rsidR="00DF3B87" w:rsidRPr="001F4207" w:rsidRDefault="00DF3B87" w:rsidP="00FC2EBF">
            <w:pPr>
              <w:pStyle w:val="ListNumber"/>
            </w:pPr>
            <w:r w:rsidRPr="001F4207">
              <w:t>(5)</w:t>
            </w:r>
            <w:r w:rsidRPr="001F4207">
              <w:tab/>
              <w:t xml:space="preserve">In deciding whether to declare an operation as an approved wildlife trade operation the Minister must have </w:t>
            </w:r>
            <w:r w:rsidRPr="001F4207">
              <w:rPr>
                <w:b/>
              </w:rPr>
              <w:t>regard</w:t>
            </w:r>
            <w:r w:rsidRPr="001F4207">
              <w:t xml:space="preserve"> to:</w:t>
            </w:r>
          </w:p>
          <w:p w14:paraId="7783753D" w14:textId="77777777" w:rsidR="00DF3B87" w:rsidRPr="001F4207" w:rsidRDefault="00DF3B87" w:rsidP="00FC2EBF">
            <w:pPr>
              <w:pStyle w:val="ListNumber2"/>
            </w:pPr>
            <w:r w:rsidRPr="001F4207">
              <w:t>(a)</w:t>
            </w:r>
            <w:r w:rsidRPr="001F4207">
              <w:tab/>
              <w:t>whether legislation relating to the protection, conservation or management of the specimens to which the operation relates is in force in the State or Territory concerned; and</w:t>
            </w:r>
          </w:p>
          <w:p w14:paraId="0935AA29" w14:textId="77777777" w:rsidR="00DF3B87" w:rsidRPr="001F4207" w:rsidRDefault="00DF3B87" w:rsidP="00FC2EBF">
            <w:pPr>
              <w:pStyle w:val="ListNumber2"/>
            </w:pPr>
            <w:r w:rsidRPr="001F4207">
              <w:t>(b)</w:t>
            </w:r>
            <w:r w:rsidRPr="001F4207">
              <w:tab/>
              <w:t>whether the legislation applies throughout the State or Territory concerned; and</w:t>
            </w:r>
          </w:p>
          <w:p w14:paraId="08AB3D67" w14:textId="77777777" w:rsidR="00DF3B87" w:rsidRPr="001F4207" w:rsidRDefault="00DF3B87" w:rsidP="00FC2EBF">
            <w:pPr>
              <w:pStyle w:val="ListNumber2"/>
            </w:pPr>
            <w:r w:rsidRPr="001F4207">
              <w:t>(c)</w:t>
            </w:r>
            <w:r w:rsidRPr="001F4207">
              <w:tab/>
              <w:t>whether, in the opinion of the Minister, the legislation is effective.</w:t>
            </w:r>
          </w:p>
          <w:p w14:paraId="273548CE" w14:textId="3AB19CEF" w:rsidR="00DF3B87" w:rsidRPr="001F4207" w:rsidRDefault="00DF3B87" w:rsidP="00FC2EBF">
            <w:pPr>
              <w:pStyle w:val="ListNumber2"/>
            </w:pPr>
          </w:p>
        </w:tc>
        <w:tc>
          <w:tcPr>
            <w:tcW w:w="2500" w:type="pct"/>
            <w:shd w:val="clear" w:color="auto" w:fill="auto"/>
          </w:tcPr>
          <w:p w14:paraId="6F6942B9" w14:textId="77777777" w:rsidR="00DF3B87" w:rsidRPr="007242C9" w:rsidRDefault="00DF3B87" w:rsidP="00FC2EBF">
            <w:pPr>
              <w:spacing w:before="60" w:after="60" w:line="276" w:lineRule="auto"/>
              <w:contextualSpacing/>
              <w:rPr>
                <w:rFonts w:cs="Arial"/>
                <w:b/>
                <w:sz w:val="20"/>
                <w:szCs w:val="20"/>
              </w:rPr>
            </w:pPr>
            <w:r w:rsidRPr="007242C9">
              <w:rPr>
                <w:rFonts w:cs="Arial"/>
                <w:b/>
                <w:sz w:val="20"/>
                <w:szCs w:val="20"/>
              </w:rPr>
              <w:t>Meets</w:t>
            </w:r>
          </w:p>
          <w:p w14:paraId="30321591" w14:textId="40242F1B" w:rsidR="00DF3B87" w:rsidRPr="001F4207" w:rsidRDefault="00DF3B87" w:rsidP="00FC2EBF">
            <w:pPr>
              <w:spacing w:before="60" w:after="60" w:line="276" w:lineRule="auto"/>
              <w:contextualSpacing/>
              <w:rPr>
                <w:rFonts w:cs="Arial"/>
                <w:sz w:val="20"/>
                <w:szCs w:val="20"/>
              </w:rPr>
            </w:pPr>
            <w:r w:rsidRPr="001F4207">
              <w:rPr>
                <w:rFonts w:cs="Arial"/>
                <w:sz w:val="20"/>
                <w:szCs w:val="20"/>
              </w:rPr>
              <w:t xml:space="preserve">The </w:t>
            </w:r>
            <w:r w:rsidR="00645E7E">
              <w:rPr>
                <w:rFonts w:cs="Arial"/>
                <w:sz w:val="20"/>
                <w:szCs w:val="20"/>
              </w:rPr>
              <w:t xml:space="preserve">Victorian </w:t>
            </w:r>
            <w:r w:rsidR="00EA4440">
              <w:rPr>
                <w:rFonts w:cs="Arial"/>
                <w:sz w:val="20"/>
                <w:szCs w:val="20"/>
              </w:rPr>
              <w:t xml:space="preserve">PQ Aquatics Syngnathids </w:t>
            </w:r>
            <w:r w:rsidR="0035611B">
              <w:rPr>
                <w:rFonts w:cs="Arial"/>
                <w:sz w:val="20"/>
                <w:szCs w:val="20"/>
              </w:rPr>
              <w:t>Wildlife Trade Operation</w:t>
            </w:r>
            <w:r w:rsidRPr="001F4207">
              <w:rPr>
                <w:rFonts w:cs="Arial"/>
                <w:b/>
                <w:sz w:val="20"/>
                <w:szCs w:val="20"/>
              </w:rPr>
              <w:t xml:space="preserve"> </w:t>
            </w:r>
            <w:r w:rsidRPr="001F4207">
              <w:rPr>
                <w:rFonts w:cs="Arial"/>
                <w:sz w:val="20"/>
                <w:szCs w:val="20"/>
              </w:rPr>
              <w:t>will be managed under</w:t>
            </w:r>
            <w:r w:rsidRPr="001F4207">
              <w:rPr>
                <w:rFonts w:cs="Arial"/>
                <w:color w:val="3366FF"/>
                <w:sz w:val="20"/>
                <w:szCs w:val="20"/>
              </w:rPr>
              <w:t xml:space="preserve"> </w:t>
            </w:r>
            <w:r w:rsidRPr="001F4207">
              <w:rPr>
                <w:rFonts w:cs="Arial"/>
                <w:sz w:val="20"/>
                <w:szCs w:val="20"/>
              </w:rPr>
              <w:t xml:space="preserve">the </w:t>
            </w:r>
            <w:r w:rsidR="002F0108" w:rsidRPr="0080137A">
              <w:rPr>
                <w:rFonts w:cs="Arial"/>
                <w:i/>
                <w:iCs/>
                <w:sz w:val="20"/>
                <w:szCs w:val="20"/>
              </w:rPr>
              <w:t>Fisheries Act 1995</w:t>
            </w:r>
            <w:r w:rsidR="002F0108">
              <w:rPr>
                <w:rFonts w:cs="Arial"/>
                <w:sz w:val="20"/>
                <w:szCs w:val="20"/>
              </w:rPr>
              <w:t xml:space="preserve"> (Vic)</w:t>
            </w:r>
            <w:r w:rsidRPr="001F4207">
              <w:rPr>
                <w:rFonts w:cs="Arial"/>
                <w:sz w:val="20"/>
                <w:szCs w:val="20"/>
              </w:rPr>
              <w:t xml:space="preserve"> and </w:t>
            </w:r>
            <w:r w:rsidR="002F0108" w:rsidRPr="008452F0">
              <w:rPr>
                <w:rFonts w:cs="Arial"/>
                <w:sz w:val="20"/>
                <w:szCs w:val="20"/>
              </w:rPr>
              <w:t>Fisheries Regulations 2019</w:t>
            </w:r>
            <w:r w:rsidR="002F0108">
              <w:rPr>
                <w:rFonts w:cs="Arial"/>
                <w:sz w:val="20"/>
                <w:szCs w:val="20"/>
              </w:rPr>
              <w:t xml:space="preserve"> (Vic).</w:t>
            </w:r>
          </w:p>
          <w:p w14:paraId="0C722AF4" w14:textId="77777777" w:rsidR="00DF3B87" w:rsidRPr="001F4207" w:rsidRDefault="00DF3B87" w:rsidP="00FC2EBF">
            <w:pPr>
              <w:spacing w:before="60" w:after="60" w:line="276" w:lineRule="auto"/>
              <w:contextualSpacing/>
              <w:rPr>
                <w:rFonts w:cs="Arial"/>
                <w:sz w:val="20"/>
                <w:szCs w:val="20"/>
              </w:rPr>
            </w:pPr>
          </w:p>
          <w:p w14:paraId="12E68CDD" w14:textId="7CACB6FB" w:rsidR="00DF3B87" w:rsidRPr="001F4207" w:rsidRDefault="00DF3B87" w:rsidP="00FC2EBF">
            <w:pPr>
              <w:spacing w:before="60" w:after="60" w:line="276" w:lineRule="auto"/>
              <w:contextualSpacing/>
              <w:rPr>
                <w:rFonts w:cs="Arial"/>
                <w:sz w:val="20"/>
                <w:szCs w:val="20"/>
              </w:rPr>
            </w:pPr>
            <w:r w:rsidRPr="001F4207">
              <w:rPr>
                <w:rFonts w:cs="Arial"/>
                <w:sz w:val="20"/>
                <w:szCs w:val="20"/>
              </w:rPr>
              <w:t xml:space="preserve">The </w:t>
            </w:r>
            <w:r w:rsidR="00536E71" w:rsidRPr="0080137A">
              <w:rPr>
                <w:rFonts w:cs="Arial"/>
                <w:i/>
                <w:iCs/>
                <w:sz w:val="20"/>
                <w:szCs w:val="20"/>
              </w:rPr>
              <w:t>Fisheries Act 1995</w:t>
            </w:r>
            <w:r w:rsidRPr="008452F0">
              <w:rPr>
                <w:rFonts w:cs="Arial"/>
                <w:iCs/>
                <w:sz w:val="20"/>
                <w:szCs w:val="20"/>
              </w:rPr>
              <w:t xml:space="preserve"> </w:t>
            </w:r>
            <w:r w:rsidR="008452F0" w:rsidRPr="008452F0">
              <w:rPr>
                <w:rFonts w:cs="Arial"/>
                <w:iCs/>
                <w:sz w:val="20"/>
                <w:szCs w:val="20"/>
              </w:rPr>
              <w:t>(Vic)</w:t>
            </w:r>
            <w:r w:rsidR="008452F0">
              <w:rPr>
                <w:rFonts w:cs="Arial"/>
                <w:i/>
                <w:sz w:val="20"/>
                <w:szCs w:val="20"/>
              </w:rPr>
              <w:t xml:space="preserve"> </w:t>
            </w:r>
            <w:r w:rsidRPr="001F4207">
              <w:rPr>
                <w:rFonts w:cs="Arial"/>
                <w:sz w:val="20"/>
                <w:szCs w:val="20"/>
              </w:rPr>
              <w:t xml:space="preserve">applies throughout </w:t>
            </w:r>
            <w:r w:rsidR="00536E71">
              <w:rPr>
                <w:rFonts w:cs="Arial"/>
                <w:sz w:val="20"/>
                <w:szCs w:val="20"/>
              </w:rPr>
              <w:t>Victorian</w:t>
            </w:r>
            <w:r w:rsidRPr="001F4207">
              <w:rPr>
                <w:rFonts w:cs="Arial"/>
                <w:sz w:val="20"/>
                <w:szCs w:val="20"/>
              </w:rPr>
              <w:t xml:space="preserve"> waters.</w:t>
            </w:r>
          </w:p>
          <w:p w14:paraId="31B6B2EF" w14:textId="77777777" w:rsidR="00DF3B87" w:rsidRPr="001F4207" w:rsidRDefault="00DF3B87" w:rsidP="00FC2EBF">
            <w:pPr>
              <w:spacing w:before="60" w:after="60" w:line="276" w:lineRule="auto"/>
              <w:contextualSpacing/>
              <w:rPr>
                <w:rFonts w:cs="Arial"/>
                <w:sz w:val="20"/>
                <w:szCs w:val="20"/>
              </w:rPr>
            </w:pPr>
          </w:p>
          <w:p w14:paraId="48FB3A97" w14:textId="2C953B71" w:rsidR="00DF3B87" w:rsidRPr="001F4207" w:rsidRDefault="00DF3B87" w:rsidP="00FC2EBF">
            <w:pPr>
              <w:spacing w:before="60" w:after="60" w:line="276" w:lineRule="auto"/>
              <w:contextualSpacing/>
              <w:rPr>
                <w:rFonts w:cs="Arial"/>
                <w:sz w:val="20"/>
                <w:szCs w:val="20"/>
              </w:rPr>
            </w:pPr>
            <w:r w:rsidRPr="001F4207">
              <w:rPr>
                <w:rFonts w:cs="Arial"/>
                <w:sz w:val="20"/>
                <w:szCs w:val="20"/>
              </w:rPr>
              <w:t xml:space="preserve">The </w:t>
            </w:r>
            <w:r w:rsidR="008452F0">
              <w:rPr>
                <w:rFonts w:cs="Arial"/>
                <w:sz w:val="20"/>
                <w:szCs w:val="20"/>
              </w:rPr>
              <w:t>d</w:t>
            </w:r>
            <w:r w:rsidRPr="001F4207">
              <w:rPr>
                <w:rFonts w:cs="Arial"/>
                <w:sz w:val="20"/>
                <w:szCs w:val="20"/>
              </w:rPr>
              <w:t>epartment considers that the legislation is likely to be effective.</w:t>
            </w:r>
          </w:p>
          <w:p w14:paraId="6F2294B8" w14:textId="77777777" w:rsidR="00DF3B87" w:rsidRDefault="00DF3B87" w:rsidP="00FC2EBF">
            <w:pPr>
              <w:spacing w:before="60" w:after="60" w:line="276" w:lineRule="auto"/>
              <w:contextualSpacing/>
              <w:rPr>
                <w:rFonts w:cs="Arial"/>
                <w:b/>
                <w:sz w:val="20"/>
                <w:szCs w:val="20"/>
              </w:rPr>
            </w:pPr>
          </w:p>
          <w:p w14:paraId="4236CE3E" w14:textId="5E25E72D" w:rsidR="00536E71" w:rsidRPr="001F4207" w:rsidRDefault="00536E71" w:rsidP="00FC2EBF">
            <w:pPr>
              <w:spacing w:before="60" w:after="60" w:line="276" w:lineRule="auto"/>
              <w:contextualSpacing/>
              <w:rPr>
                <w:rFonts w:cs="Arial"/>
                <w:b/>
                <w:sz w:val="20"/>
                <w:szCs w:val="20"/>
              </w:rPr>
            </w:pPr>
          </w:p>
        </w:tc>
      </w:tr>
      <w:tr w:rsidR="00DF3B87" w:rsidRPr="001F4207" w14:paraId="060036F7" w14:textId="77777777" w:rsidTr="00EB5F82">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92D050"/>
          </w:tcPr>
          <w:p w14:paraId="6EE05E75" w14:textId="0A04F26A" w:rsidR="00DF3B87" w:rsidRPr="001F4207" w:rsidRDefault="00DF3B87" w:rsidP="00FC2EBF">
            <w:pPr>
              <w:pStyle w:val="ListNumber"/>
            </w:pPr>
            <w:r w:rsidRPr="001F4207">
              <w:t>(10)</w:t>
            </w:r>
            <w:r w:rsidRPr="001F4207">
              <w:tab/>
              <w:t>For the purposes of section 303FN, an operation is a wildlife trade operation if, an only if, the operation is an operation for the taking of specimens and:</w:t>
            </w:r>
          </w:p>
          <w:p w14:paraId="2C5F58DC" w14:textId="77777777" w:rsidR="00DF3B87" w:rsidRPr="001F4207" w:rsidRDefault="00DF3B87" w:rsidP="00FC2EBF">
            <w:pPr>
              <w:pStyle w:val="ListNumber2"/>
            </w:pPr>
            <w:r w:rsidRPr="001F4207">
              <w:t>(a)</w:t>
            </w:r>
            <w:r w:rsidRPr="001F4207">
              <w:tab/>
              <w:t>the operation is a commercial fishery.</w:t>
            </w:r>
          </w:p>
          <w:p w14:paraId="09ABE326" w14:textId="60E0AB7D" w:rsidR="00DF3B87" w:rsidRPr="001F4207" w:rsidRDefault="00DF3B87" w:rsidP="00FC2EBF">
            <w:pPr>
              <w:pStyle w:val="ListNumber2"/>
            </w:pPr>
          </w:p>
        </w:tc>
        <w:tc>
          <w:tcPr>
            <w:tcW w:w="2500" w:type="pct"/>
            <w:shd w:val="clear" w:color="auto" w:fill="auto"/>
          </w:tcPr>
          <w:p w14:paraId="059F8B62" w14:textId="706F2A37" w:rsidR="00AA7DA1" w:rsidRDefault="00AA7DA1" w:rsidP="00AA5E9D">
            <w:pPr>
              <w:spacing w:before="60" w:after="60" w:line="276" w:lineRule="auto"/>
              <w:contextualSpacing/>
              <w:rPr>
                <w:rFonts w:cs="Arial"/>
                <w:b/>
                <w:sz w:val="20"/>
                <w:szCs w:val="20"/>
              </w:rPr>
            </w:pPr>
            <w:r>
              <w:rPr>
                <w:rFonts w:cs="Arial"/>
                <w:b/>
                <w:sz w:val="20"/>
                <w:szCs w:val="20"/>
              </w:rPr>
              <w:t>Meets</w:t>
            </w:r>
          </w:p>
          <w:p w14:paraId="2235D384" w14:textId="772FC93B" w:rsidR="00AA7DA1" w:rsidRPr="001F4207" w:rsidRDefault="00AA7DA1" w:rsidP="00AA5E9D">
            <w:pPr>
              <w:spacing w:before="60" w:after="60" w:line="276" w:lineRule="auto"/>
              <w:contextualSpacing/>
              <w:rPr>
                <w:rFonts w:cs="Arial"/>
                <w:b/>
                <w:sz w:val="20"/>
                <w:szCs w:val="20"/>
              </w:rPr>
            </w:pPr>
            <w:r>
              <w:rPr>
                <w:rFonts w:cs="Arial"/>
                <w:sz w:val="20"/>
                <w:szCs w:val="20"/>
              </w:rPr>
              <w:t>Victorian PQ Aquatics Syngnathids Wildlife Trade Operation is a small scale commercial fishery</w:t>
            </w:r>
            <w:r w:rsidR="00645E7E">
              <w:rPr>
                <w:rFonts w:cs="Arial"/>
                <w:sz w:val="20"/>
                <w:szCs w:val="20"/>
              </w:rPr>
              <w:t>.</w:t>
            </w:r>
          </w:p>
        </w:tc>
      </w:tr>
      <w:tr w:rsidR="003C3B62" w:rsidRPr="001F4207" w14:paraId="631A20D1" w14:textId="77777777" w:rsidTr="00211477">
        <w:trPr>
          <w:cnfStyle w:val="000000100000" w:firstRow="0" w:lastRow="0" w:firstColumn="0" w:lastColumn="0" w:oddVBand="0" w:evenVBand="0" w:oddHBand="1" w:evenHBand="0" w:firstRowFirstColumn="0" w:firstRowLastColumn="0" w:lastRowFirstColumn="0" w:lastRowLastColumn="0"/>
          <w:trHeight w:val="6795"/>
        </w:trPr>
        <w:tc>
          <w:tcPr>
            <w:tcW w:w="2500" w:type="pct"/>
          </w:tcPr>
          <w:p w14:paraId="3F44EDE3" w14:textId="77777777" w:rsidR="003C3B62" w:rsidRPr="001F4207" w:rsidRDefault="003C3B62" w:rsidP="00FC2EBF">
            <w:pPr>
              <w:pStyle w:val="ListNumber"/>
            </w:pPr>
            <w:r w:rsidRPr="001F4207">
              <w:t>(10A)</w:t>
            </w:r>
            <w:r w:rsidRPr="001F4207">
              <w:tab/>
              <w:t xml:space="preserve">In deciding whether to declare that a commercial fishery is an approved wildlife trade operation for the purposes of this section, the Minister must rely primarily on the outcomes of any assessment in relation to the fishery carried out for the purposes of Division 1 or 2 of Part 10. </w:t>
            </w:r>
          </w:p>
          <w:p w14:paraId="6F24B61D" w14:textId="77777777" w:rsidR="00D84E36" w:rsidRDefault="00D84E36" w:rsidP="00FC2EBF">
            <w:pPr>
              <w:pStyle w:val="ListNumber"/>
            </w:pPr>
          </w:p>
          <w:p w14:paraId="3D10784A" w14:textId="72DBA3B8" w:rsidR="003C3B62" w:rsidRPr="001F4207" w:rsidRDefault="00D84E36" w:rsidP="00FC2EBF">
            <w:pPr>
              <w:pStyle w:val="ListNumber"/>
            </w:pPr>
            <w:r w:rsidRPr="001F4207">
              <w:t xml:space="preserve"> </w:t>
            </w:r>
            <w:r w:rsidR="003C3B62" w:rsidRPr="001F4207">
              <w:t>(10B)</w:t>
            </w:r>
            <w:r w:rsidR="003C3B62" w:rsidRPr="001F4207">
              <w:tab/>
              <w:t>Subsection (10A) does not limit the matters that may be taken into account in deciding whether to declare that a fishery is an approved wildlife trade operation for the purposes of this section.</w:t>
            </w:r>
          </w:p>
          <w:p w14:paraId="723E213C" w14:textId="52670278" w:rsidR="003C3B62" w:rsidRPr="001F4207" w:rsidRDefault="003C3B62" w:rsidP="00FC2EBF">
            <w:pPr>
              <w:pStyle w:val="ListNumber"/>
            </w:pPr>
          </w:p>
        </w:tc>
        <w:tc>
          <w:tcPr>
            <w:tcW w:w="2500" w:type="pct"/>
            <w:shd w:val="clear" w:color="auto" w:fill="auto"/>
          </w:tcPr>
          <w:p w14:paraId="081BA2FE" w14:textId="77777777" w:rsidR="003C3B62" w:rsidRPr="00534FE7" w:rsidRDefault="003C3B62" w:rsidP="003C3B62">
            <w:pPr>
              <w:keepNext/>
              <w:spacing w:before="80" w:after="80" w:line="276" w:lineRule="auto"/>
              <w:contextualSpacing/>
              <w:rPr>
                <w:rFonts w:cs="Arial"/>
                <w:b/>
                <w:sz w:val="20"/>
                <w:szCs w:val="20"/>
              </w:rPr>
            </w:pPr>
            <w:r w:rsidRPr="00534FE7">
              <w:rPr>
                <w:rFonts w:cs="Arial"/>
                <w:b/>
                <w:sz w:val="20"/>
                <w:szCs w:val="20"/>
              </w:rPr>
              <w:t>Not applicable</w:t>
            </w:r>
          </w:p>
          <w:p w14:paraId="75E1CCBE" w14:textId="1382DAC4" w:rsidR="003C3B62" w:rsidRPr="00534FE7" w:rsidRDefault="003C3B62" w:rsidP="00944E7F">
            <w:pPr>
              <w:rPr>
                <w:rFonts w:cs="Arial"/>
                <w:sz w:val="20"/>
                <w:szCs w:val="20"/>
              </w:rPr>
            </w:pPr>
            <w:r w:rsidRPr="00534FE7">
              <w:rPr>
                <w:rFonts w:cs="Arial"/>
                <w:sz w:val="20"/>
                <w:szCs w:val="20"/>
              </w:rPr>
              <w:t xml:space="preserve">There has been no request or agreement to assess the </w:t>
            </w:r>
            <w:r w:rsidR="00AA5E9D" w:rsidRPr="00534FE7">
              <w:rPr>
                <w:rFonts w:cs="Arial"/>
                <w:sz w:val="20"/>
                <w:szCs w:val="20"/>
              </w:rPr>
              <w:t>operation</w:t>
            </w:r>
            <w:r w:rsidRPr="00534FE7">
              <w:rPr>
                <w:rFonts w:cs="Arial"/>
                <w:sz w:val="20"/>
                <w:szCs w:val="20"/>
              </w:rPr>
              <w:t xml:space="preserve"> under Part 10 Division 1, and the fishery is not managed by the Commonwealth, so Part 10 Division 2 does not apply.</w:t>
            </w:r>
          </w:p>
          <w:p w14:paraId="16130E7B" w14:textId="77777777" w:rsidR="00FD3033" w:rsidRDefault="00FD3033" w:rsidP="003C3B62">
            <w:pPr>
              <w:spacing w:before="60" w:after="60" w:line="276" w:lineRule="auto"/>
              <w:contextualSpacing/>
              <w:rPr>
                <w:rFonts w:cs="Arial"/>
              </w:rPr>
            </w:pPr>
          </w:p>
          <w:p w14:paraId="4AC59234" w14:textId="77777777" w:rsidR="00407EB3" w:rsidRPr="00407EB3" w:rsidRDefault="00407EB3" w:rsidP="00407EB3">
            <w:pPr>
              <w:rPr>
                <w:rFonts w:cs="Arial"/>
                <w:sz w:val="20"/>
                <w:szCs w:val="20"/>
              </w:rPr>
            </w:pPr>
          </w:p>
          <w:p w14:paraId="00BF1B0F" w14:textId="77777777" w:rsidR="00407EB3" w:rsidRPr="00407EB3" w:rsidRDefault="00407EB3" w:rsidP="00407EB3">
            <w:pPr>
              <w:rPr>
                <w:rFonts w:cs="Arial"/>
                <w:sz w:val="20"/>
                <w:szCs w:val="20"/>
              </w:rPr>
            </w:pPr>
          </w:p>
          <w:p w14:paraId="7A71282A" w14:textId="77777777" w:rsidR="00407EB3" w:rsidRPr="00407EB3" w:rsidRDefault="00407EB3" w:rsidP="00407EB3">
            <w:pPr>
              <w:rPr>
                <w:rFonts w:cs="Arial"/>
                <w:sz w:val="20"/>
                <w:szCs w:val="20"/>
              </w:rPr>
            </w:pPr>
          </w:p>
          <w:p w14:paraId="50A3AA11" w14:textId="77777777" w:rsidR="00407EB3" w:rsidRPr="00407EB3" w:rsidRDefault="00407EB3" w:rsidP="00407EB3">
            <w:pPr>
              <w:rPr>
                <w:rFonts w:cs="Arial"/>
                <w:sz w:val="20"/>
                <w:szCs w:val="20"/>
              </w:rPr>
            </w:pPr>
          </w:p>
          <w:p w14:paraId="37A5E6C4" w14:textId="77777777" w:rsidR="00407EB3" w:rsidRPr="00407EB3" w:rsidRDefault="00407EB3" w:rsidP="00407EB3">
            <w:pPr>
              <w:rPr>
                <w:rFonts w:cs="Arial"/>
                <w:sz w:val="20"/>
                <w:szCs w:val="20"/>
              </w:rPr>
            </w:pPr>
          </w:p>
          <w:p w14:paraId="04BC993B" w14:textId="77777777" w:rsidR="00407EB3" w:rsidRPr="00407EB3" w:rsidRDefault="00407EB3" w:rsidP="00407EB3">
            <w:pPr>
              <w:rPr>
                <w:rFonts w:cs="Arial"/>
                <w:sz w:val="20"/>
                <w:szCs w:val="20"/>
              </w:rPr>
            </w:pPr>
          </w:p>
          <w:p w14:paraId="4162757D" w14:textId="77777777" w:rsidR="00407EB3" w:rsidRPr="00407EB3" w:rsidRDefault="00407EB3" w:rsidP="00407EB3">
            <w:pPr>
              <w:rPr>
                <w:rFonts w:cs="Arial"/>
                <w:sz w:val="20"/>
                <w:szCs w:val="20"/>
              </w:rPr>
            </w:pPr>
          </w:p>
          <w:p w14:paraId="548DE86B" w14:textId="029BF6CD" w:rsidR="00407EB3" w:rsidRPr="00407EB3" w:rsidRDefault="00407EB3" w:rsidP="00407EB3">
            <w:pPr>
              <w:rPr>
                <w:rFonts w:cs="Arial"/>
                <w:sz w:val="20"/>
                <w:szCs w:val="20"/>
              </w:rPr>
            </w:pPr>
          </w:p>
        </w:tc>
      </w:tr>
      <w:tr w:rsidR="00DF3B87" w:rsidRPr="001F4207" w14:paraId="32060519" w14:textId="77777777" w:rsidTr="00CC77AB">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D9D9D9" w:themeFill="background1" w:themeFillShade="D9"/>
            <w:vAlign w:val="center"/>
          </w:tcPr>
          <w:p w14:paraId="7FAC38A3" w14:textId="60FCFF5A" w:rsidR="00DF3B87" w:rsidRPr="001F4207" w:rsidRDefault="00DF3B87" w:rsidP="001E460F">
            <w:pPr>
              <w:keepNext/>
              <w:spacing w:before="60" w:after="60" w:line="276" w:lineRule="auto"/>
              <w:ind w:left="539" w:hanging="539"/>
              <w:contextualSpacing/>
              <w:jc w:val="center"/>
              <w:rPr>
                <w:rFonts w:cs="Arial"/>
                <w:sz w:val="20"/>
                <w:szCs w:val="20"/>
                <w:highlight w:val="cyan"/>
              </w:rPr>
            </w:pPr>
            <w:r w:rsidRPr="001F4207">
              <w:rPr>
                <w:rFonts w:cs="Arial"/>
                <w:b/>
                <w:sz w:val="20"/>
                <w:szCs w:val="20"/>
              </w:rPr>
              <w:t xml:space="preserve">Section 303FR Public consultation </w:t>
            </w:r>
          </w:p>
        </w:tc>
        <w:tc>
          <w:tcPr>
            <w:tcW w:w="2500" w:type="pct"/>
            <w:shd w:val="clear" w:color="auto" w:fill="D9D9D9" w:themeFill="background1" w:themeFillShade="D9"/>
            <w:vAlign w:val="center"/>
          </w:tcPr>
          <w:p w14:paraId="0D05C93E" w14:textId="1EC893B4" w:rsidR="00DF3B87" w:rsidRPr="001F4207" w:rsidRDefault="00DF3B87" w:rsidP="001E460F">
            <w:pPr>
              <w:keepNext/>
              <w:spacing w:before="60" w:after="60" w:line="276" w:lineRule="auto"/>
              <w:contextualSpacing/>
              <w:jc w:val="center"/>
              <w:rPr>
                <w:rFonts w:cs="Arial"/>
                <w:b/>
                <w:sz w:val="20"/>
                <w:szCs w:val="20"/>
              </w:rPr>
            </w:pPr>
            <w:r w:rsidRPr="001F4207">
              <w:rPr>
                <w:rFonts w:cs="Arial"/>
                <w:b/>
                <w:sz w:val="20"/>
                <w:szCs w:val="20"/>
              </w:rPr>
              <w:t>Comment</w:t>
            </w:r>
          </w:p>
        </w:tc>
      </w:tr>
      <w:tr w:rsidR="007A0140" w:rsidRPr="001F4207" w14:paraId="051815FF" w14:textId="77777777" w:rsidTr="00534FE7">
        <w:trPr>
          <w:cnfStyle w:val="000000100000" w:firstRow="0" w:lastRow="0" w:firstColumn="0" w:lastColumn="0" w:oddVBand="0" w:evenVBand="0" w:oddHBand="1" w:evenHBand="0" w:firstRowFirstColumn="0" w:firstRowLastColumn="0" w:lastRowFirstColumn="0" w:lastRowLastColumn="0"/>
          <w:trHeight w:val="5155"/>
        </w:trPr>
        <w:tc>
          <w:tcPr>
            <w:tcW w:w="2500" w:type="pct"/>
            <w:shd w:val="clear" w:color="auto" w:fill="92D050"/>
          </w:tcPr>
          <w:p w14:paraId="394E7B7A" w14:textId="5CB7E6DC" w:rsidR="007A0140" w:rsidRPr="001F4207" w:rsidRDefault="007A0140" w:rsidP="00FC2EBF">
            <w:pPr>
              <w:pStyle w:val="ListNumber"/>
            </w:pPr>
            <w:r w:rsidRPr="001F4207">
              <w:t>(1)</w:t>
            </w:r>
            <w:r w:rsidRPr="001F4207">
              <w:tab/>
              <w:t>Before making a declaration under section 303FN, the Minister must cause to be published on the Internet a notice:</w:t>
            </w:r>
          </w:p>
          <w:p w14:paraId="12E3BD75" w14:textId="6CC41823" w:rsidR="007A0140" w:rsidRPr="001F4207" w:rsidRDefault="007A0140" w:rsidP="00FC2EBF">
            <w:pPr>
              <w:pStyle w:val="ListNumber2"/>
            </w:pPr>
            <w:r w:rsidRPr="001F4207">
              <w:t>(a)</w:t>
            </w:r>
            <w:r w:rsidRPr="001F4207">
              <w:tab/>
              <w:t>setting out the proposal to make the declaration; and</w:t>
            </w:r>
          </w:p>
          <w:p w14:paraId="45E7E594" w14:textId="63B2FB12" w:rsidR="007A0140" w:rsidRPr="001F4207" w:rsidRDefault="007A0140" w:rsidP="00FC2EBF">
            <w:pPr>
              <w:pStyle w:val="ListNumber2"/>
            </w:pPr>
            <w:r w:rsidRPr="001F4207">
              <w:t>(b)</w:t>
            </w:r>
            <w:r w:rsidRPr="001F4207">
              <w:tab/>
              <w:t>setting out sufficient information to enable persons and organisations to consider adequately the merits of the proposal; and</w:t>
            </w:r>
          </w:p>
          <w:p w14:paraId="6C5F41D2" w14:textId="2C8A724B" w:rsidR="007A0140" w:rsidRPr="001F4207" w:rsidRDefault="007A0140" w:rsidP="00FC2EBF">
            <w:pPr>
              <w:pStyle w:val="ListNumber2"/>
            </w:pPr>
            <w:r w:rsidRPr="001F4207">
              <w:t>(c)</w:t>
            </w:r>
            <w:r w:rsidRPr="001F4207">
              <w:tab/>
              <w:t>inviting persons and organisations to give the Minister, within the period specified in the notice, written comments about the proposal.</w:t>
            </w:r>
          </w:p>
          <w:p w14:paraId="6B09D91F" w14:textId="77777777" w:rsidR="007A0140" w:rsidRPr="001F4207" w:rsidRDefault="007A0140" w:rsidP="00FC2EBF">
            <w:pPr>
              <w:pStyle w:val="ListNumber"/>
            </w:pPr>
            <w:r w:rsidRPr="001F4207">
              <w:t>(2)</w:t>
            </w:r>
            <w:r w:rsidRPr="001F4207">
              <w:tab/>
              <w:t>A period specified in the notice must not be shorter than 20 business days after the date on which the notice was published on the Internet.</w:t>
            </w:r>
          </w:p>
          <w:p w14:paraId="6BDE7C87" w14:textId="77777777" w:rsidR="007A0140" w:rsidRPr="001F4207" w:rsidRDefault="007A0140" w:rsidP="00FC2EBF">
            <w:pPr>
              <w:pStyle w:val="ListNumber"/>
            </w:pPr>
            <w:r w:rsidRPr="001F4207">
              <w:t>(3)</w:t>
            </w:r>
            <w:r w:rsidRPr="001F4207">
              <w:tab/>
              <w:t>In making a decision about whether to make a declaration under section 303FN, the Minister must consider any comments about the proposal to make the declaration that were given in response to the invitation in the notice.</w:t>
            </w:r>
          </w:p>
          <w:p w14:paraId="0C500D63" w14:textId="1D5DCB67" w:rsidR="007A0140" w:rsidRPr="001F4207" w:rsidRDefault="007A0140" w:rsidP="00FC2EBF">
            <w:pPr>
              <w:pStyle w:val="ListNumber"/>
            </w:pPr>
          </w:p>
        </w:tc>
        <w:tc>
          <w:tcPr>
            <w:tcW w:w="2500" w:type="pct"/>
            <w:shd w:val="clear" w:color="auto" w:fill="auto"/>
          </w:tcPr>
          <w:p w14:paraId="63CA731B" w14:textId="77777777" w:rsidR="007A0140" w:rsidRPr="00EB495F" w:rsidRDefault="007A0140" w:rsidP="00FC2EBF">
            <w:pPr>
              <w:spacing w:before="60" w:after="60" w:line="276" w:lineRule="auto"/>
              <w:contextualSpacing/>
              <w:rPr>
                <w:rFonts w:cs="Arial"/>
                <w:b/>
                <w:sz w:val="20"/>
                <w:szCs w:val="20"/>
              </w:rPr>
            </w:pPr>
            <w:r w:rsidRPr="00EB495F">
              <w:rPr>
                <w:rFonts w:cs="Arial"/>
                <w:b/>
                <w:sz w:val="20"/>
                <w:szCs w:val="20"/>
              </w:rPr>
              <w:t>Meets</w:t>
            </w:r>
          </w:p>
          <w:p w14:paraId="63998218" w14:textId="2934D89F" w:rsidR="007A0140" w:rsidRPr="001F4207" w:rsidRDefault="007A0140" w:rsidP="00FC2EBF">
            <w:pPr>
              <w:spacing w:before="60" w:after="60" w:line="276" w:lineRule="auto"/>
              <w:contextualSpacing/>
              <w:rPr>
                <w:rFonts w:cs="Arial"/>
                <w:iCs/>
                <w:sz w:val="20"/>
                <w:szCs w:val="20"/>
              </w:rPr>
            </w:pPr>
            <w:r w:rsidRPr="001F4207">
              <w:rPr>
                <w:rFonts w:cs="Arial"/>
                <w:iCs/>
                <w:sz w:val="20"/>
                <w:szCs w:val="20"/>
              </w:rPr>
              <w:t xml:space="preserve">A public notice, which set out the proposal to declare </w:t>
            </w:r>
            <w:r w:rsidR="009425BD">
              <w:rPr>
                <w:rFonts w:cs="Arial"/>
                <w:iCs/>
                <w:sz w:val="20"/>
                <w:szCs w:val="20"/>
              </w:rPr>
              <w:t>PQ Aquatics</w:t>
            </w:r>
            <w:r w:rsidRPr="001F4207">
              <w:rPr>
                <w:rFonts w:cs="Arial"/>
                <w:iCs/>
                <w:sz w:val="20"/>
                <w:szCs w:val="20"/>
              </w:rPr>
              <w:t xml:space="preserve"> an approved </w:t>
            </w:r>
            <w:r w:rsidR="00B42EAF">
              <w:rPr>
                <w:rFonts w:cs="Arial"/>
                <w:iCs/>
                <w:sz w:val="20"/>
                <w:szCs w:val="20"/>
              </w:rPr>
              <w:t>W</w:t>
            </w:r>
            <w:r w:rsidRPr="001F4207">
              <w:rPr>
                <w:rFonts w:cs="Arial"/>
                <w:iCs/>
                <w:sz w:val="20"/>
                <w:szCs w:val="20"/>
              </w:rPr>
              <w:t xml:space="preserve">ildlife </w:t>
            </w:r>
            <w:r w:rsidR="00B42EAF">
              <w:rPr>
                <w:rFonts w:cs="Arial"/>
                <w:iCs/>
                <w:sz w:val="20"/>
                <w:szCs w:val="20"/>
              </w:rPr>
              <w:t>T</w:t>
            </w:r>
            <w:r w:rsidRPr="001F4207">
              <w:rPr>
                <w:rFonts w:cs="Arial"/>
                <w:iCs/>
                <w:sz w:val="20"/>
                <w:szCs w:val="20"/>
              </w:rPr>
              <w:t xml:space="preserve">rade </w:t>
            </w:r>
            <w:r w:rsidR="00B42EAF">
              <w:rPr>
                <w:rFonts w:cs="Arial"/>
                <w:iCs/>
                <w:sz w:val="20"/>
                <w:szCs w:val="20"/>
              </w:rPr>
              <w:t>O</w:t>
            </w:r>
            <w:r w:rsidRPr="001F4207">
              <w:rPr>
                <w:rFonts w:cs="Arial"/>
                <w:iCs/>
                <w:sz w:val="20"/>
                <w:szCs w:val="20"/>
              </w:rPr>
              <w:t xml:space="preserve">peration and included the application from </w:t>
            </w:r>
            <w:r w:rsidR="007F3E54">
              <w:rPr>
                <w:rFonts w:cs="Arial"/>
                <w:iCs/>
                <w:sz w:val="20"/>
                <w:szCs w:val="20"/>
              </w:rPr>
              <w:t>Mr Pang Quong</w:t>
            </w:r>
            <w:r w:rsidRPr="001F4207">
              <w:rPr>
                <w:rFonts w:cs="Arial"/>
                <w:iCs/>
                <w:sz w:val="20"/>
                <w:szCs w:val="20"/>
              </w:rPr>
              <w:t xml:space="preserve">, was released for public comment </w:t>
            </w:r>
            <w:r w:rsidR="00AA0DFA">
              <w:rPr>
                <w:rFonts w:cs="Arial"/>
                <w:iCs/>
                <w:sz w:val="20"/>
                <w:szCs w:val="20"/>
              </w:rPr>
              <w:t>from</w:t>
            </w:r>
            <w:r w:rsidRPr="001F4207">
              <w:rPr>
                <w:rFonts w:cs="Arial"/>
                <w:iCs/>
                <w:sz w:val="20"/>
                <w:szCs w:val="20"/>
              </w:rPr>
              <w:t xml:space="preserve"> </w:t>
            </w:r>
            <w:r w:rsidR="007F3E54">
              <w:rPr>
                <w:rFonts w:cs="Arial"/>
                <w:sz w:val="20"/>
                <w:szCs w:val="20"/>
              </w:rPr>
              <w:t>24 June 2021 to 23 July 2021</w:t>
            </w:r>
            <w:r w:rsidRPr="001F4207">
              <w:rPr>
                <w:rFonts w:cs="Arial"/>
                <w:iCs/>
                <w:sz w:val="20"/>
                <w:szCs w:val="20"/>
              </w:rPr>
              <w:t xml:space="preserve">, </w:t>
            </w:r>
            <w:r w:rsidR="007F3E54">
              <w:rPr>
                <w:rFonts w:cs="Arial"/>
                <w:iCs/>
                <w:sz w:val="20"/>
                <w:szCs w:val="20"/>
              </w:rPr>
              <w:t xml:space="preserve">for a minimum of 20 business days. </w:t>
            </w:r>
            <w:r w:rsidRPr="001F4207">
              <w:rPr>
                <w:rFonts w:cs="Arial"/>
                <w:iCs/>
                <w:sz w:val="20"/>
                <w:szCs w:val="20"/>
              </w:rPr>
              <w:t>No public comments about the proposal were received.</w:t>
            </w:r>
            <w:r w:rsidR="00C53CC4">
              <w:rPr>
                <w:rFonts w:cs="Arial"/>
                <w:iCs/>
                <w:sz w:val="20"/>
                <w:szCs w:val="20"/>
              </w:rPr>
              <w:t xml:space="preserve"> </w:t>
            </w:r>
            <w:r w:rsidR="00C53CC4" w:rsidRPr="00C53CC4">
              <w:rPr>
                <w:rFonts w:cs="Arial"/>
                <w:iCs/>
                <w:sz w:val="20"/>
                <w:szCs w:val="20"/>
              </w:rPr>
              <w:t xml:space="preserve">An additional invitation to </w:t>
            </w:r>
            <w:r w:rsidR="00C53CC4">
              <w:rPr>
                <w:rFonts w:cs="Arial"/>
                <w:iCs/>
                <w:sz w:val="20"/>
                <w:szCs w:val="20"/>
              </w:rPr>
              <w:t>comment or raise concerns</w:t>
            </w:r>
            <w:r w:rsidR="00C53CC4" w:rsidRPr="00C53CC4">
              <w:rPr>
                <w:rFonts w:cs="Arial"/>
                <w:iCs/>
                <w:sz w:val="20"/>
                <w:szCs w:val="20"/>
              </w:rPr>
              <w:t xml:space="preserve"> was </w:t>
            </w:r>
            <w:r w:rsidR="00FF0ADC">
              <w:rPr>
                <w:rFonts w:cs="Arial"/>
                <w:iCs/>
                <w:sz w:val="20"/>
                <w:szCs w:val="20"/>
              </w:rPr>
              <w:t>provided</w:t>
            </w:r>
            <w:r w:rsidR="00C53CC4" w:rsidRPr="00C53CC4">
              <w:rPr>
                <w:rFonts w:cs="Arial"/>
                <w:iCs/>
                <w:sz w:val="20"/>
                <w:szCs w:val="20"/>
              </w:rPr>
              <w:t xml:space="preserve"> to the Victorian Fisheries Authority (VFA) on 15 November 2021</w:t>
            </w:r>
            <w:r w:rsidR="00C556BC">
              <w:rPr>
                <w:rFonts w:cs="Arial"/>
                <w:iCs/>
                <w:sz w:val="20"/>
                <w:szCs w:val="20"/>
              </w:rPr>
              <w:t xml:space="preserve">. The VFA </w:t>
            </w:r>
            <w:r w:rsidR="00A5399A">
              <w:rPr>
                <w:rFonts w:cs="Arial"/>
                <w:iCs/>
                <w:sz w:val="20"/>
                <w:szCs w:val="20"/>
              </w:rPr>
              <w:t xml:space="preserve">has no concerns or comments regarding the renewed approval of PQ Aquatics as a </w:t>
            </w:r>
            <w:r w:rsidR="00CF0321">
              <w:rPr>
                <w:rFonts w:cs="Arial"/>
                <w:iCs/>
                <w:sz w:val="20"/>
                <w:szCs w:val="20"/>
              </w:rPr>
              <w:t>W</w:t>
            </w:r>
            <w:r w:rsidR="00A5399A">
              <w:rPr>
                <w:rFonts w:cs="Arial"/>
                <w:iCs/>
                <w:sz w:val="20"/>
                <w:szCs w:val="20"/>
              </w:rPr>
              <w:t xml:space="preserve">ildlife </w:t>
            </w:r>
            <w:r w:rsidR="00CF0321">
              <w:rPr>
                <w:rFonts w:cs="Arial"/>
                <w:iCs/>
                <w:sz w:val="20"/>
                <w:szCs w:val="20"/>
              </w:rPr>
              <w:t>T</w:t>
            </w:r>
            <w:r w:rsidR="00A5399A">
              <w:rPr>
                <w:rFonts w:cs="Arial"/>
                <w:iCs/>
                <w:sz w:val="20"/>
                <w:szCs w:val="20"/>
              </w:rPr>
              <w:t xml:space="preserve">rade </w:t>
            </w:r>
            <w:r w:rsidR="00CF0321">
              <w:rPr>
                <w:rFonts w:cs="Arial"/>
                <w:iCs/>
                <w:sz w:val="20"/>
                <w:szCs w:val="20"/>
              </w:rPr>
              <w:t>O</w:t>
            </w:r>
            <w:r w:rsidR="00A5399A">
              <w:rPr>
                <w:rFonts w:cs="Arial"/>
                <w:iCs/>
                <w:sz w:val="20"/>
                <w:szCs w:val="20"/>
              </w:rPr>
              <w:t>peration.</w:t>
            </w:r>
          </w:p>
          <w:p w14:paraId="761E57B8" w14:textId="72E0FE30" w:rsidR="007A0140" w:rsidRPr="001F4207" w:rsidRDefault="007A0140" w:rsidP="00FC2EBF">
            <w:pPr>
              <w:spacing w:before="60" w:after="60" w:line="276" w:lineRule="auto"/>
              <w:contextualSpacing/>
              <w:rPr>
                <w:rFonts w:cs="Arial"/>
                <w:b/>
                <w:sz w:val="20"/>
                <w:szCs w:val="20"/>
              </w:rPr>
            </w:pPr>
            <w:r w:rsidRPr="001F4207">
              <w:rPr>
                <w:rFonts w:cs="Arial"/>
                <w:iCs/>
                <w:sz w:val="20"/>
                <w:szCs w:val="20"/>
              </w:rPr>
              <w:t xml:space="preserve"> </w:t>
            </w:r>
          </w:p>
        </w:tc>
      </w:tr>
      <w:tr w:rsidR="00DF3B87" w:rsidRPr="001F4207" w14:paraId="7891866A" w14:textId="77777777" w:rsidTr="00CC77AB">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D9D9D9" w:themeFill="background1" w:themeFillShade="D9"/>
            <w:vAlign w:val="center"/>
          </w:tcPr>
          <w:p w14:paraId="6C0B4DF5" w14:textId="53CC3909" w:rsidR="00DF3B87" w:rsidRPr="001F4207" w:rsidRDefault="00DF3B87" w:rsidP="00FC2EBF">
            <w:pPr>
              <w:spacing w:before="60" w:after="60" w:line="276" w:lineRule="auto"/>
              <w:ind w:left="360" w:hanging="360"/>
              <w:contextualSpacing/>
              <w:jc w:val="center"/>
              <w:rPr>
                <w:rFonts w:cs="Arial"/>
                <w:sz w:val="20"/>
                <w:szCs w:val="20"/>
              </w:rPr>
            </w:pPr>
            <w:r w:rsidRPr="001F4207">
              <w:rPr>
                <w:rFonts w:cs="Arial"/>
                <w:b/>
                <w:sz w:val="20"/>
                <w:szCs w:val="20"/>
              </w:rPr>
              <w:t xml:space="preserve">Section 303FT Additional provisions relating to declarations </w:t>
            </w:r>
          </w:p>
        </w:tc>
        <w:tc>
          <w:tcPr>
            <w:tcW w:w="2500" w:type="pct"/>
            <w:shd w:val="clear" w:color="auto" w:fill="D9D9D9" w:themeFill="background1" w:themeFillShade="D9"/>
            <w:vAlign w:val="center"/>
          </w:tcPr>
          <w:p w14:paraId="08BA9277" w14:textId="48DB3479" w:rsidR="00DF3B87" w:rsidRPr="001F4207" w:rsidRDefault="00DF3B87" w:rsidP="00FC2EBF">
            <w:pPr>
              <w:spacing w:before="60" w:after="60" w:line="276" w:lineRule="auto"/>
              <w:contextualSpacing/>
              <w:jc w:val="center"/>
              <w:rPr>
                <w:rFonts w:cs="Arial"/>
                <w:b/>
                <w:iCs/>
                <w:sz w:val="20"/>
                <w:szCs w:val="20"/>
              </w:rPr>
            </w:pPr>
            <w:r w:rsidRPr="001F4207">
              <w:rPr>
                <w:rFonts w:cs="Arial"/>
                <w:b/>
                <w:sz w:val="20"/>
                <w:szCs w:val="20"/>
              </w:rPr>
              <w:t>Comments</w:t>
            </w:r>
          </w:p>
        </w:tc>
      </w:tr>
      <w:tr w:rsidR="00DF3B87" w:rsidRPr="001F4207" w14:paraId="70ECFDED" w14:textId="77777777" w:rsidTr="00CC77AB">
        <w:trPr>
          <w:cnfStyle w:val="000000100000" w:firstRow="0" w:lastRow="0" w:firstColumn="0" w:lastColumn="0" w:oddVBand="0" w:evenVBand="0" w:oddHBand="1" w:evenHBand="0" w:firstRowFirstColumn="0" w:firstRowLastColumn="0" w:lastRowFirstColumn="0" w:lastRowLastColumn="0"/>
        </w:trPr>
        <w:tc>
          <w:tcPr>
            <w:tcW w:w="2500" w:type="pct"/>
          </w:tcPr>
          <w:p w14:paraId="386BEE9E" w14:textId="1663C4FA" w:rsidR="00DF3B87" w:rsidRPr="001F4207" w:rsidRDefault="00DF3B87" w:rsidP="00FC2EBF">
            <w:pPr>
              <w:pStyle w:val="ListNumber"/>
            </w:pPr>
            <w:r w:rsidRPr="001F4207">
              <w:t>(1)</w:t>
            </w:r>
            <w:r w:rsidRPr="001F4207">
              <w:tab/>
              <w:t>This section applies to a declaration made under section 303FN, 303FO or 303FP.</w:t>
            </w:r>
          </w:p>
        </w:tc>
        <w:tc>
          <w:tcPr>
            <w:tcW w:w="2500" w:type="pct"/>
            <w:shd w:val="clear" w:color="auto" w:fill="auto"/>
          </w:tcPr>
          <w:p w14:paraId="1FADFDC4" w14:textId="639ADC8A" w:rsidR="00DF3B87" w:rsidRPr="001F4207" w:rsidRDefault="00DF3B87" w:rsidP="00FC2EBF">
            <w:pPr>
              <w:spacing w:before="60" w:after="60" w:line="276" w:lineRule="auto"/>
              <w:contextualSpacing/>
              <w:rPr>
                <w:rFonts w:cs="Arial"/>
                <w:b/>
                <w:iCs/>
                <w:sz w:val="20"/>
                <w:szCs w:val="20"/>
              </w:rPr>
            </w:pPr>
            <w:r w:rsidRPr="001F4207">
              <w:rPr>
                <w:rFonts w:cs="Arial"/>
                <w:sz w:val="20"/>
                <w:szCs w:val="20"/>
              </w:rPr>
              <w:t xml:space="preserve">A declaration for the </w:t>
            </w:r>
            <w:r w:rsidR="00645E7E">
              <w:rPr>
                <w:rFonts w:cs="Arial"/>
                <w:sz w:val="20"/>
                <w:szCs w:val="20"/>
              </w:rPr>
              <w:t xml:space="preserve">Victorian </w:t>
            </w:r>
            <w:r w:rsidR="00CB5240">
              <w:rPr>
                <w:rFonts w:cs="Arial"/>
                <w:sz w:val="20"/>
                <w:szCs w:val="20"/>
              </w:rPr>
              <w:t>PQ Aquatics Syngnathids Wildlife Trade Operation</w:t>
            </w:r>
            <w:r w:rsidRPr="001F4207">
              <w:rPr>
                <w:rFonts w:cs="Arial"/>
                <w:sz w:val="20"/>
                <w:szCs w:val="20"/>
              </w:rPr>
              <w:t xml:space="preserve"> will be made under section 303FN.</w:t>
            </w:r>
          </w:p>
        </w:tc>
      </w:tr>
      <w:tr w:rsidR="00DF3B87" w:rsidRPr="001F4207" w14:paraId="3FE1C85F" w14:textId="77777777" w:rsidTr="00CC77AB">
        <w:trPr>
          <w:cnfStyle w:val="000000010000" w:firstRow="0" w:lastRow="0" w:firstColumn="0" w:lastColumn="0" w:oddVBand="0" w:evenVBand="0" w:oddHBand="0" w:evenHBand="1" w:firstRowFirstColumn="0" w:firstRowLastColumn="0" w:lastRowFirstColumn="0" w:lastRowLastColumn="0"/>
        </w:trPr>
        <w:tc>
          <w:tcPr>
            <w:tcW w:w="2500" w:type="pct"/>
          </w:tcPr>
          <w:p w14:paraId="09D9E527" w14:textId="41851D69" w:rsidR="00DF3B87" w:rsidRPr="001F4207" w:rsidRDefault="00DF3B87" w:rsidP="00FC2EBF">
            <w:pPr>
              <w:pStyle w:val="ListNumber"/>
            </w:pPr>
            <w:r w:rsidRPr="001F4207">
              <w:t>(4)</w:t>
            </w:r>
            <w:r w:rsidRPr="001F4207">
              <w:tab/>
              <w:t>The Minister may make a declaration about a plan or operation even though he or she considers that the plan or operation should be the subject of the declaration only:</w:t>
            </w:r>
          </w:p>
          <w:p w14:paraId="588AB7D9" w14:textId="5C6303ED" w:rsidR="00DF3B87" w:rsidRPr="001F4207" w:rsidRDefault="00DF3B87" w:rsidP="00FC2EBF">
            <w:pPr>
              <w:pStyle w:val="ListNumber2"/>
            </w:pPr>
            <w:r w:rsidRPr="001F4207">
              <w:t>(a)</w:t>
            </w:r>
            <w:r w:rsidRPr="001F4207">
              <w:tab/>
              <w:t>during a particular period; or</w:t>
            </w:r>
          </w:p>
          <w:p w14:paraId="5CBBE9A2" w14:textId="5D9A9395" w:rsidR="00DF3B87" w:rsidRPr="001F4207" w:rsidRDefault="00DF3B87" w:rsidP="00FC2EBF">
            <w:pPr>
              <w:pStyle w:val="ListNumber2"/>
            </w:pPr>
            <w:r w:rsidRPr="001F4207">
              <w:t>(b)</w:t>
            </w:r>
            <w:r w:rsidRPr="001F4207">
              <w:tab/>
              <w:t>while certain circumstances exist; or</w:t>
            </w:r>
          </w:p>
          <w:p w14:paraId="2FFEC89D" w14:textId="0E1C97F8" w:rsidR="00DF3B87" w:rsidRPr="001F4207" w:rsidRDefault="00DF3B87" w:rsidP="00FC2EBF">
            <w:pPr>
              <w:pStyle w:val="ListNumber2"/>
            </w:pPr>
            <w:r w:rsidRPr="001F4207">
              <w:t>(c)</w:t>
            </w:r>
            <w:r w:rsidRPr="001F4207">
              <w:tab/>
              <w:t>while a certain condition is complied with.</w:t>
            </w:r>
          </w:p>
          <w:p w14:paraId="207C4E45" w14:textId="77777777" w:rsidR="00DF3B87" w:rsidRPr="001F4207" w:rsidRDefault="00DF3B87" w:rsidP="00FC2EBF">
            <w:pPr>
              <w:spacing w:before="60" w:after="60" w:line="276" w:lineRule="auto"/>
              <w:contextualSpacing/>
              <w:rPr>
                <w:rFonts w:cs="Arial"/>
                <w:sz w:val="20"/>
                <w:szCs w:val="20"/>
              </w:rPr>
            </w:pPr>
            <w:r w:rsidRPr="001F4207">
              <w:rPr>
                <w:rFonts w:cs="Arial"/>
                <w:sz w:val="20"/>
                <w:szCs w:val="20"/>
              </w:rPr>
              <w:t>In such a case, the instrument of declaration is to specify the period, circumstances or condition.</w:t>
            </w:r>
          </w:p>
          <w:p w14:paraId="2BD49449" w14:textId="1A8A8EDB" w:rsidR="00DF3B87" w:rsidRPr="001F4207" w:rsidRDefault="00DF3B87" w:rsidP="00FC2EBF">
            <w:pPr>
              <w:pStyle w:val="ListNumber"/>
            </w:pPr>
          </w:p>
        </w:tc>
        <w:tc>
          <w:tcPr>
            <w:tcW w:w="2500" w:type="pct"/>
            <w:shd w:val="clear" w:color="auto" w:fill="auto"/>
          </w:tcPr>
          <w:p w14:paraId="7D3F6858" w14:textId="6594313A" w:rsidR="00DF3B87" w:rsidRPr="001F4207" w:rsidRDefault="00DF3B87" w:rsidP="00FC2EBF">
            <w:pPr>
              <w:spacing w:before="60" w:after="60" w:line="276" w:lineRule="auto"/>
              <w:contextualSpacing/>
              <w:rPr>
                <w:rFonts w:cs="Arial"/>
                <w:sz w:val="20"/>
                <w:szCs w:val="20"/>
              </w:rPr>
            </w:pPr>
            <w:r w:rsidRPr="001F4207">
              <w:rPr>
                <w:rFonts w:cs="Arial"/>
                <w:sz w:val="20"/>
                <w:szCs w:val="20"/>
              </w:rPr>
              <w:t xml:space="preserve">The standard conditions applied to commercial </w:t>
            </w:r>
            <w:r w:rsidR="00E5768A">
              <w:rPr>
                <w:rFonts w:cs="Arial"/>
                <w:sz w:val="20"/>
                <w:szCs w:val="20"/>
              </w:rPr>
              <w:t>W</w:t>
            </w:r>
            <w:r w:rsidRPr="001F4207">
              <w:rPr>
                <w:rFonts w:cs="Arial"/>
                <w:iCs/>
                <w:sz w:val="20"/>
                <w:szCs w:val="20"/>
              </w:rPr>
              <w:t xml:space="preserve">ildlife </w:t>
            </w:r>
            <w:r w:rsidR="00DD6230">
              <w:rPr>
                <w:rFonts w:cs="Arial"/>
                <w:iCs/>
                <w:sz w:val="20"/>
                <w:szCs w:val="20"/>
              </w:rPr>
              <w:t>T</w:t>
            </w:r>
            <w:r w:rsidRPr="001F4207">
              <w:rPr>
                <w:rFonts w:cs="Arial"/>
                <w:iCs/>
                <w:sz w:val="20"/>
                <w:szCs w:val="20"/>
              </w:rPr>
              <w:t xml:space="preserve">rade </w:t>
            </w:r>
            <w:r w:rsidR="00DD6230">
              <w:rPr>
                <w:rFonts w:cs="Arial"/>
                <w:iCs/>
                <w:sz w:val="20"/>
                <w:szCs w:val="20"/>
              </w:rPr>
              <w:t>O</w:t>
            </w:r>
            <w:r w:rsidRPr="001F4207">
              <w:rPr>
                <w:rFonts w:cs="Arial"/>
                <w:iCs/>
                <w:sz w:val="20"/>
                <w:szCs w:val="20"/>
              </w:rPr>
              <w:t>perations</w:t>
            </w:r>
            <w:r w:rsidRPr="001F4207">
              <w:rPr>
                <w:rFonts w:cs="Arial"/>
                <w:sz w:val="20"/>
                <w:szCs w:val="20"/>
              </w:rPr>
              <w:t xml:space="preserve"> include:</w:t>
            </w:r>
          </w:p>
          <w:p w14:paraId="0492F507" w14:textId="77777777" w:rsidR="00DF3B87" w:rsidRPr="001F4207" w:rsidRDefault="00DF3B87" w:rsidP="00FC2EBF">
            <w:pPr>
              <w:pStyle w:val="ListBullet"/>
              <w:rPr>
                <w:szCs w:val="20"/>
              </w:rPr>
            </w:pPr>
            <w:r w:rsidRPr="001F4207">
              <w:rPr>
                <w:szCs w:val="20"/>
              </w:rPr>
              <w:t>operation in accordance with the management regime</w:t>
            </w:r>
          </w:p>
          <w:p w14:paraId="14CEC72A" w14:textId="5EF7A0F1" w:rsidR="00DF3B87" w:rsidRPr="001F4207" w:rsidRDefault="00DF3B87" w:rsidP="00FC2EBF">
            <w:pPr>
              <w:pStyle w:val="ListBullet"/>
              <w:rPr>
                <w:szCs w:val="20"/>
              </w:rPr>
            </w:pPr>
            <w:r w:rsidRPr="001F4207">
              <w:rPr>
                <w:szCs w:val="20"/>
              </w:rPr>
              <w:t xml:space="preserve">notifying the </w:t>
            </w:r>
            <w:r w:rsidR="00DD6230">
              <w:rPr>
                <w:szCs w:val="20"/>
              </w:rPr>
              <w:t>d</w:t>
            </w:r>
            <w:r w:rsidRPr="001F4207">
              <w:rPr>
                <w:szCs w:val="20"/>
              </w:rPr>
              <w:t>epartment of changes to the management regime, and</w:t>
            </w:r>
          </w:p>
          <w:p w14:paraId="5BBB63E2" w14:textId="77777777" w:rsidR="00DF3B87" w:rsidRPr="001F4207" w:rsidRDefault="00DF3B87" w:rsidP="00FC2EBF">
            <w:pPr>
              <w:pStyle w:val="ListBullet"/>
              <w:rPr>
                <w:szCs w:val="20"/>
              </w:rPr>
            </w:pPr>
            <w:r w:rsidRPr="001F4207">
              <w:rPr>
                <w:szCs w:val="20"/>
              </w:rPr>
              <w:t xml:space="preserve">annual reporting in accordance with the requirements of the Australian Government </w:t>
            </w:r>
            <w:r w:rsidRPr="006865C6">
              <w:rPr>
                <w:i/>
                <w:iCs/>
                <w:szCs w:val="20"/>
              </w:rPr>
              <w:t>Guidelines for the Ecologically Sustainable Management of Fisheries – 2nd Edition</w:t>
            </w:r>
            <w:r w:rsidRPr="001F4207">
              <w:rPr>
                <w:szCs w:val="20"/>
              </w:rPr>
              <w:t>.</w:t>
            </w:r>
          </w:p>
          <w:p w14:paraId="3250E5D8" w14:textId="2255DDC0" w:rsidR="00DF3B87" w:rsidRPr="001F4207" w:rsidRDefault="00DF3B87" w:rsidP="00FC2EBF">
            <w:pPr>
              <w:spacing w:before="60" w:after="60" w:line="276" w:lineRule="auto"/>
              <w:contextualSpacing/>
              <w:rPr>
                <w:rFonts w:cs="Arial"/>
                <w:sz w:val="20"/>
                <w:szCs w:val="20"/>
              </w:rPr>
            </w:pPr>
            <w:r w:rsidRPr="001F4207">
              <w:rPr>
                <w:rFonts w:cs="Arial"/>
                <w:sz w:val="20"/>
                <w:szCs w:val="20"/>
              </w:rPr>
              <w:t xml:space="preserve">The </w:t>
            </w:r>
            <w:r w:rsidR="00DD6230">
              <w:rPr>
                <w:rFonts w:cs="Arial"/>
                <w:sz w:val="20"/>
                <w:szCs w:val="20"/>
              </w:rPr>
              <w:t>W</w:t>
            </w:r>
            <w:r w:rsidRPr="001F4207">
              <w:rPr>
                <w:rFonts w:cs="Arial"/>
                <w:iCs/>
                <w:sz w:val="20"/>
                <w:szCs w:val="20"/>
              </w:rPr>
              <w:t xml:space="preserve">ildlife </w:t>
            </w:r>
            <w:r w:rsidR="00DD6230">
              <w:rPr>
                <w:rFonts w:cs="Arial"/>
                <w:iCs/>
                <w:sz w:val="20"/>
                <w:szCs w:val="20"/>
              </w:rPr>
              <w:t>T</w:t>
            </w:r>
            <w:r w:rsidRPr="001F4207">
              <w:rPr>
                <w:rFonts w:cs="Arial"/>
                <w:iCs/>
                <w:sz w:val="20"/>
                <w:szCs w:val="20"/>
              </w:rPr>
              <w:t xml:space="preserve">rade </w:t>
            </w:r>
            <w:r w:rsidR="00DD6230">
              <w:rPr>
                <w:rFonts w:cs="Arial"/>
                <w:iCs/>
                <w:sz w:val="20"/>
                <w:szCs w:val="20"/>
              </w:rPr>
              <w:t>O</w:t>
            </w:r>
            <w:r w:rsidRPr="001F4207">
              <w:rPr>
                <w:rFonts w:cs="Arial"/>
                <w:iCs/>
                <w:sz w:val="20"/>
                <w:szCs w:val="20"/>
              </w:rPr>
              <w:t xml:space="preserve">peration </w:t>
            </w:r>
            <w:r w:rsidRPr="001F4207">
              <w:rPr>
                <w:rFonts w:cs="Arial"/>
                <w:sz w:val="20"/>
                <w:szCs w:val="20"/>
              </w:rPr>
              <w:t xml:space="preserve">instrument for the </w:t>
            </w:r>
            <w:r w:rsidR="006865C6">
              <w:rPr>
                <w:rFonts w:cs="Arial"/>
                <w:sz w:val="20"/>
                <w:szCs w:val="20"/>
              </w:rPr>
              <w:t>PQ Aquatics</w:t>
            </w:r>
            <w:r w:rsidRPr="001F4207">
              <w:rPr>
                <w:rFonts w:cs="Arial"/>
                <w:sz w:val="20"/>
                <w:szCs w:val="20"/>
              </w:rPr>
              <w:t xml:space="preserve"> specifies the standard and any additional conditions applied.</w:t>
            </w:r>
          </w:p>
          <w:p w14:paraId="154980E0" w14:textId="7CF2285E" w:rsidR="00DF3B87" w:rsidRPr="001F4207" w:rsidRDefault="00DF3B87" w:rsidP="00FC2EBF">
            <w:pPr>
              <w:spacing w:before="60" w:after="60" w:line="276" w:lineRule="auto"/>
              <w:contextualSpacing/>
              <w:rPr>
                <w:rFonts w:cs="Arial"/>
                <w:b/>
                <w:iCs/>
                <w:sz w:val="20"/>
                <w:szCs w:val="20"/>
              </w:rPr>
            </w:pPr>
          </w:p>
        </w:tc>
      </w:tr>
      <w:tr w:rsidR="00DF3B87" w:rsidRPr="001F4207" w14:paraId="48D7EE06" w14:textId="77777777" w:rsidTr="00CC77AB">
        <w:trPr>
          <w:cnfStyle w:val="000000100000" w:firstRow="0" w:lastRow="0" w:firstColumn="0" w:lastColumn="0" w:oddVBand="0" w:evenVBand="0" w:oddHBand="1" w:evenHBand="0" w:firstRowFirstColumn="0" w:firstRowLastColumn="0" w:lastRowFirstColumn="0" w:lastRowLastColumn="0"/>
        </w:trPr>
        <w:tc>
          <w:tcPr>
            <w:tcW w:w="2500" w:type="pct"/>
          </w:tcPr>
          <w:p w14:paraId="05649E3A" w14:textId="77777777" w:rsidR="00DF3B87" w:rsidRPr="001F4207" w:rsidRDefault="00DF3B87" w:rsidP="00FC2EBF">
            <w:pPr>
              <w:pStyle w:val="ListNumber"/>
            </w:pPr>
            <w:r w:rsidRPr="001F4207">
              <w:t>(8)</w:t>
            </w:r>
            <w:r w:rsidRPr="001F4207">
              <w:tab/>
              <w:t>A condition may relate to reporting or monitoring.</w:t>
            </w:r>
          </w:p>
          <w:p w14:paraId="73CB78BE" w14:textId="0016C8C1" w:rsidR="00DF3B87" w:rsidRPr="001F4207" w:rsidRDefault="00DF3B87" w:rsidP="00FC2EBF">
            <w:pPr>
              <w:pStyle w:val="ListNumber"/>
            </w:pPr>
          </w:p>
        </w:tc>
        <w:tc>
          <w:tcPr>
            <w:tcW w:w="2500" w:type="pct"/>
            <w:shd w:val="clear" w:color="auto" w:fill="auto"/>
          </w:tcPr>
          <w:p w14:paraId="5FE3FFC4" w14:textId="79BBF5D9" w:rsidR="00DF3B87" w:rsidRPr="001F4207" w:rsidRDefault="00DF3B87" w:rsidP="00FC2EBF">
            <w:pPr>
              <w:spacing w:before="60" w:after="60" w:line="276" w:lineRule="auto"/>
              <w:contextualSpacing/>
              <w:rPr>
                <w:rFonts w:cs="Arial"/>
                <w:b/>
                <w:iCs/>
                <w:sz w:val="20"/>
                <w:szCs w:val="20"/>
              </w:rPr>
            </w:pPr>
            <w:r w:rsidRPr="001F4207">
              <w:rPr>
                <w:rFonts w:cs="Arial"/>
                <w:sz w:val="20"/>
                <w:szCs w:val="20"/>
              </w:rPr>
              <w:t>One of the standard conditions relates to reporting.</w:t>
            </w:r>
          </w:p>
        </w:tc>
      </w:tr>
      <w:tr w:rsidR="00DF3B87" w:rsidRPr="001F4207" w14:paraId="4E07C6FF" w14:textId="77777777" w:rsidTr="00CC77AB">
        <w:trPr>
          <w:cnfStyle w:val="000000010000" w:firstRow="0" w:lastRow="0" w:firstColumn="0" w:lastColumn="0" w:oddVBand="0" w:evenVBand="0" w:oddHBand="0" w:evenHBand="1" w:firstRowFirstColumn="0" w:firstRowLastColumn="0" w:lastRowFirstColumn="0" w:lastRowLastColumn="0"/>
        </w:trPr>
        <w:tc>
          <w:tcPr>
            <w:tcW w:w="2500" w:type="pct"/>
          </w:tcPr>
          <w:p w14:paraId="052031A4" w14:textId="77777777" w:rsidR="00DF3B87" w:rsidRPr="001F4207" w:rsidRDefault="00DF3B87" w:rsidP="00FC2EBF">
            <w:pPr>
              <w:pStyle w:val="ListNumber"/>
            </w:pPr>
            <w:r w:rsidRPr="001F4207">
              <w:t>(9)</w:t>
            </w:r>
            <w:r w:rsidRPr="001F4207">
              <w:tab/>
              <w:t xml:space="preserve">The Minister must, by instrument published in the </w:t>
            </w:r>
            <w:r w:rsidRPr="001F4207">
              <w:rPr>
                <w:i/>
              </w:rPr>
              <w:t>Gazette</w:t>
            </w:r>
            <w:r w:rsidRPr="001F4207">
              <w:t>, revoke a declaration if he or she is satisfied that a condition of the declaration has been contravened.</w:t>
            </w:r>
          </w:p>
          <w:p w14:paraId="53464FBC" w14:textId="3F1D036C" w:rsidR="00DF3B87" w:rsidRPr="001F4207" w:rsidRDefault="00DF3B87" w:rsidP="00FC2EBF">
            <w:pPr>
              <w:pStyle w:val="ListNumber"/>
            </w:pPr>
          </w:p>
        </w:tc>
        <w:tc>
          <w:tcPr>
            <w:tcW w:w="2500" w:type="pct"/>
            <w:shd w:val="clear" w:color="auto" w:fill="auto"/>
          </w:tcPr>
          <w:p w14:paraId="4B6DCABE" w14:textId="764F79D3" w:rsidR="00DF3B87" w:rsidRPr="00CD6081" w:rsidRDefault="006865C6" w:rsidP="00FC2EBF">
            <w:pPr>
              <w:spacing w:before="60" w:after="60" w:line="276" w:lineRule="auto"/>
              <w:contextualSpacing/>
              <w:rPr>
                <w:rFonts w:cs="Arial"/>
                <w:b/>
                <w:bCs/>
                <w:sz w:val="20"/>
                <w:szCs w:val="20"/>
              </w:rPr>
            </w:pPr>
            <w:r w:rsidRPr="00CD6081">
              <w:rPr>
                <w:rFonts w:cs="Arial"/>
                <w:b/>
                <w:bCs/>
                <w:sz w:val="20"/>
                <w:szCs w:val="20"/>
              </w:rPr>
              <w:t>Not applicable</w:t>
            </w:r>
          </w:p>
        </w:tc>
      </w:tr>
    </w:tbl>
    <w:p w14:paraId="328821C1" w14:textId="77777777" w:rsidR="00C61F76" w:rsidRPr="00FC2EBF" w:rsidRDefault="00C61F76" w:rsidP="00FC2EBF"/>
    <w:p w14:paraId="14E9DF07" w14:textId="7C16E3AF" w:rsidR="009F053A" w:rsidRPr="00FC2EBF" w:rsidRDefault="009F053A" w:rsidP="00FC2EBF">
      <w:pPr>
        <w:pStyle w:val="Heading2"/>
      </w:pPr>
      <w:bookmarkStart w:id="13" w:name="_Toc90501208"/>
      <w:r w:rsidRPr="00FC2EBF">
        <w:t>Part 16</w:t>
      </w:r>
      <w:r w:rsidR="007F1ABC" w:rsidRPr="00FC2EBF">
        <w:t xml:space="preserve"> </w:t>
      </w:r>
      <w:r w:rsidR="00F73C73" w:rsidRPr="00FC2EBF">
        <w:t>– Precautionary principle and other considerations in making decisions</w:t>
      </w:r>
      <w:bookmarkEnd w:id="13"/>
    </w:p>
    <w:tbl>
      <w:tblPr>
        <w:tblStyle w:val="TableGrid"/>
        <w:tblW w:w="5000" w:type="pct"/>
        <w:tblLook w:val="04A0" w:firstRow="1" w:lastRow="0" w:firstColumn="1" w:lastColumn="0" w:noHBand="0" w:noVBand="1"/>
      </w:tblPr>
      <w:tblGrid>
        <w:gridCol w:w="7421"/>
        <w:gridCol w:w="7422"/>
      </w:tblGrid>
      <w:tr w:rsidR="00227603" w:rsidRPr="00CC77AB" w14:paraId="3BE2E755" w14:textId="77777777" w:rsidTr="00CC77AB">
        <w:trPr>
          <w:cnfStyle w:val="100000000000" w:firstRow="1" w:lastRow="0" w:firstColumn="0" w:lastColumn="0" w:oddVBand="0" w:evenVBand="0" w:oddHBand="0" w:evenHBand="0" w:firstRowFirstColumn="0" w:firstRowLastColumn="0" w:lastRowFirstColumn="0" w:lastRowLastColumn="0"/>
        </w:trPr>
        <w:tc>
          <w:tcPr>
            <w:tcW w:w="2500" w:type="pct"/>
            <w:shd w:val="clear" w:color="auto" w:fill="D9D9D9" w:themeFill="background1" w:themeFillShade="D9"/>
            <w:vAlign w:val="center"/>
          </w:tcPr>
          <w:p w14:paraId="6B1DC830" w14:textId="7492A6B0" w:rsidR="00227603" w:rsidRPr="00CC77AB" w:rsidRDefault="00227603" w:rsidP="00FC2EBF">
            <w:pPr>
              <w:spacing w:before="60" w:after="60" w:line="276" w:lineRule="auto"/>
              <w:ind w:left="426" w:hanging="426"/>
              <w:contextualSpacing/>
              <w:jc w:val="center"/>
              <w:rPr>
                <w:rFonts w:cs="Arial"/>
                <w:b/>
                <w:sz w:val="20"/>
                <w:szCs w:val="20"/>
              </w:rPr>
            </w:pPr>
            <w:r w:rsidRPr="00CC77AB">
              <w:rPr>
                <w:rFonts w:cs="Arial"/>
                <w:b/>
                <w:sz w:val="20"/>
                <w:szCs w:val="20"/>
              </w:rPr>
              <w:t>Section 391 Minister must consider precautionary principle in making decisions</w:t>
            </w:r>
          </w:p>
        </w:tc>
        <w:tc>
          <w:tcPr>
            <w:tcW w:w="2500" w:type="pct"/>
            <w:shd w:val="clear" w:color="auto" w:fill="D9D9D9" w:themeFill="background1" w:themeFillShade="D9"/>
            <w:vAlign w:val="center"/>
          </w:tcPr>
          <w:p w14:paraId="7095BF90" w14:textId="77777777" w:rsidR="00227603" w:rsidRPr="00CC77AB" w:rsidRDefault="00227603" w:rsidP="00FC2EBF">
            <w:pPr>
              <w:spacing w:before="60" w:after="60" w:line="276" w:lineRule="auto"/>
              <w:contextualSpacing/>
              <w:jc w:val="center"/>
              <w:rPr>
                <w:rFonts w:cs="Arial"/>
                <w:b/>
                <w:sz w:val="20"/>
                <w:szCs w:val="20"/>
              </w:rPr>
            </w:pPr>
            <w:r w:rsidRPr="00CC77AB">
              <w:rPr>
                <w:rFonts w:cs="Arial"/>
                <w:b/>
                <w:sz w:val="20"/>
                <w:szCs w:val="20"/>
              </w:rPr>
              <w:t>Comment</w:t>
            </w:r>
          </w:p>
        </w:tc>
      </w:tr>
      <w:tr w:rsidR="00227603" w:rsidRPr="00CC77AB" w14:paraId="2C506DC9" w14:textId="77777777" w:rsidTr="00534FE7">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92D050"/>
          </w:tcPr>
          <w:p w14:paraId="3CA4F7CF" w14:textId="1AD57C1B" w:rsidR="00287189" w:rsidRPr="00CC77AB" w:rsidRDefault="00A961C6" w:rsidP="00FC2EBF">
            <w:pPr>
              <w:pStyle w:val="ListNumber"/>
            </w:pPr>
            <w:r w:rsidRPr="00CC77AB">
              <w:t>(1)</w:t>
            </w:r>
            <w:r w:rsidRPr="00CC77AB">
              <w:tab/>
            </w:r>
            <w:r w:rsidR="00227603" w:rsidRPr="00CC77AB">
              <w:t xml:space="preserve">Minister must take account of </w:t>
            </w:r>
            <w:r w:rsidR="00403196" w:rsidRPr="00CC77AB">
              <w:t xml:space="preserve">the </w:t>
            </w:r>
            <w:r w:rsidR="00227603" w:rsidRPr="00CC77AB">
              <w:t>precautionary principle</w:t>
            </w:r>
            <w:r w:rsidR="00403196" w:rsidRPr="00CC77AB">
              <w:t xml:space="preserve"> in making a decision, to the extent that the decision is consistent with other provisions under this Act</w:t>
            </w:r>
            <w:r w:rsidR="00287189" w:rsidRPr="00CC77AB">
              <w:t>.</w:t>
            </w:r>
          </w:p>
          <w:p w14:paraId="1E662D78" w14:textId="77777777" w:rsidR="00227603" w:rsidRPr="00CC77AB" w:rsidRDefault="00287189" w:rsidP="00FC2EBF">
            <w:pPr>
              <w:pStyle w:val="ListNumber"/>
            </w:pPr>
            <w:r w:rsidRPr="00CC77AB">
              <w:t>(2)</w:t>
            </w:r>
            <w:r w:rsidR="00A961C6" w:rsidRPr="00CC77AB">
              <w:tab/>
            </w:r>
            <w:r w:rsidRPr="00CC77AB">
              <w:t>The precautionary principle is that lack of full scientific certainty should not be used as a reason for postponing a measure to prevent degradation of the environment where there are threats of serious or irreversible environmental damage.</w:t>
            </w:r>
          </w:p>
          <w:p w14:paraId="2AA9EF46" w14:textId="50EB0AC4" w:rsidR="00111796" w:rsidRPr="00CC77AB" w:rsidRDefault="00111796" w:rsidP="00FC2EBF">
            <w:pPr>
              <w:pStyle w:val="ListNumber"/>
            </w:pPr>
          </w:p>
        </w:tc>
        <w:tc>
          <w:tcPr>
            <w:tcW w:w="2500" w:type="pct"/>
          </w:tcPr>
          <w:p w14:paraId="3505A899" w14:textId="77777777" w:rsidR="001C70CA" w:rsidRPr="004E459E" w:rsidRDefault="001C70CA" w:rsidP="00FC2EBF">
            <w:pPr>
              <w:spacing w:before="60" w:after="60" w:line="276" w:lineRule="auto"/>
              <w:contextualSpacing/>
              <w:rPr>
                <w:rFonts w:cs="Arial"/>
                <w:b/>
                <w:sz w:val="20"/>
                <w:szCs w:val="20"/>
              </w:rPr>
            </w:pPr>
            <w:r w:rsidRPr="004E459E">
              <w:rPr>
                <w:rFonts w:cs="Arial"/>
                <w:b/>
                <w:sz w:val="20"/>
                <w:szCs w:val="20"/>
              </w:rPr>
              <w:t>Meets</w:t>
            </w:r>
          </w:p>
          <w:p w14:paraId="544D15F6" w14:textId="3081EB6C" w:rsidR="00221359" w:rsidRPr="00DF3B87" w:rsidRDefault="00287189" w:rsidP="00FC2EBF">
            <w:pPr>
              <w:spacing w:before="60" w:after="60" w:line="276" w:lineRule="auto"/>
              <w:contextualSpacing/>
              <w:rPr>
                <w:rFonts w:cs="Arial"/>
                <w:sz w:val="20"/>
                <w:szCs w:val="20"/>
              </w:rPr>
            </w:pPr>
            <w:r w:rsidRPr="00DF3B87">
              <w:rPr>
                <w:rFonts w:cs="Arial"/>
                <w:sz w:val="20"/>
                <w:szCs w:val="20"/>
              </w:rPr>
              <w:t xml:space="preserve">Given </w:t>
            </w:r>
            <w:r w:rsidR="000F4D85">
              <w:rPr>
                <w:rFonts w:cs="Arial"/>
                <w:sz w:val="20"/>
                <w:szCs w:val="20"/>
              </w:rPr>
              <w:t>the</w:t>
            </w:r>
            <w:r w:rsidR="005E4A34">
              <w:rPr>
                <w:rFonts w:cs="Arial"/>
                <w:sz w:val="20"/>
                <w:szCs w:val="20"/>
              </w:rPr>
              <w:t xml:space="preserve"> </w:t>
            </w:r>
            <w:r w:rsidR="00644DDE">
              <w:rPr>
                <w:rFonts w:cs="Arial"/>
                <w:sz w:val="20"/>
                <w:szCs w:val="20"/>
              </w:rPr>
              <w:t xml:space="preserve">various </w:t>
            </w:r>
            <w:r w:rsidR="005E4A34">
              <w:rPr>
                <w:rFonts w:cs="Arial"/>
                <w:sz w:val="20"/>
                <w:szCs w:val="20"/>
              </w:rPr>
              <w:t xml:space="preserve">management arrangements, including </w:t>
            </w:r>
            <w:r w:rsidR="0081396E">
              <w:rPr>
                <w:rFonts w:cs="Arial"/>
                <w:sz w:val="20"/>
                <w:szCs w:val="20"/>
              </w:rPr>
              <w:t xml:space="preserve">restrictions on </w:t>
            </w:r>
            <w:r w:rsidR="00D01CFC">
              <w:rPr>
                <w:rFonts w:cs="Arial"/>
                <w:sz w:val="20"/>
                <w:szCs w:val="20"/>
              </w:rPr>
              <w:t xml:space="preserve">species, </w:t>
            </w:r>
            <w:r w:rsidR="0081396E">
              <w:rPr>
                <w:rFonts w:cs="Arial"/>
                <w:sz w:val="20"/>
                <w:szCs w:val="20"/>
              </w:rPr>
              <w:t xml:space="preserve">harvest numbers and locations, </w:t>
            </w:r>
            <w:r w:rsidR="00C76545">
              <w:rPr>
                <w:rFonts w:cs="Arial"/>
                <w:sz w:val="20"/>
                <w:szCs w:val="20"/>
              </w:rPr>
              <w:t xml:space="preserve">the </w:t>
            </w:r>
            <w:r w:rsidR="0081396E">
              <w:rPr>
                <w:rFonts w:cs="Arial"/>
                <w:sz w:val="20"/>
                <w:szCs w:val="20"/>
              </w:rPr>
              <w:t xml:space="preserve">use of </w:t>
            </w:r>
            <w:r w:rsidR="007126E2">
              <w:rPr>
                <w:rFonts w:cs="Arial"/>
                <w:sz w:val="20"/>
                <w:szCs w:val="20"/>
              </w:rPr>
              <w:t>a</w:t>
            </w:r>
            <w:r w:rsidR="00580243">
              <w:rPr>
                <w:rFonts w:cs="Arial"/>
                <w:sz w:val="20"/>
                <w:szCs w:val="20"/>
              </w:rPr>
              <w:t xml:space="preserve"> highly</w:t>
            </w:r>
            <w:r w:rsidR="007126E2">
              <w:rPr>
                <w:rFonts w:cs="Arial"/>
                <w:sz w:val="20"/>
                <w:szCs w:val="20"/>
              </w:rPr>
              <w:t xml:space="preserve"> </w:t>
            </w:r>
            <w:r w:rsidR="0081396E">
              <w:rPr>
                <w:rFonts w:cs="Arial"/>
                <w:sz w:val="20"/>
                <w:szCs w:val="20"/>
              </w:rPr>
              <w:t>selective</w:t>
            </w:r>
            <w:r w:rsidR="007126E2">
              <w:rPr>
                <w:rFonts w:cs="Arial"/>
                <w:sz w:val="20"/>
                <w:szCs w:val="20"/>
              </w:rPr>
              <w:t xml:space="preserve"> fishing method, </w:t>
            </w:r>
            <w:r w:rsidR="00CF227F">
              <w:rPr>
                <w:rFonts w:cs="Arial"/>
                <w:sz w:val="20"/>
                <w:szCs w:val="20"/>
              </w:rPr>
              <w:t xml:space="preserve">and </w:t>
            </w:r>
            <w:r w:rsidR="004E459E">
              <w:rPr>
                <w:rFonts w:cs="Arial"/>
                <w:sz w:val="20"/>
                <w:szCs w:val="20"/>
              </w:rPr>
              <w:t xml:space="preserve">record keeping and reporting requirements, </w:t>
            </w:r>
            <w:r w:rsidR="00CF227F">
              <w:rPr>
                <w:rFonts w:cs="Arial"/>
                <w:sz w:val="20"/>
                <w:szCs w:val="20"/>
              </w:rPr>
              <w:t>precautionary measures are considered to be in place to prevent serious or irreversible environmental damage being caused by this operation.</w:t>
            </w:r>
          </w:p>
        </w:tc>
      </w:tr>
      <w:bookmarkEnd w:id="2"/>
    </w:tbl>
    <w:p w14:paraId="622123BE" w14:textId="7315644C" w:rsidR="00FB7D7D" w:rsidRPr="00EC4336" w:rsidRDefault="00FB7D7D" w:rsidP="001668ED">
      <w:pPr>
        <w:rPr>
          <w:b/>
          <w:bCs/>
        </w:rPr>
      </w:pPr>
    </w:p>
    <w:sectPr w:rsidR="00FB7D7D" w:rsidRPr="00EC4336" w:rsidSect="00F030A0">
      <w:headerReference w:type="even" r:id="rId41"/>
      <w:headerReference w:type="default" r:id="rId42"/>
      <w:footerReference w:type="even" r:id="rId43"/>
      <w:footerReference w:type="default" r:id="rId44"/>
      <w:headerReference w:type="first" r:id="rId45"/>
      <w:footerReference w:type="first" r:id="rId46"/>
      <w:pgSz w:w="16838" w:h="11906" w:orient="landscape"/>
      <w:pgMar w:top="1418" w:right="1418" w:bottom="1276" w:left="567" w:header="425"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54A1F" w14:textId="77777777" w:rsidR="001B0F7E" w:rsidRDefault="001B0F7E" w:rsidP="00A60185">
      <w:pPr>
        <w:spacing w:after="0"/>
      </w:pPr>
      <w:r>
        <w:separator/>
      </w:r>
    </w:p>
  </w:endnote>
  <w:endnote w:type="continuationSeparator" w:id="0">
    <w:p w14:paraId="6E8F1A6C" w14:textId="77777777" w:rsidR="001B0F7E" w:rsidRDefault="001B0F7E" w:rsidP="00A60185">
      <w:pPr>
        <w:spacing w:after="0"/>
      </w:pPr>
      <w:r>
        <w:continuationSeparator/>
      </w:r>
    </w:p>
  </w:endnote>
  <w:endnote w:type="continuationNotice" w:id="1">
    <w:p w14:paraId="245A663F" w14:textId="77777777" w:rsidR="001B0F7E" w:rsidRDefault="001B0F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335D" w14:textId="77777777" w:rsidR="009056D8" w:rsidRDefault="009056D8">
    <w:pPr>
      <w:pStyle w:val="Footer"/>
      <w:jc w:val="righ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5C34" w14:textId="77777777" w:rsidR="009056D8" w:rsidRDefault="009056D8">
    <w:pPr>
      <w:pStyle w:val="Footer"/>
      <w:jc w:val="right"/>
    </w:pPr>
  </w:p>
  <w:p w14:paraId="6627FCF2" w14:textId="77777777" w:rsidR="009056D8" w:rsidRDefault="009056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8B91" w14:textId="77777777" w:rsidR="009056D8" w:rsidRPr="008676DA" w:rsidRDefault="009056D8">
    <w:pPr>
      <w:pStyle w:val="Footer"/>
      <w:jc w:val="right"/>
      <w:rPr>
        <w:rFonts w:cs="Arial"/>
      </w:rPr>
    </w:pPr>
    <w:r w:rsidRPr="008676DA">
      <w:rPr>
        <w:rFonts w:cs="Arial"/>
      </w:rPr>
      <w:fldChar w:fldCharType="begin"/>
    </w:r>
    <w:r w:rsidRPr="008676DA">
      <w:rPr>
        <w:rFonts w:cs="Arial"/>
      </w:rPr>
      <w:instrText xml:space="preserve"> PAGE   \* MERGEFORMAT </w:instrText>
    </w:r>
    <w:r w:rsidRPr="008676DA">
      <w:rPr>
        <w:rFonts w:cs="Arial"/>
      </w:rPr>
      <w:fldChar w:fldCharType="separate"/>
    </w:r>
    <w:r>
      <w:rPr>
        <w:rFonts w:cs="Arial"/>
        <w:noProof/>
      </w:rPr>
      <w:t>30</w:t>
    </w:r>
    <w:r w:rsidRPr="008676DA">
      <w:rPr>
        <w:rFonts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1AF3" w14:textId="77777777" w:rsidR="009056D8" w:rsidRPr="00E5103E" w:rsidRDefault="009056D8">
    <w:pPr>
      <w:pStyle w:val="Footer"/>
      <w:jc w:val="right"/>
      <w:rPr>
        <w:rFonts w:cs="Arial"/>
      </w:rPr>
    </w:pPr>
    <w:r w:rsidRPr="00E5103E">
      <w:rPr>
        <w:rFonts w:cs="Arial"/>
      </w:rPr>
      <w:fldChar w:fldCharType="begin"/>
    </w:r>
    <w:r w:rsidRPr="00E5103E">
      <w:rPr>
        <w:rFonts w:cs="Arial"/>
      </w:rPr>
      <w:instrText xml:space="preserve"> PAGE   \* MERGEFORMAT </w:instrText>
    </w:r>
    <w:r w:rsidRPr="00E5103E">
      <w:rPr>
        <w:rFonts w:cs="Arial"/>
      </w:rPr>
      <w:fldChar w:fldCharType="separate"/>
    </w:r>
    <w:r>
      <w:rPr>
        <w:rFonts w:cs="Arial"/>
        <w:noProof/>
      </w:rPr>
      <w:t>1</w:t>
    </w:r>
    <w:r w:rsidRPr="00E5103E">
      <w:rPr>
        <w:rFonts w:cs="Arial"/>
      </w:rPr>
      <w:fldChar w:fldCharType="end"/>
    </w:r>
  </w:p>
  <w:p w14:paraId="0D61C6D4" w14:textId="77777777" w:rsidR="009056D8" w:rsidRDefault="009056D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5FD6" w14:textId="77777777" w:rsidR="009056D8" w:rsidRDefault="009056D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3830"/>
      <w:docPartObj>
        <w:docPartGallery w:val="Page Numbers (Bottom of Page)"/>
        <w:docPartUnique/>
      </w:docPartObj>
    </w:sdtPr>
    <w:sdtEndPr/>
    <w:sdtContent>
      <w:p w14:paraId="6E209919" w14:textId="77777777" w:rsidR="009056D8" w:rsidRDefault="009056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290D" w14:textId="77777777" w:rsidR="009056D8" w:rsidRDefault="00905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07912" w14:textId="77777777" w:rsidR="001B0F7E" w:rsidRDefault="001B0F7E" w:rsidP="00A60185">
      <w:pPr>
        <w:spacing w:after="0"/>
      </w:pPr>
      <w:r>
        <w:separator/>
      </w:r>
    </w:p>
  </w:footnote>
  <w:footnote w:type="continuationSeparator" w:id="0">
    <w:p w14:paraId="4AD9E1D0" w14:textId="77777777" w:rsidR="001B0F7E" w:rsidRDefault="001B0F7E" w:rsidP="00A60185">
      <w:pPr>
        <w:spacing w:after="0"/>
      </w:pPr>
      <w:r>
        <w:continuationSeparator/>
      </w:r>
    </w:p>
  </w:footnote>
  <w:footnote w:type="continuationNotice" w:id="1">
    <w:p w14:paraId="00D608CD" w14:textId="77777777" w:rsidR="001B0F7E" w:rsidRDefault="001B0F7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EE0D" w14:textId="5C5BA2B4" w:rsidR="009056D8" w:rsidRDefault="009056D8" w:rsidP="00E45765">
    <w:pPr>
      <w:pStyle w:val="Classification"/>
    </w:pPr>
    <w:r>
      <w:fldChar w:fldCharType="begin"/>
    </w:r>
    <w:r>
      <w:instrText xml:space="preserve"> DOCPROPERTY SecurityClassification \* MERGEFORMAT </w:instrText>
    </w:r>
    <w:r>
      <w:fldChar w:fldCharType="separate"/>
    </w:r>
    <w:r w:rsidR="00664463">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BAA7A" w14:textId="77777777" w:rsidR="009056D8" w:rsidRDefault="009056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A4C7A" w14:textId="77777777" w:rsidR="009056D8" w:rsidRDefault="00905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029217B8"/>
    <w:styleLink w:val="BulletList"/>
    <w:lvl w:ilvl="0">
      <w:start w:val="1"/>
      <w:numFmt w:val="bullet"/>
      <w:lvlText w:val=""/>
      <w:lvlJc w:val="left"/>
      <w:pPr>
        <w:ind w:left="-1726" w:hanging="369"/>
      </w:pPr>
      <w:rPr>
        <w:rFonts w:ascii="Symbol" w:hAnsi="Symbol" w:hint="default"/>
      </w:rPr>
    </w:lvl>
    <w:lvl w:ilvl="1">
      <w:start w:val="1"/>
      <w:numFmt w:val="none"/>
      <w:lvlText w:val="-"/>
      <w:lvlJc w:val="left"/>
      <w:pPr>
        <w:ind w:left="-1358" w:hanging="368"/>
      </w:pPr>
      <w:rPr>
        <w:rFonts w:hint="default"/>
      </w:rPr>
    </w:lvl>
    <w:lvl w:ilvl="2">
      <w:start w:val="1"/>
      <w:numFmt w:val="none"/>
      <w:pStyle w:val="ListBullet3"/>
      <w:lvlText w:val=":"/>
      <w:lvlJc w:val="left"/>
      <w:pPr>
        <w:ind w:left="-989" w:hanging="369"/>
      </w:pPr>
      <w:rPr>
        <w:rFonts w:hint="default"/>
      </w:rPr>
    </w:lvl>
    <w:lvl w:ilvl="3">
      <w:start w:val="1"/>
      <w:numFmt w:val="none"/>
      <w:pStyle w:val="ListBullet4"/>
      <w:lvlText w:val=""/>
      <w:lvlJc w:val="left"/>
      <w:pPr>
        <w:ind w:left="-621" w:hanging="368"/>
      </w:pPr>
      <w:rPr>
        <w:rFonts w:hint="default"/>
        <w:color w:val="auto"/>
      </w:rPr>
    </w:lvl>
    <w:lvl w:ilvl="4">
      <w:start w:val="1"/>
      <w:numFmt w:val="none"/>
      <w:pStyle w:val="ListBullet5"/>
      <w:lvlText w:val=""/>
      <w:lvlJc w:val="left"/>
      <w:pPr>
        <w:ind w:left="-295" w:hanging="360"/>
      </w:pPr>
      <w:rPr>
        <w:rFonts w:hint="default"/>
        <w:color w:val="auto"/>
      </w:rPr>
    </w:lvl>
    <w:lvl w:ilvl="5">
      <w:start w:val="1"/>
      <w:numFmt w:val="none"/>
      <w:lvlText w:val=""/>
      <w:lvlJc w:val="left"/>
      <w:pPr>
        <w:ind w:left="65" w:hanging="360"/>
      </w:pPr>
      <w:rPr>
        <w:rFonts w:hint="default"/>
        <w:color w:val="auto"/>
      </w:rPr>
    </w:lvl>
    <w:lvl w:ilvl="6">
      <w:start w:val="1"/>
      <w:numFmt w:val="none"/>
      <w:lvlText w:val=""/>
      <w:lvlJc w:val="left"/>
      <w:pPr>
        <w:ind w:left="425" w:hanging="360"/>
      </w:pPr>
      <w:rPr>
        <w:rFonts w:hint="default"/>
        <w:color w:val="auto"/>
      </w:rPr>
    </w:lvl>
    <w:lvl w:ilvl="7">
      <w:start w:val="1"/>
      <w:numFmt w:val="none"/>
      <w:lvlText w:val=""/>
      <w:lvlJc w:val="left"/>
      <w:pPr>
        <w:ind w:left="785" w:hanging="360"/>
      </w:pPr>
      <w:rPr>
        <w:rFonts w:hint="default"/>
        <w:color w:val="auto"/>
      </w:rPr>
    </w:lvl>
    <w:lvl w:ilvl="8">
      <w:start w:val="1"/>
      <w:numFmt w:val="none"/>
      <w:lvlText w:val=""/>
      <w:lvlJc w:val="left"/>
      <w:pPr>
        <w:ind w:left="1145" w:hanging="360"/>
      </w:pPr>
      <w:rPr>
        <w:rFonts w:hint="default"/>
        <w:color w:val="auto"/>
      </w:rPr>
    </w:lvl>
  </w:abstractNum>
  <w:abstractNum w:abstractNumId="1" w15:restartNumberingAfterBreak="0">
    <w:nsid w:val="032428D0"/>
    <w:multiLevelType w:val="hybridMultilevel"/>
    <w:tmpl w:val="ED126A0A"/>
    <w:lvl w:ilvl="0" w:tplc="F954A388">
      <w:start w:val="8"/>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4424C4D"/>
    <w:multiLevelType w:val="hybridMultilevel"/>
    <w:tmpl w:val="DFCAF146"/>
    <w:lvl w:ilvl="0" w:tplc="53FEA970">
      <w:start w:val="1"/>
      <w:numFmt w:val="lowerRoman"/>
      <w:lvlText w:val="(%1)"/>
      <w:lvlJc w:val="left"/>
      <w:pPr>
        <w:ind w:left="861"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8674F12"/>
    <w:multiLevelType w:val="hybridMultilevel"/>
    <w:tmpl w:val="5A224BF4"/>
    <w:lvl w:ilvl="0" w:tplc="26B42906">
      <w:start w:val="1"/>
      <w:numFmt w:val="bullet"/>
      <w:pStyle w:val="List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90228EC"/>
    <w:multiLevelType w:val="hybridMultilevel"/>
    <w:tmpl w:val="BD8882C6"/>
    <w:lvl w:ilvl="0" w:tplc="213AF8DC">
      <w:start w:val="2020"/>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D27094"/>
    <w:multiLevelType w:val="hybridMultilevel"/>
    <w:tmpl w:val="39D657E8"/>
    <w:lvl w:ilvl="0" w:tplc="25105FBC">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745BC2"/>
    <w:multiLevelType w:val="multilevel"/>
    <w:tmpl w:val="029217B8"/>
    <w:numStyleLink w:val="BulletList"/>
  </w:abstractNum>
  <w:abstractNum w:abstractNumId="7" w15:restartNumberingAfterBreak="0">
    <w:nsid w:val="207852CF"/>
    <w:multiLevelType w:val="hybridMultilevel"/>
    <w:tmpl w:val="46104AB4"/>
    <w:lvl w:ilvl="0" w:tplc="EBB2A7E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EF19CB"/>
    <w:multiLevelType w:val="hybridMultilevel"/>
    <w:tmpl w:val="89A8855E"/>
    <w:lvl w:ilvl="0" w:tplc="04090001">
      <w:start w:val="1"/>
      <w:numFmt w:val="bullet"/>
      <w:lvlText w:val=""/>
      <w:lvlJc w:val="left"/>
      <w:pPr>
        <w:tabs>
          <w:tab w:val="num" w:pos="720"/>
        </w:tabs>
        <w:ind w:left="720" w:hanging="360"/>
      </w:pPr>
      <w:rPr>
        <w:rFonts w:ascii="Symbol" w:hAnsi="Symbol" w:hint="default"/>
        <w:color w:val="000000"/>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color w:val="000000"/>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F91CD0"/>
    <w:multiLevelType w:val="hybridMultilevel"/>
    <w:tmpl w:val="F01E69D6"/>
    <w:lvl w:ilvl="0" w:tplc="DD9C30A8">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AE6CE9"/>
    <w:multiLevelType w:val="hybridMultilevel"/>
    <w:tmpl w:val="6D84F860"/>
    <w:lvl w:ilvl="0" w:tplc="BD887B6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CC5DED"/>
    <w:multiLevelType w:val="hybridMultilevel"/>
    <w:tmpl w:val="12F007C6"/>
    <w:lvl w:ilvl="0" w:tplc="F954A388">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AF4996"/>
    <w:multiLevelType w:val="hybridMultilevel"/>
    <w:tmpl w:val="6994F50E"/>
    <w:lvl w:ilvl="0" w:tplc="F954A388">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B740AE6"/>
    <w:multiLevelType w:val="hybridMultilevel"/>
    <w:tmpl w:val="B114C04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E932F6"/>
    <w:multiLevelType w:val="hybridMultilevel"/>
    <w:tmpl w:val="7B8AF0D6"/>
    <w:lvl w:ilvl="0" w:tplc="9BDAA88C">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5946EE"/>
    <w:multiLevelType w:val="hybridMultilevel"/>
    <w:tmpl w:val="7BA4C22A"/>
    <w:lvl w:ilvl="0" w:tplc="5F36162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7537914"/>
    <w:multiLevelType w:val="hybridMultilevel"/>
    <w:tmpl w:val="276CDF7E"/>
    <w:lvl w:ilvl="0" w:tplc="0D50FB4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88014CC"/>
    <w:multiLevelType w:val="hybridMultilevel"/>
    <w:tmpl w:val="4F0E4658"/>
    <w:lvl w:ilvl="0" w:tplc="0D50FB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CA5294A"/>
    <w:multiLevelType w:val="hybridMultilevel"/>
    <w:tmpl w:val="5560A484"/>
    <w:lvl w:ilvl="0" w:tplc="43BCECB6">
      <w:start w:val="1"/>
      <w:numFmt w:val="lowerLetter"/>
      <w:lvlText w:val="(%1)"/>
      <w:lvlJc w:val="left"/>
      <w:pPr>
        <w:ind w:left="1267" w:hanging="360"/>
      </w:pPr>
    </w:lvl>
    <w:lvl w:ilvl="1" w:tplc="0C090019">
      <w:start w:val="1"/>
      <w:numFmt w:val="lowerLetter"/>
      <w:lvlText w:val="%2."/>
      <w:lvlJc w:val="left"/>
      <w:pPr>
        <w:ind w:left="1987" w:hanging="360"/>
      </w:pPr>
    </w:lvl>
    <w:lvl w:ilvl="2" w:tplc="0C09001B">
      <w:start w:val="1"/>
      <w:numFmt w:val="lowerRoman"/>
      <w:lvlText w:val="%3."/>
      <w:lvlJc w:val="right"/>
      <w:pPr>
        <w:ind w:left="2707" w:hanging="180"/>
      </w:pPr>
    </w:lvl>
    <w:lvl w:ilvl="3" w:tplc="0C09000F">
      <w:start w:val="1"/>
      <w:numFmt w:val="decimal"/>
      <w:lvlText w:val="%4."/>
      <w:lvlJc w:val="left"/>
      <w:pPr>
        <w:ind w:left="3427" w:hanging="360"/>
      </w:pPr>
    </w:lvl>
    <w:lvl w:ilvl="4" w:tplc="0C090019">
      <w:start w:val="1"/>
      <w:numFmt w:val="lowerLetter"/>
      <w:lvlText w:val="%5."/>
      <w:lvlJc w:val="left"/>
      <w:pPr>
        <w:ind w:left="4147" w:hanging="360"/>
      </w:pPr>
    </w:lvl>
    <w:lvl w:ilvl="5" w:tplc="0C09001B">
      <w:start w:val="1"/>
      <w:numFmt w:val="lowerRoman"/>
      <w:lvlText w:val="%6."/>
      <w:lvlJc w:val="right"/>
      <w:pPr>
        <w:ind w:left="4867" w:hanging="180"/>
      </w:pPr>
    </w:lvl>
    <w:lvl w:ilvl="6" w:tplc="0C09000F">
      <w:start w:val="1"/>
      <w:numFmt w:val="decimal"/>
      <w:lvlText w:val="%7."/>
      <w:lvlJc w:val="left"/>
      <w:pPr>
        <w:ind w:left="5587" w:hanging="360"/>
      </w:pPr>
    </w:lvl>
    <w:lvl w:ilvl="7" w:tplc="0C090019">
      <w:start w:val="1"/>
      <w:numFmt w:val="lowerLetter"/>
      <w:lvlText w:val="%8."/>
      <w:lvlJc w:val="left"/>
      <w:pPr>
        <w:ind w:left="6307" w:hanging="360"/>
      </w:pPr>
    </w:lvl>
    <w:lvl w:ilvl="8" w:tplc="0C09001B">
      <w:start w:val="1"/>
      <w:numFmt w:val="lowerRoman"/>
      <w:lvlText w:val="%9."/>
      <w:lvlJc w:val="right"/>
      <w:pPr>
        <w:ind w:left="7027" w:hanging="180"/>
      </w:pPr>
    </w:lvl>
  </w:abstractNum>
  <w:abstractNum w:abstractNumId="21" w15:restartNumberingAfterBreak="0">
    <w:nsid w:val="4F900F3D"/>
    <w:multiLevelType w:val="hybridMultilevel"/>
    <w:tmpl w:val="B35C522E"/>
    <w:lvl w:ilvl="0" w:tplc="E2989954">
      <w:start w:val="2020"/>
      <w:numFmt w:val="bullet"/>
      <w:lvlText w:val="-"/>
      <w:lvlJc w:val="left"/>
      <w:pPr>
        <w:ind w:left="720" w:hanging="360"/>
      </w:pPr>
      <w:rPr>
        <w:rFonts w:ascii="Arial" w:eastAsia="Calibri" w:hAnsi="Arial" w:cs="Arial" w:hint="default"/>
        <w:i w:val="0"/>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BA5A2F"/>
    <w:multiLevelType w:val="hybridMultilevel"/>
    <w:tmpl w:val="117C20BE"/>
    <w:lvl w:ilvl="0" w:tplc="F954A38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4D51DC"/>
    <w:multiLevelType w:val="hybridMultilevel"/>
    <w:tmpl w:val="2EB0A1C2"/>
    <w:lvl w:ilvl="0" w:tplc="FD400D8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5456429"/>
    <w:multiLevelType w:val="multilevel"/>
    <w:tmpl w:val="E898CC72"/>
    <w:numStyleLink w:val="KeyPoints"/>
  </w:abstractNum>
  <w:abstractNum w:abstractNumId="25" w15:restartNumberingAfterBreak="0">
    <w:nsid w:val="6C1C4E20"/>
    <w:multiLevelType w:val="hybridMultilevel"/>
    <w:tmpl w:val="48788D16"/>
    <w:lvl w:ilvl="0" w:tplc="BA865D64">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C02A58"/>
    <w:multiLevelType w:val="hybridMultilevel"/>
    <w:tmpl w:val="1334101A"/>
    <w:lvl w:ilvl="0" w:tplc="31D8A310">
      <w:start w:val="2020"/>
      <w:numFmt w:val="bullet"/>
      <w:lvlText w:val="-"/>
      <w:lvlJc w:val="left"/>
      <w:pPr>
        <w:ind w:left="720" w:hanging="360"/>
      </w:pPr>
      <w:rPr>
        <w:rFonts w:ascii="Arial" w:eastAsia="Times New Roman" w:hAnsi="Arial" w:cs="Aria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8" w15:restartNumberingAfterBreak="0">
    <w:nsid w:val="77CC2060"/>
    <w:multiLevelType w:val="hybridMultilevel"/>
    <w:tmpl w:val="0B4CD45C"/>
    <w:lvl w:ilvl="0" w:tplc="1584ACAE">
      <w:start w:val="19"/>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DC10B9"/>
    <w:multiLevelType w:val="hybridMultilevel"/>
    <w:tmpl w:val="07C08C02"/>
    <w:lvl w:ilvl="0" w:tplc="D2AEDAD0">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C44223"/>
    <w:multiLevelType w:val="hybridMultilevel"/>
    <w:tmpl w:val="16ECA17A"/>
    <w:lvl w:ilvl="0" w:tplc="6C36CD72">
      <w:start w:val="1"/>
      <w:numFmt w:val="bullet"/>
      <w:pStyle w:val="Stylea"/>
      <w:lvlText w:val=""/>
      <w:lvlJc w:val="left"/>
      <w:pPr>
        <w:ind w:left="426" w:hanging="360"/>
      </w:pPr>
      <w:rPr>
        <w:rFonts w:ascii="Wingdings" w:hAnsi="Wingdings" w:hint="default"/>
      </w:rPr>
    </w:lvl>
    <w:lvl w:ilvl="1" w:tplc="0C090019" w:tentative="1">
      <w:start w:val="1"/>
      <w:numFmt w:val="lowerLetter"/>
      <w:lvlText w:val="%2."/>
      <w:lvlJc w:val="left"/>
      <w:pPr>
        <w:ind w:left="2022" w:hanging="360"/>
      </w:pPr>
    </w:lvl>
    <w:lvl w:ilvl="2" w:tplc="0C09001B" w:tentative="1">
      <w:start w:val="1"/>
      <w:numFmt w:val="lowerRoman"/>
      <w:lvlText w:val="%3."/>
      <w:lvlJc w:val="right"/>
      <w:pPr>
        <w:ind w:left="2742" w:hanging="180"/>
      </w:pPr>
    </w:lvl>
    <w:lvl w:ilvl="3" w:tplc="0C09000F" w:tentative="1">
      <w:start w:val="1"/>
      <w:numFmt w:val="decimal"/>
      <w:lvlText w:val="%4."/>
      <w:lvlJc w:val="left"/>
      <w:pPr>
        <w:ind w:left="3462" w:hanging="360"/>
      </w:pPr>
    </w:lvl>
    <w:lvl w:ilvl="4" w:tplc="0C090019" w:tentative="1">
      <w:start w:val="1"/>
      <w:numFmt w:val="lowerLetter"/>
      <w:lvlText w:val="%5."/>
      <w:lvlJc w:val="left"/>
      <w:pPr>
        <w:ind w:left="4182" w:hanging="360"/>
      </w:pPr>
    </w:lvl>
    <w:lvl w:ilvl="5" w:tplc="0C09001B" w:tentative="1">
      <w:start w:val="1"/>
      <w:numFmt w:val="lowerRoman"/>
      <w:lvlText w:val="%6."/>
      <w:lvlJc w:val="right"/>
      <w:pPr>
        <w:ind w:left="4902" w:hanging="180"/>
      </w:pPr>
    </w:lvl>
    <w:lvl w:ilvl="6" w:tplc="0C09000F" w:tentative="1">
      <w:start w:val="1"/>
      <w:numFmt w:val="decimal"/>
      <w:lvlText w:val="%7."/>
      <w:lvlJc w:val="left"/>
      <w:pPr>
        <w:ind w:left="5622" w:hanging="360"/>
      </w:pPr>
    </w:lvl>
    <w:lvl w:ilvl="7" w:tplc="0C090019" w:tentative="1">
      <w:start w:val="1"/>
      <w:numFmt w:val="lowerLetter"/>
      <w:lvlText w:val="%8."/>
      <w:lvlJc w:val="left"/>
      <w:pPr>
        <w:ind w:left="6342" w:hanging="360"/>
      </w:pPr>
    </w:lvl>
    <w:lvl w:ilvl="8" w:tplc="0C09001B" w:tentative="1">
      <w:start w:val="1"/>
      <w:numFmt w:val="lowerRoman"/>
      <w:lvlText w:val="%9."/>
      <w:lvlJc w:val="right"/>
      <w:pPr>
        <w:ind w:left="7062" w:hanging="180"/>
      </w:pPr>
    </w:lvl>
  </w:abstractNum>
  <w:abstractNum w:abstractNumId="31" w15:restartNumberingAfterBreak="0">
    <w:nsid w:val="79BB5AC0"/>
    <w:multiLevelType w:val="hybridMultilevel"/>
    <w:tmpl w:val="662ABE74"/>
    <w:lvl w:ilvl="0" w:tplc="F14C8EA6">
      <w:start w:val="1"/>
      <w:numFmt w:val="bullet"/>
      <w:pStyle w:val="ListBullet2"/>
      <w:lvlText w:val=""/>
      <w:lvlJc w:val="left"/>
      <w:pPr>
        <w:ind w:left="1089" w:hanging="360"/>
      </w:pPr>
      <w:rPr>
        <w:rFonts w:ascii="Symbol" w:hAnsi="Symbol" w:hint="default"/>
      </w:rPr>
    </w:lvl>
    <w:lvl w:ilvl="1" w:tplc="0C090003" w:tentative="1">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num w:numId="1">
    <w:abstractNumId w:val="27"/>
  </w:num>
  <w:num w:numId="2">
    <w:abstractNumId w:val="0"/>
  </w:num>
  <w:num w:numId="3">
    <w:abstractNumId w:val="14"/>
  </w:num>
  <w:num w:numId="4">
    <w:abstractNumId w:val="11"/>
  </w:num>
  <w:num w:numId="5">
    <w:abstractNumId w:val="24"/>
  </w:num>
  <w:num w:numId="6">
    <w:abstractNumId w:val="3"/>
  </w:num>
  <w:num w:numId="7">
    <w:abstractNumId w:val="8"/>
  </w:num>
  <w:num w:numId="8">
    <w:abstractNumId w:val="6"/>
    <w:lvlOverride w:ilvl="0">
      <w:lvl w:ilvl="0">
        <w:start w:val="1"/>
        <w:numFmt w:val="bullet"/>
        <w:lvlText w:val=""/>
        <w:lvlJc w:val="left"/>
        <w:pPr>
          <w:ind w:left="369" w:hanging="369"/>
        </w:pPr>
        <w:rPr>
          <w:rFonts w:ascii="Symbol" w:hAnsi="Symbol" w:hint="default"/>
        </w:rPr>
      </w:lvl>
    </w:lvlOverride>
  </w:num>
  <w:num w:numId="9">
    <w:abstractNumId w:val="30"/>
  </w:num>
  <w:num w:numId="10">
    <w:abstractNumId w:val="31"/>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15"/>
  </w:num>
  <w:num w:numId="14">
    <w:abstractNumId w:val="4"/>
  </w:num>
  <w:num w:numId="15">
    <w:abstractNumId w:val="21"/>
  </w:num>
  <w:num w:numId="16">
    <w:abstractNumId w:val="23"/>
  </w:num>
  <w:num w:numId="17">
    <w:abstractNumId w:val="2"/>
  </w:num>
  <w:num w:numId="18">
    <w:abstractNumId w:val="7"/>
  </w:num>
  <w:num w:numId="19">
    <w:abstractNumId w:val="9"/>
  </w:num>
  <w:num w:numId="20">
    <w:abstractNumId w:val="10"/>
  </w:num>
  <w:num w:numId="21">
    <w:abstractNumId w:val="25"/>
  </w:num>
  <w:num w:numId="22">
    <w:abstractNumId w:val="17"/>
  </w:num>
  <w:num w:numId="23">
    <w:abstractNumId w:val="5"/>
  </w:num>
  <w:num w:numId="24">
    <w:abstractNumId w:val="12"/>
  </w:num>
  <w:num w:numId="25">
    <w:abstractNumId w:val="1"/>
  </w:num>
  <w:num w:numId="26">
    <w:abstractNumId w:val="13"/>
  </w:num>
  <w:num w:numId="27">
    <w:abstractNumId w:val="22"/>
  </w:num>
  <w:num w:numId="28">
    <w:abstractNumId w:val="16"/>
  </w:num>
  <w:num w:numId="29">
    <w:abstractNumId w:val="18"/>
  </w:num>
  <w:num w:numId="30">
    <w:abstractNumId w:val="19"/>
  </w:num>
  <w:num w:numId="31">
    <w:abstractNumId w:val="26"/>
  </w:num>
  <w:num w:numId="32">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463A45"/>
    <w:rsid w:val="00000311"/>
    <w:rsid w:val="00000CA0"/>
    <w:rsid w:val="00004AEE"/>
    <w:rsid w:val="00005973"/>
    <w:rsid w:val="00005A86"/>
    <w:rsid w:val="00005A8F"/>
    <w:rsid w:val="00005CAA"/>
    <w:rsid w:val="00006FDD"/>
    <w:rsid w:val="0000721D"/>
    <w:rsid w:val="00010210"/>
    <w:rsid w:val="00011BF0"/>
    <w:rsid w:val="00012087"/>
    <w:rsid w:val="00012D66"/>
    <w:rsid w:val="0001595B"/>
    <w:rsid w:val="00015ADA"/>
    <w:rsid w:val="000166E6"/>
    <w:rsid w:val="00020C99"/>
    <w:rsid w:val="00021286"/>
    <w:rsid w:val="000213C5"/>
    <w:rsid w:val="000233AC"/>
    <w:rsid w:val="00023ED4"/>
    <w:rsid w:val="00025C49"/>
    <w:rsid w:val="00025D13"/>
    <w:rsid w:val="000263A3"/>
    <w:rsid w:val="0002707B"/>
    <w:rsid w:val="000313F1"/>
    <w:rsid w:val="000314E1"/>
    <w:rsid w:val="00035760"/>
    <w:rsid w:val="00037890"/>
    <w:rsid w:val="00040364"/>
    <w:rsid w:val="00041ADA"/>
    <w:rsid w:val="00042B98"/>
    <w:rsid w:val="0004368E"/>
    <w:rsid w:val="00043FF4"/>
    <w:rsid w:val="00044C1B"/>
    <w:rsid w:val="00044DF6"/>
    <w:rsid w:val="00051298"/>
    <w:rsid w:val="0005148E"/>
    <w:rsid w:val="00052147"/>
    <w:rsid w:val="0005272D"/>
    <w:rsid w:val="0005384E"/>
    <w:rsid w:val="00056E19"/>
    <w:rsid w:val="00060900"/>
    <w:rsid w:val="00060995"/>
    <w:rsid w:val="0006260B"/>
    <w:rsid w:val="00062923"/>
    <w:rsid w:val="00063FCB"/>
    <w:rsid w:val="000657AD"/>
    <w:rsid w:val="00067354"/>
    <w:rsid w:val="000709F4"/>
    <w:rsid w:val="000722CC"/>
    <w:rsid w:val="00072C5A"/>
    <w:rsid w:val="00073430"/>
    <w:rsid w:val="00074553"/>
    <w:rsid w:val="00074765"/>
    <w:rsid w:val="000759AE"/>
    <w:rsid w:val="000759E5"/>
    <w:rsid w:val="00077E0E"/>
    <w:rsid w:val="00080980"/>
    <w:rsid w:val="000825C6"/>
    <w:rsid w:val="000835FF"/>
    <w:rsid w:val="00084AC6"/>
    <w:rsid w:val="00085099"/>
    <w:rsid w:val="00090F9A"/>
    <w:rsid w:val="00091608"/>
    <w:rsid w:val="0009333C"/>
    <w:rsid w:val="00093501"/>
    <w:rsid w:val="00093D29"/>
    <w:rsid w:val="00095EBB"/>
    <w:rsid w:val="0009689A"/>
    <w:rsid w:val="000969CC"/>
    <w:rsid w:val="0009704F"/>
    <w:rsid w:val="000970E9"/>
    <w:rsid w:val="0009787B"/>
    <w:rsid w:val="000A0806"/>
    <w:rsid w:val="000A0F11"/>
    <w:rsid w:val="000A125A"/>
    <w:rsid w:val="000A29CD"/>
    <w:rsid w:val="000A57CD"/>
    <w:rsid w:val="000B0C36"/>
    <w:rsid w:val="000B2634"/>
    <w:rsid w:val="000B3758"/>
    <w:rsid w:val="000B3BD8"/>
    <w:rsid w:val="000B4686"/>
    <w:rsid w:val="000B492A"/>
    <w:rsid w:val="000B5C6F"/>
    <w:rsid w:val="000B7681"/>
    <w:rsid w:val="000B76A5"/>
    <w:rsid w:val="000B7B42"/>
    <w:rsid w:val="000C02B7"/>
    <w:rsid w:val="000C0B83"/>
    <w:rsid w:val="000C10D1"/>
    <w:rsid w:val="000C162F"/>
    <w:rsid w:val="000C376C"/>
    <w:rsid w:val="000C3E5C"/>
    <w:rsid w:val="000C4F71"/>
    <w:rsid w:val="000C5100"/>
    <w:rsid w:val="000C5342"/>
    <w:rsid w:val="000C5477"/>
    <w:rsid w:val="000C54EB"/>
    <w:rsid w:val="000C62E7"/>
    <w:rsid w:val="000C706A"/>
    <w:rsid w:val="000C741A"/>
    <w:rsid w:val="000C7CF2"/>
    <w:rsid w:val="000D066B"/>
    <w:rsid w:val="000D0A53"/>
    <w:rsid w:val="000D2887"/>
    <w:rsid w:val="000D302D"/>
    <w:rsid w:val="000D353A"/>
    <w:rsid w:val="000D45F7"/>
    <w:rsid w:val="000D4F5E"/>
    <w:rsid w:val="000D5CB2"/>
    <w:rsid w:val="000D6D63"/>
    <w:rsid w:val="000D6E4F"/>
    <w:rsid w:val="000D6F87"/>
    <w:rsid w:val="000D7F9D"/>
    <w:rsid w:val="000E0081"/>
    <w:rsid w:val="000E07CF"/>
    <w:rsid w:val="000E2D7A"/>
    <w:rsid w:val="000E31C1"/>
    <w:rsid w:val="000E37F8"/>
    <w:rsid w:val="000E4015"/>
    <w:rsid w:val="000E4511"/>
    <w:rsid w:val="000E537E"/>
    <w:rsid w:val="000E5E23"/>
    <w:rsid w:val="000E6155"/>
    <w:rsid w:val="000E6218"/>
    <w:rsid w:val="000F04A7"/>
    <w:rsid w:val="000F130F"/>
    <w:rsid w:val="000F1867"/>
    <w:rsid w:val="000F2CF2"/>
    <w:rsid w:val="000F2F43"/>
    <w:rsid w:val="000F3E19"/>
    <w:rsid w:val="000F486F"/>
    <w:rsid w:val="000F4D85"/>
    <w:rsid w:val="000F5FB3"/>
    <w:rsid w:val="000F7DB8"/>
    <w:rsid w:val="00100469"/>
    <w:rsid w:val="00100BEF"/>
    <w:rsid w:val="00101CDF"/>
    <w:rsid w:val="001028B8"/>
    <w:rsid w:val="00103CA8"/>
    <w:rsid w:val="00104974"/>
    <w:rsid w:val="00107684"/>
    <w:rsid w:val="00111326"/>
    <w:rsid w:val="00111796"/>
    <w:rsid w:val="00114269"/>
    <w:rsid w:val="00114657"/>
    <w:rsid w:val="0011498E"/>
    <w:rsid w:val="00114B53"/>
    <w:rsid w:val="00115652"/>
    <w:rsid w:val="00117A45"/>
    <w:rsid w:val="00120D57"/>
    <w:rsid w:val="00121286"/>
    <w:rsid w:val="001224AE"/>
    <w:rsid w:val="00126033"/>
    <w:rsid w:val="00127133"/>
    <w:rsid w:val="00127A9E"/>
    <w:rsid w:val="00127EBC"/>
    <w:rsid w:val="00130017"/>
    <w:rsid w:val="001317BB"/>
    <w:rsid w:val="001318BD"/>
    <w:rsid w:val="00131C5A"/>
    <w:rsid w:val="00131EAF"/>
    <w:rsid w:val="00132800"/>
    <w:rsid w:val="0013332E"/>
    <w:rsid w:val="001337D4"/>
    <w:rsid w:val="00133F9E"/>
    <w:rsid w:val="00134108"/>
    <w:rsid w:val="00134C7B"/>
    <w:rsid w:val="001351F4"/>
    <w:rsid w:val="0013634F"/>
    <w:rsid w:val="00137537"/>
    <w:rsid w:val="001400D5"/>
    <w:rsid w:val="0014014C"/>
    <w:rsid w:val="00141E9B"/>
    <w:rsid w:val="00142C28"/>
    <w:rsid w:val="00142D50"/>
    <w:rsid w:val="00143D2C"/>
    <w:rsid w:val="00144B8D"/>
    <w:rsid w:val="00146265"/>
    <w:rsid w:val="00147C12"/>
    <w:rsid w:val="0015081E"/>
    <w:rsid w:val="0015092C"/>
    <w:rsid w:val="0015174D"/>
    <w:rsid w:val="00151889"/>
    <w:rsid w:val="001527A1"/>
    <w:rsid w:val="001530DC"/>
    <w:rsid w:val="00153C0F"/>
    <w:rsid w:val="00154989"/>
    <w:rsid w:val="00155A9F"/>
    <w:rsid w:val="0015659C"/>
    <w:rsid w:val="0015686A"/>
    <w:rsid w:val="00156B0A"/>
    <w:rsid w:val="00157139"/>
    <w:rsid w:val="00160262"/>
    <w:rsid w:val="001607DD"/>
    <w:rsid w:val="001653A1"/>
    <w:rsid w:val="00166546"/>
    <w:rsid w:val="001668ED"/>
    <w:rsid w:val="0016780A"/>
    <w:rsid w:val="001713FA"/>
    <w:rsid w:val="0017144C"/>
    <w:rsid w:val="00171459"/>
    <w:rsid w:val="00171D6E"/>
    <w:rsid w:val="001722B5"/>
    <w:rsid w:val="001723D6"/>
    <w:rsid w:val="00173704"/>
    <w:rsid w:val="00173A53"/>
    <w:rsid w:val="00173CFF"/>
    <w:rsid w:val="00173EBF"/>
    <w:rsid w:val="00175ED3"/>
    <w:rsid w:val="001768B3"/>
    <w:rsid w:val="00177DCC"/>
    <w:rsid w:val="0018078C"/>
    <w:rsid w:val="001842A2"/>
    <w:rsid w:val="001843CC"/>
    <w:rsid w:val="00186D37"/>
    <w:rsid w:val="00187FA8"/>
    <w:rsid w:val="00190125"/>
    <w:rsid w:val="001904ED"/>
    <w:rsid w:val="0019163B"/>
    <w:rsid w:val="00192F5E"/>
    <w:rsid w:val="0019304D"/>
    <w:rsid w:val="00193A28"/>
    <w:rsid w:val="001955CD"/>
    <w:rsid w:val="00197645"/>
    <w:rsid w:val="00197772"/>
    <w:rsid w:val="00197BF3"/>
    <w:rsid w:val="00197CE6"/>
    <w:rsid w:val="001A14A8"/>
    <w:rsid w:val="001A201E"/>
    <w:rsid w:val="001A2D27"/>
    <w:rsid w:val="001A34A7"/>
    <w:rsid w:val="001A4325"/>
    <w:rsid w:val="001A4B62"/>
    <w:rsid w:val="001A51C8"/>
    <w:rsid w:val="001A7CA5"/>
    <w:rsid w:val="001B007B"/>
    <w:rsid w:val="001B0F7E"/>
    <w:rsid w:val="001B3A80"/>
    <w:rsid w:val="001B3B11"/>
    <w:rsid w:val="001B483D"/>
    <w:rsid w:val="001B4CA8"/>
    <w:rsid w:val="001B5710"/>
    <w:rsid w:val="001B5711"/>
    <w:rsid w:val="001B5AA8"/>
    <w:rsid w:val="001B5EA1"/>
    <w:rsid w:val="001B5EDC"/>
    <w:rsid w:val="001B7E5F"/>
    <w:rsid w:val="001C24AD"/>
    <w:rsid w:val="001C3673"/>
    <w:rsid w:val="001C4F3D"/>
    <w:rsid w:val="001C603C"/>
    <w:rsid w:val="001C68E7"/>
    <w:rsid w:val="001C6DDB"/>
    <w:rsid w:val="001C70CA"/>
    <w:rsid w:val="001C720B"/>
    <w:rsid w:val="001D073A"/>
    <w:rsid w:val="001D0CDC"/>
    <w:rsid w:val="001D18B0"/>
    <w:rsid w:val="001D1D82"/>
    <w:rsid w:val="001D3B67"/>
    <w:rsid w:val="001D5E93"/>
    <w:rsid w:val="001D6FA3"/>
    <w:rsid w:val="001E0E02"/>
    <w:rsid w:val="001E1182"/>
    <w:rsid w:val="001E3309"/>
    <w:rsid w:val="001E415A"/>
    <w:rsid w:val="001E460F"/>
    <w:rsid w:val="001E4862"/>
    <w:rsid w:val="001E6FAC"/>
    <w:rsid w:val="001E70A8"/>
    <w:rsid w:val="001E7C80"/>
    <w:rsid w:val="001F0991"/>
    <w:rsid w:val="001F0CB0"/>
    <w:rsid w:val="001F2AA4"/>
    <w:rsid w:val="001F4207"/>
    <w:rsid w:val="001F4637"/>
    <w:rsid w:val="001F4867"/>
    <w:rsid w:val="001F4CAA"/>
    <w:rsid w:val="001F62DA"/>
    <w:rsid w:val="002005C8"/>
    <w:rsid w:val="0020239A"/>
    <w:rsid w:val="00202884"/>
    <w:rsid w:val="00202C90"/>
    <w:rsid w:val="00203238"/>
    <w:rsid w:val="00203F8D"/>
    <w:rsid w:val="00203FD3"/>
    <w:rsid w:val="00210ADE"/>
    <w:rsid w:val="00211071"/>
    <w:rsid w:val="00211477"/>
    <w:rsid w:val="0021324A"/>
    <w:rsid w:val="002138C5"/>
    <w:rsid w:val="00213DE8"/>
    <w:rsid w:val="00215128"/>
    <w:rsid w:val="00215FE3"/>
    <w:rsid w:val="00216118"/>
    <w:rsid w:val="0021628B"/>
    <w:rsid w:val="00216327"/>
    <w:rsid w:val="002165BF"/>
    <w:rsid w:val="00216CF8"/>
    <w:rsid w:val="00216DC7"/>
    <w:rsid w:val="0021756E"/>
    <w:rsid w:val="002209AB"/>
    <w:rsid w:val="00221359"/>
    <w:rsid w:val="00223C3E"/>
    <w:rsid w:val="00224D03"/>
    <w:rsid w:val="002251E3"/>
    <w:rsid w:val="002257CB"/>
    <w:rsid w:val="00227603"/>
    <w:rsid w:val="00227A95"/>
    <w:rsid w:val="002316BD"/>
    <w:rsid w:val="00231C67"/>
    <w:rsid w:val="0023203E"/>
    <w:rsid w:val="002321B2"/>
    <w:rsid w:val="002330D9"/>
    <w:rsid w:val="00233291"/>
    <w:rsid w:val="00233333"/>
    <w:rsid w:val="0023366D"/>
    <w:rsid w:val="002344FA"/>
    <w:rsid w:val="0023554D"/>
    <w:rsid w:val="00236F59"/>
    <w:rsid w:val="00237292"/>
    <w:rsid w:val="0023738C"/>
    <w:rsid w:val="00237443"/>
    <w:rsid w:val="00237554"/>
    <w:rsid w:val="00237BD1"/>
    <w:rsid w:val="00237D40"/>
    <w:rsid w:val="00241CC3"/>
    <w:rsid w:val="00242C1D"/>
    <w:rsid w:val="00244621"/>
    <w:rsid w:val="002450CF"/>
    <w:rsid w:val="00245547"/>
    <w:rsid w:val="00245D86"/>
    <w:rsid w:val="002473FC"/>
    <w:rsid w:val="00247868"/>
    <w:rsid w:val="002502AE"/>
    <w:rsid w:val="00252E3C"/>
    <w:rsid w:val="00252EF5"/>
    <w:rsid w:val="0025315E"/>
    <w:rsid w:val="00254AB9"/>
    <w:rsid w:val="002559FD"/>
    <w:rsid w:val="00255B43"/>
    <w:rsid w:val="00256A47"/>
    <w:rsid w:val="00261448"/>
    <w:rsid w:val="00262198"/>
    <w:rsid w:val="00262993"/>
    <w:rsid w:val="00264359"/>
    <w:rsid w:val="00265044"/>
    <w:rsid w:val="002653D2"/>
    <w:rsid w:val="0026693F"/>
    <w:rsid w:val="00266EA9"/>
    <w:rsid w:val="0027138D"/>
    <w:rsid w:val="002721B5"/>
    <w:rsid w:val="002722DA"/>
    <w:rsid w:val="002725F9"/>
    <w:rsid w:val="00272879"/>
    <w:rsid w:val="0027415B"/>
    <w:rsid w:val="002746B4"/>
    <w:rsid w:val="002748DD"/>
    <w:rsid w:val="00274B21"/>
    <w:rsid w:val="00274B3E"/>
    <w:rsid w:val="00275ADA"/>
    <w:rsid w:val="00277597"/>
    <w:rsid w:val="00280276"/>
    <w:rsid w:val="00281456"/>
    <w:rsid w:val="00282293"/>
    <w:rsid w:val="00283556"/>
    <w:rsid w:val="002846A5"/>
    <w:rsid w:val="00285512"/>
    <w:rsid w:val="002857BA"/>
    <w:rsid w:val="00285F1B"/>
    <w:rsid w:val="00287189"/>
    <w:rsid w:val="00291560"/>
    <w:rsid w:val="00292B81"/>
    <w:rsid w:val="00292CDF"/>
    <w:rsid w:val="002958B9"/>
    <w:rsid w:val="00295CA9"/>
    <w:rsid w:val="0029751A"/>
    <w:rsid w:val="002A01A4"/>
    <w:rsid w:val="002A36F6"/>
    <w:rsid w:val="002A37B2"/>
    <w:rsid w:val="002A3B35"/>
    <w:rsid w:val="002A4A18"/>
    <w:rsid w:val="002A501A"/>
    <w:rsid w:val="002A51B1"/>
    <w:rsid w:val="002A622E"/>
    <w:rsid w:val="002A68E2"/>
    <w:rsid w:val="002B18AE"/>
    <w:rsid w:val="002B3454"/>
    <w:rsid w:val="002B4546"/>
    <w:rsid w:val="002B5638"/>
    <w:rsid w:val="002B6F98"/>
    <w:rsid w:val="002B79B0"/>
    <w:rsid w:val="002C08B8"/>
    <w:rsid w:val="002C0D5F"/>
    <w:rsid w:val="002C181E"/>
    <w:rsid w:val="002C1962"/>
    <w:rsid w:val="002C1A02"/>
    <w:rsid w:val="002C1AC1"/>
    <w:rsid w:val="002C1C93"/>
    <w:rsid w:val="002C2B68"/>
    <w:rsid w:val="002C39EB"/>
    <w:rsid w:val="002C5066"/>
    <w:rsid w:val="002C51E9"/>
    <w:rsid w:val="002C57DF"/>
    <w:rsid w:val="002C5813"/>
    <w:rsid w:val="002D2C5B"/>
    <w:rsid w:val="002D478F"/>
    <w:rsid w:val="002D4AAC"/>
    <w:rsid w:val="002D4FC7"/>
    <w:rsid w:val="002D58F2"/>
    <w:rsid w:val="002D6D3E"/>
    <w:rsid w:val="002E3E89"/>
    <w:rsid w:val="002E4CA8"/>
    <w:rsid w:val="002E518A"/>
    <w:rsid w:val="002F0108"/>
    <w:rsid w:val="002F045A"/>
    <w:rsid w:val="002F0B87"/>
    <w:rsid w:val="002F0C8B"/>
    <w:rsid w:val="002F2E2F"/>
    <w:rsid w:val="002F3DB2"/>
    <w:rsid w:val="002F514A"/>
    <w:rsid w:val="002F564A"/>
    <w:rsid w:val="002F5808"/>
    <w:rsid w:val="002F5DEA"/>
    <w:rsid w:val="002F5DEB"/>
    <w:rsid w:val="002F712A"/>
    <w:rsid w:val="002F7D32"/>
    <w:rsid w:val="0030039D"/>
    <w:rsid w:val="003003B9"/>
    <w:rsid w:val="0030175F"/>
    <w:rsid w:val="0030256D"/>
    <w:rsid w:val="00302927"/>
    <w:rsid w:val="00302DBE"/>
    <w:rsid w:val="0030326F"/>
    <w:rsid w:val="00304367"/>
    <w:rsid w:val="00306B34"/>
    <w:rsid w:val="00306F3F"/>
    <w:rsid w:val="003101FF"/>
    <w:rsid w:val="00310701"/>
    <w:rsid w:val="00310F46"/>
    <w:rsid w:val="0031163E"/>
    <w:rsid w:val="00311D68"/>
    <w:rsid w:val="00315080"/>
    <w:rsid w:val="003156EF"/>
    <w:rsid w:val="00315980"/>
    <w:rsid w:val="0031616B"/>
    <w:rsid w:val="00316E4A"/>
    <w:rsid w:val="00316F7F"/>
    <w:rsid w:val="00317609"/>
    <w:rsid w:val="003217CC"/>
    <w:rsid w:val="003218E8"/>
    <w:rsid w:val="00322118"/>
    <w:rsid w:val="003227AD"/>
    <w:rsid w:val="00323CA8"/>
    <w:rsid w:val="00325A2F"/>
    <w:rsid w:val="00325E34"/>
    <w:rsid w:val="00326536"/>
    <w:rsid w:val="00327E3E"/>
    <w:rsid w:val="00330DCE"/>
    <w:rsid w:val="00331E11"/>
    <w:rsid w:val="00332736"/>
    <w:rsid w:val="00332F90"/>
    <w:rsid w:val="00334761"/>
    <w:rsid w:val="0033478C"/>
    <w:rsid w:val="00335FF7"/>
    <w:rsid w:val="00337EBC"/>
    <w:rsid w:val="00337EF6"/>
    <w:rsid w:val="003411FE"/>
    <w:rsid w:val="00341DCD"/>
    <w:rsid w:val="003425DD"/>
    <w:rsid w:val="003431F7"/>
    <w:rsid w:val="00343B11"/>
    <w:rsid w:val="003440A6"/>
    <w:rsid w:val="0034563E"/>
    <w:rsid w:val="00345A6B"/>
    <w:rsid w:val="00345A80"/>
    <w:rsid w:val="003460FA"/>
    <w:rsid w:val="003464E7"/>
    <w:rsid w:val="003472AB"/>
    <w:rsid w:val="00350D7C"/>
    <w:rsid w:val="00350E43"/>
    <w:rsid w:val="0035140F"/>
    <w:rsid w:val="003518D6"/>
    <w:rsid w:val="0035342F"/>
    <w:rsid w:val="00353CF2"/>
    <w:rsid w:val="00353F40"/>
    <w:rsid w:val="00353F5A"/>
    <w:rsid w:val="0035460C"/>
    <w:rsid w:val="003556BD"/>
    <w:rsid w:val="00355C0A"/>
    <w:rsid w:val="0035611B"/>
    <w:rsid w:val="003563AF"/>
    <w:rsid w:val="00356E9C"/>
    <w:rsid w:val="00360D05"/>
    <w:rsid w:val="00360FC4"/>
    <w:rsid w:val="00362A30"/>
    <w:rsid w:val="00364430"/>
    <w:rsid w:val="00364EA7"/>
    <w:rsid w:val="00365147"/>
    <w:rsid w:val="00365F93"/>
    <w:rsid w:val="0036631D"/>
    <w:rsid w:val="0037016E"/>
    <w:rsid w:val="00372908"/>
    <w:rsid w:val="00377F4F"/>
    <w:rsid w:val="00381C3D"/>
    <w:rsid w:val="00383020"/>
    <w:rsid w:val="003849BC"/>
    <w:rsid w:val="0038555B"/>
    <w:rsid w:val="00385ACF"/>
    <w:rsid w:val="00385B7C"/>
    <w:rsid w:val="00385E3C"/>
    <w:rsid w:val="00386D81"/>
    <w:rsid w:val="00387D68"/>
    <w:rsid w:val="003927CF"/>
    <w:rsid w:val="00393F42"/>
    <w:rsid w:val="00394D7E"/>
    <w:rsid w:val="00396108"/>
    <w:rsid w:val="003975FD"/>
    <w:rsid w:val="003A0E5B"/>
    <w:rsid w:val="003A15C6"/>
    <w:rsid w:val="003A1B86"/>
    <w:rsid w:val="003A28C2"/>
    <w:rsid w:val="003A67C5"/>
    <w:rsid w:val="003A74FE"/>
    <w:rsid w:val="003A7E3F"/>
    <w:rsid w:val="003B032C"/>
    <w:rsid w:val="003B057D"/>
    <w:rsid w:val="003B1D89"/>
    <w:rsid w:val="003B227D"/>
    <w:rsid w:val="003B2F4F"/>
    <w:rsid w:val="003B3D6B"/>
    <w:rsid w:val="003B4568"/>
    <w:rsid w:val="003B4C2E"/>
    <w:rsid w:val="003B5945"/>
    <w:rsid w:val="003B60CC"/>
    <w:rsid w:val="003B676B"/>
    <w:rsid w:val="003B6F0C"/>
    <w:rsid w:val="003C01A2"/>
    <w:rsid w:val="003C1546"/>
    <w:rsid w:val="003C1B25"/>
    <w:rsid w:val="003C2443"/>
    <w:rsid w:val="003C281A"/>
    <w:rsid w:val="003C285B"/>
    <w:rsid w:val="003C3212"/>
    <w:rsid w:val="003C3B62"/>
    <w:rsid w:val="003C52FF"/>
    <w:rsid w:val="003C5DA3"/>
    <w:rsid w:val="003C6EBF"/>
    <w:rsid w:val="003D1189"/>
    <w:rsid w:val="003D18E5"/>
    <w:rsid w:val="003D2205"/>
    <w:rsid w:val="003D4BCD"/>
    <w:rsid w:val="003D6C2B"/>
    <w:rsid w:val="003E01D8"/>
    <w:rsid w:val="003E1722"/>
    <w:rsid w:val="003E1AA0"/>
    <w:rsid w:val="003E2100"/>
    <w:rsid w:val="003E3160"/>
    <w:rsid w:val="003E39B8"/>
    <w:rsid w:val="003E3BFD"/>
    <w:rsid w:val="003E4571"/>
    <w:rsid w:val="003F0372"/>
    <w:rsid w:val="003F044F"/>
    <w:rsid w:val="003F1738"/>
    <w:rsid w:val="003F2BBA"/>
    <w:rsid w:val="003F3F18"/>
    <w:rsid w:val="003F453C"/>
    <w:rsid w:val="003F4E7E"/>
    <w:rsid w:val="003F61C0"/>
    <w:rsid w:val="003F6F5B"/>
    <w:rsid w:val="0040007F"/>
    <w:rsid w:val="0040055E"/>
    <w:rsid w:val="00400625"/>
    <w:rsid w:val="00400844"/>
    <w:rsid w:val="00401662"/>
    <w:rsid w:val="00401CF8"/>
    <w:rsid w:val="004024F6"/>
    <w:rsid w:val="004026D3"/>
    <w:rsid w:val="00403016"/>
    <w:rsid w:val="00403196"/>
    <w:rsid w:val="00403312"/>
    <w:rsid w:val="0040342D"/>
    <w:rsid w:val="00403BA3"/>
    <w:rsid w:val="004055F0"/>
    <w:rsid w:val="00405920"/>
    <w:rsid w:val="00405AAF"/>
    <w:rsid w:val="00406554"/>
    <w:rsid w:val="00407EB3"/>
    <w:rsid w:val="004117E5"/>
    <w:rsid w:val="0041192D"/>
    <w:rsid w:val="0041217B"/>
    <w:rsid w:val="00413EE1"/>
    <w:rsid w:val="00414E52"/>
    <w:rsid w:val="00417DFC"/>
    <w:rsid w:val="0042128E"/>
    <w:rsid w:val="0042194C"/>
    <w:rsid w:val="004228D8"/>
    <w:rsid w:val="00423A3D"/>
    <w:rsid w:val="0042494D"/>
    <w:rsid w:val="004269C2"/>
    <w:rsid w:val="00426A65"/>
    <w:rsid w:val="00430FF3"/>
    <w:rsid w:val="0043146E"/>
    <w:rsid w:val="00431528"/>
    <w:rsid w:val="00431843"/>
    <w:rsid w:val="00432B60"/>
    <w:rsid w:val="004339A7"/>
    <w:rsid w:val="00433F15"/>
    <w:rsid w:val="00433FCA"/>
    <w:rsid w:val="0043531E"/>
    <w:rsid w:val="00440698"/>
    <w:rsid w:val="00441EF9"/>
    <w:rsid w:val="00444568"/>
    <w:rsid w:val="004446F1"/>
    <w:rsid w:val="0044493B"/>
    <w:rsid w:val="004456F1"/>
    <w:rsid w:val="00446D32"/>
    <w:rsid w:val="00446EEE"/>
    <w:rsid w:val="00447354"/>
    <w:rsid w:val="00450489"/>
    <w:rsid w:val="00450F8B"/>
    <w:rsid w:val="00452D26"/>
    <w:rsid w:val="00452DEE"/>
    <w:rsid w:val="00453DE6"/>
    <w:rsid w:val="004540E2"/>
    <w:rsid w:val="00454454"/>
    <w:rsid w:val="00454C50"/>
    <w:rsid w:val="00457DD7"/>
    <w:rsid w:val="004606C9"/>
    <w:rsid w:val="00462564"/>
    <w:rsid w:val="00463A45"/>
    <w:rsid w:val="004649FA"/>
    <w:rsid w:val="004661DB"/>
    <w:rsid w:val="00467924"/>
    <w:rsid w:val="004712A5"/>
    <w:rsid w:val="0047266F"/>
    <w:rsid w:val="00472F8C"/>
    <w:rsid w:val="004749F0"/>
    <w:rsid w:val="004750FD"/>
    <w:rsid w:val="004758B2"/>
    <w:rsid w:val="00476D6B"/>
    <w:rsid w:val="00477AA4"/>
    <w:rsid w:val="00481B74"/>
    <w:rsid w:val="00482AC4"/>
    <w:rsid w:val="00484710"/>
    <w:rsid w:val="00484C62"/>
    <w:rsid w:val="00484C72"/>
    <w:rsid w:val="0048540C"/>
    <w:rsid w:val="00486246"/>
    <w:rsid w:val="0048666E"/>
    <w:rsid w:val="00486C85"/>
    <w:rsid w:val="00486E5D"/>
    <w:rsid w:val="00486FCC"/>
    <w:rsid w:val="00487030"/>
    <w:rsid w:val="00487CFD"/>
    <w:rsid w:val="00492C16"/>
    <w:rsid w:val="00493D21"/>
    <w:rsid w:val="00494B32"/>
    <w:rsid w:val="00497159"/>
    <w:rsid w:val="00497E32"/>
    <w:rsid w:val="004A0678"/>
    <w:rsid w:val="004A207E"/>
    <w:rsid w:val="004A3581"/>
    <w:rsid w:val="004A4324"/>
    <w:rsid w:val="004A48A3"/>
    <w:rsid w:val="004A6411"/>
    <w:rsid w:val="004B0D92"/>
    <w:rsid w:val="004B0EC0"/>
    <w:rsid w:val="004B5FA1"/>
    <w:rsid w:val="004B66F1"/>
    <w:rsid w:val="004B72A3"/>
    <w:rsid w:val="004B77DE"/>
    <w:rsid w:val="004C15CC"/>
    <w:rsid w:val="004C2700"/>
    <w:rsid w:val="004C3EA0"/>
    <w:rsid w:val="004C4525"/>
    <w:rsid w:val="004C7491"/>
    <w:rsid w:val="004D09B0"/>
    <w:rsid w:val="004D182C"/>
    <w:rsid w:val="004D22A5"/>
    <w:rsid w:val="004D29ED"/>
    <w:rsid w:val="004D3025"/>
    <w:rsid w:val="004D3CB8"/>
    <w:rsid w:val="004D4143"/>
    <w:rsid w:val="004D4863"/>
    <w:rsid w:val="004D4C85"/>
    <w:rsid w:val="004D5B08"/>
    <w:rsid w:val="004D7030"/>
    <w:rsid w:val="004E03A8"/>
    <w:rsid w:val="004E0508"/>
    <w:rsid w:val="004E1D6D"/>
    <w:rsid w:val="004E3E91"/>
    <w:rsid w:val="004E459E"/>
    <w:rsid w:val="004E6C95"/>
    <w:rsid w:val="004E6CBE"/>
    <w:rsid w:val="004E7333"/>
    <w:rsid w:val="004F1527"/>
    <w:rsid w:val="004F1FFA"/>
    <w:rsid w:val="004F3FFF"/>
    <w:rsid w:val="004F43E3"/>
    <w:rsid w:val="004F5E93"/>
    <w:rsid w:val="004F7169"/>
    <w:rsid w:val="00500D66"/>
    <w:rsid w:val="00501C18"/>
    <w:rsid w:val="00502572"/>
    <w:rsid w:val="005037E3"/>
    <w:rsid w:val="00503A8B"/>
    <w:rsid w:val="00503C84"/>
    <w:rsid w:val="00505919"/>
    <w:rsid w:val="00506887"/>
    <w:rsid w:val="00510897"/>
    <w:rsid w:val="00510FDC"/>
    <w:rsid w:val="00514467"/>
    <w:rsid w:val="00514C8E"/>
    <w:rsid w:val="00515312"/>
    <w:rsid w:val="00520825"/>
    <w:rsid w:val="0052248C"/>
    <w:rsid w:val="00524D63"/>
    <w:rsid w:val="005254B4"/>
    <w:rsid w:val="005265D7"/>
    <w:rsid w:val="00526808"/>
    <w:rsid w:val="0052683B"/>
    <w:rsid w:val="00526C02"/>
    <w:rsid w:val="00526EBF"/>
    <w:rsid w:val="00527300"/>
    <w:rsid w:val="00531DBF"/>
    <w:rsid w:val="005330E9"/>
    <w:rsid w:val="00534FE7"/>
    <w:rsid w:val="00535514"/>
    <w:rsid w:val="005355F8"/>
    <w:rsid w:val="00535D3C"/>
    <w:rsid w:val="00536133"/>
    <w:rsid w:val="0053652D"/>
    <w:rsid w:val="00536E71"/>
    <w:rsid w:val="00537B5C"/>
    <w:rsid w:val="0054081E"/>
    <w:rsid w:val="005413C6"/>
    <w:rsid w:val="00541CAB"/>
    <w:rsid w:val="00543403"/>
    <w:rsid w:val="00544EA2"/>
    <w:rsid w:val="00545759"/>
    <w:rsid w:val="00545BE0"/>
    <w:rsid w:val="00545CA9"/>
    <w:rsid w:val="00546023"/>
    <w:rsid w:val="00546930"/>
    <w:rsid w:val="0054791A"/>
    <w:rsid w:val="005511FC"/>
    <w:rsid w:val="00551621"/>
    <w:rsid w:val="0055164F"/>
    <w:rsid w:val="00552FDB"/>
    <w:rsid w:val="00554C6A"/>
    <w:rsid w:val="005555C9"/>
    <w:rsid w:val="0055586A"/>
    <w:rsid w:val="00557756"/>
    <w:rsid w:val="00557D83"/>
    <w:rsid w:val="00560100"/>
    <w:rsid w:val="00562E85"/>
    <w:rsid w:val="0056332F"/>
    <w:rsid w:val="005636B8"/>
    <w:rsid w:val="0056443D"/>
    <w:rsid w:val="00564E86"/>
    <w:rsid w:val="00567B5A"/>
    <w:rsid w:val="005719B3"/>
    <w:rsid w:val="005726FB"/>
    <w:rsid w:val="00572704"/>
    <w:rsid w:val="0057295E"/>
    <w:rsid w:val="00572D2D"/>
    <w:rsid w:val="0057467B"/>
    <w:rsid w:val="00574684"/>
    <w:rsid w:val="00574833"/>
    <w:rsid w:val="00574DD7"/>
    <w:rsid w:val="005751AC"/>
    <w:rsid w:val="005768F3"/>
    <w:rsid w:val="00576EA7"/>
    <w:rsid w:val="00580243"/>
    <w:rsid w:val="005806BB"/>
    <w:rsid w:val="00580C48"/>
    <w:rsid w:val="00581078"/>
    <w:rsid w:val="005812CA"/>
    <w:rsid w:val="00581359"/>
    <w:rsid w:val="00581C39"/>
    <w:rsid w:val="005830A2"/>
    <w:rsid w:val="00583889"/>
    <w:rsid w:val="005847BA"/>
    <w:rsid w:val="00585041"/>
    <w:rsid w:val="0058506C"/>
    <w:rsid w:val="0058523B"/>
    <w:rsid w:val="0058553A"/>
    <w:rsid w:val="00585C24"/>
    <w:rsid w:val="00586908"/>
    <w:rsid w:val="005869AD"/>
    <w:rsid w:val="00586EBF"/>
    <w:rsid w:val="00587490"/>
    <w:rsid w:val="005903B6"/>
    <w:rsid w:val="00590C7B"/>
    <w:rsid w:val="0059111D"/>
    <w:rsid w:val="00591174"/>
    <w:rsid w:val="005918D1"/>
    <w:rsid w:val="0059209C"/>
    <w:rsid w:val="00592C04"/>
    <w:rsid w:val="005933C5"/>
    <w:rsid w:val="00595266"/>
    <w:rsid w:val="005967BE"/>
    <w:rsid w:val="005A0247"/>
    <w:rsid w:val="005A0331"/>
    <w:rsid w:val="005A126E"/>
    <w:rsid w:val="005A2039"/>
    <w:rsid w:val="005A395B"/>
    <w:rsid w:val="005A452F"/>
    <w:rsid w:val="005A473A"/>
    <w:rsid w:val="005A4E9D"/>
    <w:rsid w:val="005A56AD"/>
    <w:rsid w:val="005A59BB"/>
    <w:rsid w:val="005A655E"/>
    <w:rsid w:val="005A680D"/>
    <w:rsid w:val="005A79EE"/>
    <w:rsid w:val="005A7EE4"/>
    <w:rsid w:val="005B048B"/>
    <w:rsid w:val="005B066E"/>
    <w:rsid w:val="005B140D"/>
    <w:rsid w:val="005B3B60"/>
    <w:rsid w:val="005B4F0C"/>
    <w:rsid w:val="005B66D8"/>
    <w:rsid w:val="005C0537"/>
    <w:rsid w:val="005C1F4F"/>
    <w:rsid w:val="005C1FEA"/>
    <w:rsid w:val="005C3495"/>
    <w:rsid w:val="005C6020"/>
    <w:rsid w:val="005C70E5"/>
    <w:rsid w:val="005C7899"/>
    <w:rsid w:val="005C7C8A"/>
    <w:rsid w:val="005D1583"/>
    <w:rsid w:val="005D3149"/>
    <w:rsid w:val="005D3536"/>
    <w:rsid w:val="005D5963"/>
    <w:rsid w:val="005D6275"/>
    <w:rsid w:val="005D763B"/>
    <w:rsid w:val="005E2D13"/>
    <w:rsid w:val="005E32E0"/>
    <w:rsid w:val="005E3DFC"/>
    <w:rsid w:val="005E4A34"/>
    <w:rsid w:val="005E4AEC"/>
    <w:rsid w:val="005E5942"/>
    <w:rsid w:val="005E60AF"/>
    <w:rsid w:val="005E6362"/>
    <w:rsid w:val="005E66F8"/>
    <w:rsid w:val="005F0371"/>
    <w:rsid w:val="005F0430"/>
    <w:rsid w:val="005F058D"/>
    <w:rsid w:val="005F1BCF"/>
    <w:rsid w:val="005F1DEA"/>
    <w:rsid w:val="005F4778"/>
    <w:rsid w:val="005F4EF4"/>
    <w:rsid w:val="005F5153"/>
    <w:rsid w:val="005F5823"/>
    <w:rsid w:val="005F632B"/>
    <w:rsid w:val="005F73B5"/>
    <w:rsid w:val="005F782E"/>
    <w:rsid w:val="006001D0"/>
    <w:rsid w:val="00607FC9"/>
    <w:rsid w:val="00611557"/>
    <w:rsid w:val="0061306F"/>
    <w:rsid w:val="006130C3"/>
    <w:rsid w:val="0061462D"/>
    <w:rsid w:val="00614B8A"/>
    <w:rsid w:val="00616EB4"/>
    <w:rsid w:val="00622FE1"/>
    <w:rsid w:val="00623E73"/>
    <w:rsid w:val="0062521C"/>
    <w:rsid w:val="00625229"/>
    <w:rsid w:val="006263EC"/>
    <w:rsid w:val="00626824"/>
    <w:rsid w:val="006275FE"/>
    <w:rsid w:val="0062763C"/>
    <w:rsid w:val="00627E54"/>
    <w:rsid w:val="00630260"/>
    <w:rsid w:val="006302C2"/>
    <w:rsid w:val="00630A2B"/>
    <w:rsid w:val="00630B35"/>
    <w:rsid w:val="0063197F"/>
    <w:rsid w:val="00632DC7"/>
    <w:rsid w:val="00633983"/>
    <w:rsid w:val="00633F59"/>
    <w:rsid w:val="00634334"/>
    <w:rsid w:val="006347CB"/>
    <w:rsid w:val="006357FB"/>
    <w:rsid w:val="00636969"/>
    <w:rsid w:val="00637625"/>
    <w:rsid w:val="006406FC"/>
    <w:rsid w:val="00640728"/>
    <w:rsid w:val="0064081F"/>
    <w:rsid w:val="00640E57"/>
    <w:rsid w:val="0064390E"/>
    <w:rsid w:val="00643FD5"/>
    <w:rsid w:val="00644DDE"/>
    <w:rsid w:val="006450B3"/>
    <w:rsid w:val="006455F0"/>
    <w:rsid w:val="00645C89"/>
    <w:rsid w:val="00645DD8"/>
    <w:rsid w:val="00645E7E"/>
    <w:rsid w:val="00646122"/>
    <w:rsid w:val="006477D8"/>
    <w:rsid w:val="00651111"/>
    <w:rsid w:val="006511CC"/>
    <w:rsid w:val="00653E16"/>
    <w:rsid w:val="00655FC7"/>
    <w:rsid w:val="00656255"/>
    <w:rsid w:val="00656391"/>
    <w:rsid w:val="00657220"/>
    <w:rsid w:val="00657362"/>
    <w:rsid w:val="0066074E"/>
    <w:rsid w:val="0066104B"/>
    <w:rsid w:val="006615A0"/>
    <w:rsid w:val="00661894"/>
    <w:rsid w:val="0066210D"/>
    <w:rsid w:val="00663CE4"/>
    <w:rsid w:val="00664463"/>
    <w:rsid w:val="006655EE"/>
    <w:rsid w:val="0066646B"/>
    <w:rsid w:val="00666603"/>
    <w:rsid w:val="00667C10"/>
    <w:rsid w:val="00667EF4"/>
    <w:rsid w:val="00672424"/>
    <w:rsid w:val="0067554B"/>
    <w:rsid w:val="006768E5"/>
    <w:rsid w:val="0067690E"/>
    <w:rsid w:val="00676EF8"/>
    <w:rsid w:val="00676FCA"/>
    <w:rsid w:val="00677177"/>
    <w:rsid w:val="00681B4C"/>
    <w:rsid w:val="00683C37"/>
    <w:rsid w:val="00685319"/>
    <w:rsid w:val="006855D5"/>
    <w:rsid w:val="0068612E"/>
    <w:rsid w:val="006865C6"/>
    <w:rsid w:val="00687C92"/>
    <w:rsid w:val="00690743"/>
    <w:rsid w:val="00693458"/>
    <w:rsid w:val="00693741"/>
    <w:rsid w:val="00693D62"/>
    <w:rsid w:val="0069534E"/>
    <w:rsid w:val="006957E0"/>
    <w:rsid w:val="0069669C"/>
    <w:rsid w:val="00696B61"/>
    <w:rsid w:val="006A0D4C"/>
    <w:rsid w:val="006A1200"/>
    <w:rsid w:val="006A1EF5"/>
    <w:rsid w:val="006A30CD"/>
    <w:rsid w:val="006A32D6"/>
    <w:rsid w:val="006A3682"/>
    <w:rsid w:val="006A452D"/>
    <w:rsid w:val="006A4F4E"/>
    <w:rsid w:val="006A551E"/>
    <w:rsid w:val="006A576E"/>
    <w:rsid w:val="006A58D7"/>
    <w:rsid w:val="006A6813"/>
    <w:rsid w:val="006A6C23"/>
    <w:rsid w:val="006B0460"/>
    <w:rsid w:val="006B14DB"/>
    <w:rsid w:val="006B20BF"/>
    <w:rsid w:val="006B21C4"/>
    <w:rsid w:val="006B291D"/>
    <w:rsid w:val="006B3772"/>
    <w:rsid w:val="006B69E9"/>
    <w:rsid w:val="006B6A13"/>
    <w:rsid w:val="006B6EF9"/>
    <w:rsid w:val="006C01BF"/>
    <w:rsid w:val="006C28AA"/>
    <w:rsid w:val="006C28AD"/>
    <w:rsid w:val="006C2E03"/>
    <w:rsid w:val="006C393A"/>
    <w:rsid w:val="006C490A"/>
    <w:rsid w:val="006C4A1A"/>
    <w:rsid w:val="006C68F3"/>
    <w:rsid w:val="006D0393"/>
    <w:rsid w:val="006D147B"/>
    <w:rsid w:val="006D1965"/>
    <w:rsid w:val="006D1A83"/>
    <w:rsid w:val="006D1E31"/>
    <w:rsid w:val="006D1E94"/>
    <w:rsid w:val="006D590F"/>
    <w:rsid w:val="006D67CA"/>
    <w:rsid w:val="006D7424"/>
    <w:rsid w:val="006D7FF0"/>
    <w:rsid w:val="006E0F01"/>
    <w:rsid w:val="006E17BF"/>
    <w:rsid w:val="006E1CFE"/>
    <w:rsid w:val="006E3380"/>
    <w:rsid w:val="006E34F1"/>
    <w:rsid w:val="006E3BA4"/>
    <w:rsid w:val="006E47F9"/>
    <w:rsid w:val="006E4EA3"/>
    <w:rsid w:val="006E5DFE"/>
    <w:rsid w:val="006E7E10"/>
    <w:rsid w:val="006F0140"/>
    <w:rsid w:val="006F0DC8"/>
    <w:rsid w:val="006F10C4"/>
    <w:rsid w:val="006F1D4C"/>
    <w:rsid w:val="006F40E9"/>
    <w:rsid w:val="006F4C21"/>
    <w:rsid w:val="006F5603"/>
    <w:rsid w:val="006F5B13"/>
    <w:rsid w:val="006F60BC"/>
    <w:rsid w:val="006F665F"/>
    <w:rsid w:val="006F7B87"/>
    <w:rsid w:val="0070045B"/>
    <w:rsid w:val="00701400"/>
    <w:rsid w:val="0070226D"/>
    <w:rsid w:val="0070240A"/>
    <w:rsid w:val="00703168"/>
    <w:rsid w:val="00703776"/>
    <w:rsid w:val="007037CF"/>
    <w:rsid w:val="00705940"/>
    <w:rsid w:val="007061EC"/>
    <w:rsid w:val="00706689"/>
    <w:rsid w:val="00707DA6"/>
    <w:rsid w:val="00710186"/>
    <w:rsid w:val="007105DF"/>
    <w:rsid w:val="00711DCE"/>
    <w:rsid w:val="007126E2"/>
    <w:rsid w:val="00712801"/>
    <w:rsid w:val="007139F8"/>
    <w:rsid w:val="007142AB"/>
    <w:rsid w:val="00714D79"/>
    <w:rsid w:val="00715000"/>
    <w:rsid w:val="007167C0"/>
    <w:rsid w:val="00717D5E"/>
    <w:rsid w:val="00717DDF"/>
    <w:rsid w:val="00720481"/>
    <w:rsid w:val="00721250"/>
    <w:rsid w:val="00721683"/>
    <w:rsid w:val="007242C9"/>
    <w:rsid w:val="00724F3F"/>
    <w:rsid w:val="00727D3B"/>
    <w:rsid w:val="0073131C"/>
    <w:rsid w:val="00732B28"/>
    <w:rsid w:val="00733193"/>
    <w:rsid w:val="00733784"/>
    <w:rsid w:val="007347DF"/>
    <w:rsid w:val="007353E0"/>
    <w:rsid w:val="00735ABB"/>
    <w:rsid w:val="00735FB7"/>
    <w:rsid w:val="007361FC"/>
    <w:rsid w:val="007367BF"/>
    <w:rsid w:val="0073732F"/>
    <w:rsid w:val="0074027F"/>
    <w:rsid w:val="00742761"/>
    <w:rsid w:val="007430E0"/>
    <w:rsid w:val="00744DDA"/>
    <w:rsid w:val="00745271"/>
    <w:rsid w:val="0074581E"/>
    <w:rsid w:val="00745E03"/>
    <w:rsid w:val="00746C63"/>
    <w:rsid w:val="00750CF8"/>
    <w:rsid w:val="007518E4"/>
    <w:rsid w:val="00752065"/>
    <w:rsid w:val="007527BA"/>
    <w:rsid w:val="007544CF"/>
    <w:rsid w:val="00755AE2"/>
    <w:rsid w:val="007570E2"/>
    <w:rsid w:val="0075732A"/>
    <w:rsid w:val="007600F8"/>
    <w:rsid w:val="00760262"/>
    <w:rsid w:val="00761EAB"/>
    <w:rsid w:val="0076310C"/>
    <w:rsid w:val="007642F1"/>
    <w:rsid w:val="00764C1D"/>
    <w:rsid w:val="007667FD"/>
    <w:rsid w:val="0076744F"/>
    <w:rsid w:val="007678A4"/>
    <w:rsid w:val="00767930"/>
    <w:rsid w:val="00767BCE"/>
    <w:rsid w:val="00767EFC"/>
    <w:rsid w:val="00767FCD"/>
    <w:rsid w:val="007707DE"/>
    <w:rsid w:val="00770B5D"/>
    <w:rsid w:val="00772760"/>
    <w:rsid w:val="00772887"/>
    <w:rsid w:val="00773325"/>
    <w:rsid w:val="007752F1"/>
    <w:rsid w:val="00776768"/>
    <w:rsid w:val="007777A6"/>
    <w:rsid w:val="00780C96"/>
    <w:rsid w:val="00781093"/>
    <w:rsid w:val="0078187A"/>
    <w:rsid w:val="00783678"/>
    <w:rsid w:val="00783ABD"/>
    <w:rsid w:val="007841D3"/>
    <w:rsid w:val="00784F76"/>
    <w:rsid w:val="007850ED"/>
    <w:rsid w:val="0079230B"/>
    <w:rsid w:val="007938E9"/>
    <w:rsid w:val="007946F0"/>
    <w:rsid w:val="00794855"/>
    <w:rsid w:val="00794871"/>
    <w:rsid w:val="00794ED8"/>
    <w:rsid w:val="00795877"/>
    <w:rsid w:val="0079682E"/>
    <w:rsid w:val="007A0140"/>
    <w:rsid w:val="007A06BA"/>
    <w:rsid w:val="007A2573"/>
    <w:rsid w:val="007A2590"/>
    <w:rsid w:val="007A296B"/>
    <w:rsid w:val="007A392D"/>
    <w:rsid w:val="007A4188"/>
    <w:rsid w:val="007A543A"/>
    <w:rsid w:val="007A5A54"/>
    <w:rsid w:val="007A6798"/>
    <w:rsid w:val="007B04AD"/>
    <w:rsid w:val="007B0E2F"/>
    <w:rsid w:val="007B106C"/>
    <w:rsid w:val="007B1A4E"/>
    <w:rsid w:val="007B3D05"/>
    <w:rsid w:val="007B3FCF"/>
    <w:rsid w:val="007B5503"/>
    <w:rsid w:val="007B609D"/>
    <w:rsid w:val="007C179C"/>
    <w:rsid w:val="007C21E3"/>
    <w:rsid w:val="007C23BC"/>
    <w:rsid w:val="007C3C92"/>
    <w:rsid w:val="007C40C4"/>
    <w:rsid w:val="007C6BB3"/>
    <w:rsid w:val="007C729C"/>
    <w:rsid w:val="007D0B98"/>
    <w:rsid w:val="007D14B4"/>
    <w:rsid w:val="007D209F"/>
    <w:rsid w:val="007D2B38"/>
    <w:rsid w:val="007D398C"/>
    <w:rsid w:val="007D3AD7"/>
    <w:rsid w:val="007D7436"/>
    <w:rsid w:val="007D7CAA"/>
    <w:rsid w:val="007E0437"/>
    <w:rsid w:val="007E180D"/>
    <w:rsid w:val="007E24F6"/>
    <w:rsid w:val="007E27AB"/>
    <w:rsid w:val="007E33AD"/>
    <w:rsid w:val="007E4358"/>
    <w:rsid w:val="007E6086"/>
    <w:rsid w:val="007E785F"/>
    <w:rsid w:val="007F01F2"/>
    <w:rsid w:val="007F1ABC"/>
    <w:rsid w:val="007F35E9"/>
    <w:rsid w:val="007F3E54"/>
    <w:rsid w:val="007F5BEA"/>
    <w:rsid w:val="007F5CBA"/>
    <w:rsid w:val="007F6029"/>
    <w:rsid w:val="00800F64"/>
    <w:rsid w:val="00801050"/>
    <w:rsid w:val="0080137A"/>
    <w:rsid w:val="008021C0"/>
    <w:rsid w:val="00802F0B"/>
    <w:rsid w:val="00803281"/>
    <w:rsid w:val="00803A85"/>
    <w:rsid w:val="0080417B"/>
    <w:rsid w:val="00806505"/>
    <w:rsid w:val="00807BB8"/>
    <w:rsid w:val="00810725"/>
    <w:rsid w:val="0081083E"/>
    <w:rsid w:val="00810A67"/>
    <w:rsid w:val="00811165"/>
    <w:rsid w:val="0081396E"/>
    <w:rsid w:val="00814AD6"/>
    <w:rsid w:val="008150B7"/>
    <w:rsid w:val="008153E6"/>
    <w:rsid w:val="00817088"/>
    <w:rsid w:val="008208D0"/>
    <w:rsid w:val="00820F0D"/>
    <w:rsid w:val="008213E0"/>
    <w:rsid w:val="00822B3B"/>
    <w:rsid w:val="0082744D"/>
    <w:rsid w:val="00831D68"/>
    <w:rsid w:val="00832FA0"/>
    <w:rsid w:val="00833CF7"/>
    <w:rsid w:val="00834CDE"/>
    <w:rsid w:val="008364B9"/>
    <w:rsid w:val="008367DB"/>
    <w:rsid w:val="00836980"/>
    <w:rsid w:val="00836F69"/>
    <w:rsid w:val="008415A7"/>
    <w:rsid w:val="00842128"/>
    <w:rsid w:val="00842464"/>
    <w:rsid w:val="0084431D"/>
    <w:rsid w:val="00844AFD"/>
    <w:rsid w:val="008452F0"/>
    <w:rsid w:val="00845601"/>
    <w:rsid w:val="0084581E"/>
    <w:rsid w:val="0084607D"/>
    <w:rsid w:val="008474B4"/>
    <w:rsid w:val="00850519"/>
    <w:rsid w:val="00852656"/>
    <w:rsid w:val="00852D6A"/>
    <w:rsid w:val="00853E17"/>
    <w:rsid w:val="008547FA"/>
    <w:rsid w:val="00855C5C"/>
    <w:rsid w:val="00856267"/>
    <w:rsid w:val="008563B8"/>
    <w:rsid w:val="00861944"/>
    <w:rsid w:val="00862C26"/>
    <w:rsid w:val="00862DFC"/>
    <w:rsid w:val="008655F5"/>
    <w:rsid w:val="00865710"/>
    <w:rsid w:val="00865A2F"/>
    <w:rsid w:val="00866AF9"/>
    <w:rsid w:val="00867590"/>
    <w:rsid w:val="008679B5"/>
    <w:rsid w:val="00871002"/>
    <w:rsid w:val="00871F46"/>
    <w:rsid w:val="00875D54"/>
    <w:rsid w:val="00876600"/>
    <w:rsid w:val="0087762D"/>
    <w:rsid w:val="00880681"/>
    <w:rsid w:val="008810D0"/>
    <w:rsid w:val="008815E3"/>
    <w:rsid w:val="00882589"/>
    <w:rsid w:val="00883C28"/>
    <w:rsid w:val="008845F4"/>
    <w:rsid w:val="00884B6B"/>
    <w:rsid w:val="00884C4A"/>
    <w:rsid w:val="00885298"/>
    <w:rsid w:val="008859CD"/>
    <w:rsid w:val="00886154"/>
    <w:rsid w:val="00886A66"/>
    <w:rsid w:val="00887241"/>
    <w:rsid w:val="00887EE6"/>
    <w:rsid w:val="00891695"/>
    <w:rsid w:val="00893305"/>
    <w:rsid w:val="008968D2"/>
    <w:rsid w:val="008970ED"/>
    <w:rsid w:val="008971AC"/>
    <w:rsid w:val="008972F3"/>
    <w:rsid w:val="00897628"/>
    <w:rsid w:val="008A1E84"/>
    <w:rsid w:val="008A2023"/>
    <w:rsid w:val="008A28AD"/>
    <w:rsid w:val="008A3479"/>
    <w:rsid w:val="008A3C96"/>
    <w:rsid w:val="008A497A"/>
    <w:rsid w:val="008A52D5"/>
    <w:rsid w:val="008B06D9"/>
    <w:rsid w:val="008B23F1"/>
    <w:rsid w:val="008B2521"/>
    <w:rsid w:val="008B2A0E"/>
    <w:rsid w:val="008B2E6B"/>
    <w:rsid w:val="008B3CEA"/>
    <w:rsid w:val="008B3D16"/>
    <w:rsid w:val="008B4019"/>
    <w:rsid w:val="008B4416"/>
    <w:rsid w:val="008B65C9"/>
    <w:rsid w:val="008C0135"/>
    <w:rsid w:val="008C1C2C"/>
    <w:rsid w:val="008C2606"/>
    <w:rsid w:val="008C2D4A"/>
    <w:rsid w:val="008C305E"/>
    <w:rsid w:val="008D2DDC"/>
    <w:rsid w:val="008D3900"/>
    <w:rsid w:val="008D48DF"/>
    <w:rsid w:val="008D4EFF"/>
    <w:rsid w:val="008D598C"/>
    <w:rsid w:val="008D6E1D"/>
    <w:rsid w:val="008D6FAC"/>
    <w:rsid w:val="008E2EAE"/>
    <w:rsid w:val="008E3115"/>
    <w:rsid w:val="008E388F"/>
    <w:rsid w:val="008E3CA6"/>
    <w:rsid w:val="008E558F"/>
    <w:rsid w:val="008E5CB9"/>
    <w:rsid w:val="008E6916"/>
    <w:rsid w:val="008E790E"/>
    <w:rsid w:val="008F0523"/>
    <w:rsid w:val="008F074A"/>
    <w:rsid w:val="008F3739"/>
    <w:rsid w:val="008F39B4"/>
    <w:rsid w:val="008F4162"/>
    <w:rsid w:val="008F4607"/>
    <w:rsid w:val="008F5315"/>
    <w:rsid w:val="008F5856"/>
    <w:rsid w:val="008F7363"/>
    <w:rsid w:val="009006F0"/>
    <w:rsid w:val="00900EAF"/>
    <w:rsid w:val="00901FF8"/>
    <w:rsid w:val="009031FE"/>
    <w:rsid w:val="00903E02"/>
    <w:rsid w:val="009056D8"/>
    <w:rsid w:val="009057F5"/>
    <w:rsid w:val="0090680B"/>
    <w:rsid w:val="00907909"/>
    <w:rsid w:val="0091041C"/>
    <w:rsid w:val="00911CEF"/>
    <w:rsid w:val="00913175"/>
    <w:rsid w:val="009157E9"/>
    <w:rsid w:val="009159BE"/>
    <w:rsid w:val="0091670D"/>
    <w:rsid w:val="00916B91"/>
    <w:rsid w:val="00916EDB"/>
    <w:rsid w:val="0092000C"/>
    <w:rsid w:val="00920861"/>
    <w:rsid w:val="00920F04"/>
    <w:rsid w:val="009220C9"/>
    <w:rsid w:val="009223B5"/>
    <w:rsid w:val="00922A23"/>
    <w:rsid w:val="00922B13"/>
    <w:rsid w:val="009233DA"/>
    <w:rsid w:val="00923CA4"/>
    <w:rsid w:val="009242EF"/>
    <w:rsid w:val="009257AD"/>
    <w:rsid w:val="00925F5A"/>
    <w:rsid w:val="00926437"/>
    <w:rsid w:val="00926503"/>
    <w:rsid w:val="00927832"/>
    <w:rsid w:val="00932291"/>
    <w:rsid w:val="009326F5"/>
    <w:rsid w:val="00932861"/>
    <w:rsid w:val="009333A4"/>
    <w:rsid w:val="00933B8C"/>
    <w:rsid w:val="00933C91"/>
    <w:rsid w:val="0093408E"/>
    <w:rsid w:val="009342A6"/>
    <w:rsid w:val="00937DA0"/>
    <w:rsid w:val="009425BD"/>
    <w:rsid w:val="00943483"/>
    <w:rsid w:val="00944E7F"/>
    <w:rsid w:val="0094662B"/>
    <w:rsid w:val="009476FB"/>
    <w:rsid w:val="00947E38"/>
    <w:rsid w:val="00952DDF"/>
    <w:rsid w:val="0095745B"/>
    <w:rsid w:val="009610A3"/>
    <w:rsid w:val="00962735"/>
    <w:rsid w:val="00962871"/>
    <w:rsid w:val="00963B6A"/>
    <w:rsid w:val="00964A47"/>
    <w:rsid w:val="00965417"/>
    <w:rsid w:val="009660F6"/>
    <w:rsid w:val="00967CEC"/>
    <w:rsid w:val="00970950"/>
    <w:rsid w:val="0097148E"/>
    <w:rsid w:val="0097167A"/>
    <w:rsid w:val="00971EF4"/>
    <w:rsid w:val="00973B60"/>
    <w:rsid w:val="00974A76"/>
    <w:rsid w:val="00975A22"/>
    <w:rsid w:val="00976A35"/>
    <w:rsid w:val="009770F2"/>
    <w:rsid w:val="00977BF3"/>
    <w:rsid w:val="00981029"/>
    <w:rsid w:val="009812D4"/>
    <w:rsid w:val="00981A71"/>
    <w:rsid w:val="0098588C"/>
    <w:rsid w:val="00985E5A"/>
    <w:rsid w:val="009920D8"/>
    <w:rsid w:val="009922FC"/>
    <w:rsid w:val="009932B5"/>
    <w:rsid w:val="009936F4"/>
    <w:rsid w:val="00993E9E"/>
    <w:rsid w:val="009952F5"/>
    <w:rsid w:val="00995749"/>
    <w:rsid w:val="009A0CF9"/>
    <w:rsid w:val="009A0E62"/>
    <w:rsid w:val="009A1276"/>
    <w:rsid w:val="009A14C7"/>
    <w:rsid w:val="009A37C3"/>
    <w:rsid w:val="009A4046"/>
    <w:rsid w:val="009B066B"/>
    <w:rsid w:val="009B076A"/>
    <w:rsid w:val="009B1F22"/>
    <w:rsid w:val="009B2530"/>
    <w:rsid w:val="009B2A82"/>
    <w:rsid w:val="009B38BE"/>
    <w:rsid w:val="009B58D0"/>
    <w:rsid w:val="009B5B27"/>
    <w:rsid w:val="009B610D"/>
    <w:rsid w:val="009C1C1C"/>
    <w:rsid w:val="009C235C"/>
    <w:rsid w:val="009C3D0F"/>
    <w:rsid w:val="009C59A3"/>
    <w:rsid w:val="009C7254"/>
    <w:rsid w:val="009D3300"/>
    <w:rsid w:val="009D5019"/>
    <w:rsid w:val="009D5340"/>
    <w:rsid w:val="009E1B19"/>
    <w:rsid w:val="009E28F5"/>
    <w:rsid w:val="009E3CD1"/>
    <w:rsid w:val="009E649B"/>
    <w:rsid w:val="009E679E"/>
    <w:rsid w:val="009E6BCD"/>
    <w:rsid w:val="009E6E30"/>
    <w:rsid w:val="009F053A"/>
    <w:rsid w:val="009F2D26"/>
    <w:rsid w:val="009F2F97"/>
    <w:rsid w:val="009F35E2"/>
    <w:rsid w:val="009F4CF2"/>
    <w:rsid w:val="009F56CD"/>
    <w:rsid w:val="009F5E63"/>
    <w:rsid w:val="009F65F9"/>
    <w:rsid w:val="009F68BA"/>
    <w:rsid w:val="009F6D6D"/>
    <w:rsid w:val="009F789C"/>
    <w:rsid w:val="00A0129B"/>
    <w:rsid w:val="00A022F2"/>
    <w:rsid w:val="00A02C25"/>
    <w:rsid w:val="00A0313E"/>
    <w:rsid w:val="00A03AC1"/>
    <w:rsid w:val="00A04291"/>
    <w:rsid w:val="00A055CD"/>
    <w:rsid w:val="00A06277"/>
    <w:rsid w:val="00A0768D"/>
    <w:rsid w:val="00A079DC"/>
    <w:rsid w:val="00A10AD2"/>
    <w:rsid w:val="00A111C2"/>
    <w:rsid w:val="00A113E5"/>
    <w:rsid w:val="00A11E68"/>
    <w:rsid w:val="00A13842"/>
    <w:rsid w:val="00A143B1"/>
    <w:rsid w:val="00A14C04"/>
    <w:rsid w:val="00A166D1"/>
    <w:rsid w:val="00A177D1"/>
    <w:rsid w:val="00A2001B"/>
    <w:rsid w:val="00A206CE"/>
    <w:rsid w:val="00A21EB8"/>
    <w:rsid w:val="00A23801"/>
    <w:rsid w:val="00A245EC"/>
    <w:rsid w:val="00A24C4D"/>
    <w:rsid w:val="00A323F8"/>
    <w:rsid w:val="00A32746"/>
    <w:rsid w:val="00A32A40"/>
    <w:rsid w:val="00A338E7"/>
    <w:rsid w:val="00A33D05"/>
    <w:rsid w:val="00A35CAA"/>
    <w:rsid w:val="00A35CAC"/>
    <w:rsid w:val="00A36206"/>
    <w:rsid w:val="00A36E7F"/>
    <w:rsid w:val="00A370C5"/>
    <w:rsid w:val="00A404A9"/>
    <w:rsid w:val="00A411F4"/>
    <w:rsid w:val="00A41E65"/>
    <w:rsid w:val="00A42A90"/>
    <w:rsid w:val="00A43E0A"/>
    <w:rsid w:val="00A44282"/>
    <w:rsid w:val="00A44588"/>
    <w:rsid w:val="00A46A2A"/>
    <w:rsid w:val="00A46BAF"/>
    <w:rsid w:val="00A51D43"/>
    <w:rsid w:val="00A530C7"/>
    <w:rsid w:val="00A5399A"/>
    <w:rsid w:val="00A539B6"/>
    <w:rsid w:val="00A54B36"/>
    <w:rsid w:val="00A55F5B"/>
    <w:rsid w:val="00A56707"/>
    <w:rsid w:val="00A57127"/>
    <w:rsid w:val="00A5791D"/>
    <w:rsid w:val="00A57C8D"/>
    <w:rsid w:val="00A57FF1"/>
    <w:rsid w:val="00A60185"/>
    <w:rsid w:val="00A6060C"/>
    <w:rsid w:val="00A63318"/>
    <w:rsid w:val="00A63714"/>
    <w:rsid w:val="00A637FB"/>
    <w:rsid w:val="00A6395B"/>
    <w:rsid w:val="00A648AB"/>
    <w:rsid w:val="00A65EC8"/>
    <w:rsid w:val="00A661EA"/>
    <w:rsid w:val="00A67A29"/>
    <w:rsid w:val="00A734D1"/>
    <w:rsid w:val="00A74538"/>
    <w:rsid w:val="00A74920"/>
    <w:rsid w:val="00A74AAB"/>
    <w:rsid w:val="00A74EDE"/>
    <w:rsid w:val="00A7524F"/>
    <w:rsid w:val="00A773A6"/>
    <w:rsid w:val="00A7740B"/>
    <w:rsid w:val="00A80EA0"/>
    <w:rsid w:val="00A82383"/>
    <w:rsid w:val="00A82FA6"/>
    <w:rsid w:val="00A830E5"/>
    <w:rsid w:val="00A83AA8"/>
    <w:rsid w:val="00A84D54"/>
    <w:rsid w:val="00A84EFB"/>
    <w:rsid w:val="00A87135"/>
    <w:rsid w:val="00A872EC"/>
    <w:rsid w:val="00A8777B"/>
    <w:rsid w:val="00A92A48"/>
    <w:rsid w:val="00A93280"/>
    <w:rsid w:val="00A9368A"/>
    <w:rsid w:val="00A94731"/>
    <w:rsid w:val="00A951EA"/>
    <w:rsid w:val="00A961C6"/>
    <w:rsid w:val="00A97B75"/>
    <w:rsid w:val="00A97DF8"/>
    <w:rsid w:val="00AA0DFA"/>
    <w:rsid w:val="00AA2548"/>
    <w:rsid w:val="00AA3A4B"/>
    <w:rsid w:val="00AA4479"/>
    <w:rsid w:val="00AA58C4"/>
    <w:rsid w:val="00AA5E9D"/>
    <w:rsid w:val="00AA6E00"/>
    <w:rsid w:val="00AA7003"/>
    <w:rsid w:val="00AA7DA1"/>
    <w:rsid w:val="00AB0F75"/>
    <w:rsid w:val="00AB11C8"/>
    <w:rsid w:val="00AB194A"/>
    <w:rsid w:val="00AB2EEE"/>
    <w:rsid w:val="00AB3B13"/>
    <w:rsid w:val="00AB607B"/>
    <w:rsid w:val="00AB62F4"/>
    <w:rsid w:val="00AB6D38"/>
    <w:rsid w:val="00AB70AA"/>
    <w:rsid w:val="00AB75D1"/>
    <w:rsid w:val="00AC0013"/>
    <w:rsid w:val="00AC08A8"/>
    <w:rsid w:val="00AC11EF"/>
    <w:rsid w:val="00AC190E"/>
    <w:rsid w:val="00AC2529"/>
    <w:rsid w:val="00AC7B20"/>
    <w:rsid w:val="00AD0874"/>
    <w:rsid w:val="00AD0EF9"/>
    <w:rsid w:val="00AD1DD7"/>
    <w:rsid w:val="00AD21EF"/>
    <w:rsid w:val="00AD316A"/>
    <w:rsid w:val="00AD356C"/>
    <w:rsid w:val="00AD37B2"/>
    <w:rsid w:val="00AD4E86"/>
    <w:rsid w:val="00AD56C8"/>
    <w:rsid w:val="00AD58F2"/>
    <w:rsid w:val="00AD670B"/>
    <w:rsid w:val="00AD7B41"/>
    <w:rsid w:val="00AD7B61"/>
    <w:rsid w:val="00AE0C16"/>
    <w:rsid w:val="00AE1623"/>
    <w:rsid w:val="00AE19A9"/>
    <w:rsid w:val="00AE1A40"/>
    <w:rsid w:val="00AE2A0A"/>
    <w:rsid w:val="00AE6A69"/>
    <w:rsid w:val="00AF13E5"/>
    <w:rsid w:val="00AF208A"/>
    <w:rsid w:val="00AF2B57"/>
    <w:rsid w:val="00AF4920"/>
    <w:rsid w:val="00AF759E"/>
    <w:rsid w:val="00B02C2F"/>
    <w:rsid w:val="00B04D5F"/>
    <w:rsid w:val="00B0512A"/>
    <w:rsid w:val="00B0529F"/>
    <w:rsid w:val="00B05CDE"/>
    <w:rsid w:val="00B065CC"/>
    <w:rsid w:val="00B06F40"/>
    <w:rsid w:val="00B072F7"/>
    <w:rsid w:val="00B077B7"/>
    <w:rsid w:val="00B079D8"/>
    <w:rsid w:val="00B11043"/>
    <w:rsid w:val="00B114BE"/>
    <w:rsid w:val="00B11A30"/>
    <w:rsid w:val="00B120AD"/>
    <w:rsid w:val="00B133C2"/>
    <w:rsid w:val="00B1418B"/>
    <w:rsid w:val="00B142B2"/>
    <w:rsid w:val="00B14A3E"/>
    <w:rsid w:val="00B15B6C"/>
    <w:rsid w:val="00B21195"/>
    <w:rsid w:val="00B23A93"/>
    <w:rsid w:val="00B24B22"/>
    <w:rsid w:val="00B25310"/>
    <w:rsid w:val="00B259DD"/>
    <w:rsid w:val="00B270FC"/>
    <w:rsid w:val="00B27C78"/>
    <w:rsid w:val="00B310B5"/>
    <w:rsid w:val="00B325AB"/>
    <w:rsid w:val="00B326C4"/>
    <w:rsid w:val="00B32F8F"/>
    <w:rsid w:val="00B335A2"/>
    <w:rsid w:val="00B33913"/>
    <w:rsid w:val="00B3492A"/>
    <w:rsid w:val="00B4058D"/>
    <w:rsid w:val="00B4094E"/>
    <w:rsid w:val="00B4272F"/>
    <w:rsid w:val="00B42EAF"/>
    <w:rsid w:val="00B43952"/>
    <w:rsid w:val="00B44388"/>
    <w:rsid w:val="00B4695A"/>
    <w:rsid w:val="00B46A3E"/>
    <w:rsid w:val="00B4704D"/>
    <w:rsid w:val="00B472BA"/>
    <w:rsid w:val="00B47718"/>
    <w:rsid w:val="00B51861"/>
    <w:rsid w:val="00B5309A"/>
    <w:rsid w:val="00B53436"/>
    <w:rsid w:val="00B5408F"/>
    <w:rsid w:val="00B54DE9"/>
    <w:rsid w:val="00B553EC"/>
    <w:rsid w:val="00B557AF"/>
    <w:rsid w:val="00B55E3F"/>
    <w:rsid w:val="00B6012C"/>
    <w:rsid w:val="00B625D0"/>
    <w:rsid w:val="00B63C1E"/>
    <w:rsid w:val="00B641B1"/>
    <w:rsid w:val="00B64513"/>
    <w:rsid w:val="00B67552"/>
    <w:rsid w:val="00B703E3"/>
    <w:rsid w:val="00B70B30"/>
    <w:rsid w:val="00B71366"/>
    <w:rsid w:val="00B71F08"/>
    <w:rsid w:val="00B7217B"/>
    <w:rsid w:val="00B764E5"/>
    <w:rsid w:val="00B77326"/>
    <w:rsid w:val="00B802C0"/>
    <w:rsid w:val="00B81660"/>
    <w:rsid w:val="00B81CAE"/>
    <w:rsid w:val="00B82607"/>
    <w:rsid w:val="00B861CB"/>
    <w:rsid w:val="00B86AF3"/>
    <w:rsid w:val="00B87269"/>
    <w:rsid w:val="00B90A25"/>
    <w:rsid w:val="00B93DD0"/>
    <w:rsid w:val="00B95645"/>
    <w:rsid w:val="00B96060"/>
    <w:rsid w:val="00B972C4"/>
    <w:rsid w:val="00B97732"/>
    <w:rsid w:val="00B97B40"/>
    <w:rsid w:val="00BA09B7"/>
    <w:rsid w:val="00BA1502"/>
    <w:rsid w:val="00BA174D"/>
    <w:rsid w:val="00BA1859"/>
    <w:rsid w:val="00BA649B"/>
    <w:rsid w:val="00BA65A8"/>
    <w:rsid w:val="00BA6D19"/>
    <w:rsid w:val="00BA7461"/>
    <w:rsid w:val="00BA78B1"/>
    <w:rsid w:val="00BA7A53"/>
    <w:rsid w:val="00BA7DA9"/>
    <w:rsid w:val="00BB02C5"/>
    <w:rsid w:val="00BB06E8"/>
    <w:rsid w:val="00BB0CCE"/>
    <w:rsid w:val="00BB1225"/>
    <w:rsid w:val="00BB2172"/>
    <w:rsid w:val="00BB2DD2"/>
    <w:rsid w:val="00BB3092"/>
    <w:rsid w:val="00BB45B1"/>
    <w:rsid w:val="00BB4DB2"/>
    <w:rsid w:val="00BB5E17"/>
    <w:rsid w:val="00BB5EB8"/>
    <w:rsid w:val="00BB6186"/>
    <w:rsid w:val="00BB7E2C"/>
    <w:rsid w:val="00BC2837"/>
    <w:rsid w:val="00BC35BF"/>
    <w:rsid w:val="00BC3DE7"/>
    <w:rsid w:val="00BC3E69"/>
    <w:rsid w:val="00BC4215"/>
    <w:rsid w:val="00BC47B8"/>
    <w:rsid w:val="00BC5432"/>
    <w:rsid w:val="00BC64DC"/>
    <w:rsid w:val="00BD0BEB"/>
    <w:rsid w:val="00BD1A6F"/>
    <w:rsid w:val="00BD27D0"/>
    <w:rsid w:val="00BD5154"/>
    <w:rsid w:val="00BD7326"/>
    <w:rsid w:val="00BE0593"/>
    <w:rsid w:val="00BE098C"/>
    <w:rsid w:val="00BE0AC7"/>
    <w:rsid w:val="00BE0B86"/>
    <w:rsid w:val="00BE0F48"/>
    <w:rsid w:val="00BE22E5"/>
    <w:rsid w:val="00BE3F81"/>
    <w:rsid w:val="00BE40B4"/>
    <w:rsid w:val="00BE43B1"/>
    <w:rsid w:val="00BE497A"/>
    <w:rsid w:val="00BE4BE1"/>
    <w:rsid w:val="00BE557B"/>
    <w:rsid w:val="00BE68A0"/>
    <w:rsid w:val="00BE6D3C"/>
    <w:rsid w:val="00BE7852"/>
    <w:rsid w:val="00BF194F"/>
    <w:rsid w:val="00BF2837"/>
    <w:rsid w:val="00BF3873"/>
    <w:rsid w:val="00BF4453"/>
    <w:rsid w:val="00BF4C75"/>
    <w:rsid w:val="00BF5AD5"/>
    <w:rsid w:val="00BF6879"/>
    <w:rsid w:val="00BF6BB9"/>
    <w:rsid w:val="00BF7CEE"/>
    <w:rsid w:val="00C0200E"/>
    <w:rsid w:val="00C03880"/>
    <w:rsid w:val="00C0421B"/>
    <w:rsid w:val="00C0514E"/>
    <w:rsid w:val="00C06059"/>
    <w:rsid w:val="00C121C3"/>
    <w:rsid w:val="00C12B72"/>
    <w:rsid w:val="00C12D9F"/>
    <w:rsid w:val="00C135CF"/>
    <w:rsid w:val="00C13873"/>
    <w:rsid w:val="00C13F74"/>
    <w:rsid w:val="00C146FC"/>
    <w:rsid w:val="00C20D3A"/>
    <w:rsid w:val="00C20F9A"/>
    <w:rsid w:val="00C21E88"/>
    <w:rsid w:val="00C2234B"/>
    <w:rsid w:val="00C22A88"/>
    <w:rsid w:val="00C2347A"/>
    <w:rsid w:val="00C236B0"/>
    <w:rsid w:val="00C24691"/>
    <w:rsid w:val="00C25D47"/>
    <w:rsid w:val="00C25DF2"/>
    <w:rsid w:val="00C2683F"/>
    <w:rsid w:val="00C307C8"/>
    <w:rsid w:val="00C31757"/>
    <w:rsid w:val="00C3184D"/>
    <w:rsid w:val="00C32937"/>
    <w:rsid w:val="00C341A6"/>
    <w:rsid w:val="00C354E7"/>
    <w:rsid w:val="00C37E8F"/>
    <w:rsid w:val="00C40410"/>
    <w:rsid w:val="00C40AD0"/>
    <w:rsid w:val="00C41E00"/>
    <w:rsid w:val="00C449F8"/>
    <w:rsid w:val="00C44ACF"/>
    <w:rsid w:val="00C45906"/>
    <w:rsid w:val="00C46B5C"/>
    <w:rsid w:val="00C47030"/>
    <w:rsid w:val="00C4714E"/>
    <w:rsid w:val="00C51A96"/>
    <w:rsid w:val="00C51CCA"/>
    <w:rsid w:val="00C52193"/>
    <w:rsid w:val="00C52BF2"/>
    <w:rsid w:val="00C53CC4"/>
    <w:rsid w:val="00C5504F"/>
    <w:rsid w:val="00C556BC"/>
    <w:rsid w:val="00C558B3"/>
    <w:rsid w:val="00C562FC"/>
    <w:rsid w:val="00C575FF"/>
    <w:rsid w:val="00C57B55"/>
    <w:rsid w:val="00C61934"/>
    <w:rsid w:val="00C61F76"/>
    <w:rsid w:val="00C63376"/>
    <w:rsid w:val="00C638B0"/>
    <w:rsid w:val="00C642C7"/>
    <w:rsid w:val="00C65F44"/>
    <w:rsid w:val="00C71038"/>
    <w:rsid w:val="00C718F6"/>
    <w:rsid w:val="00C73A8D"/>
    <w:rsid w:val="00C743A7"/>
    <w:rsid w:val="00C746DF"/>
    <w:rsid w:val="00C74B33"/>
    <w:rsid w:val="00C74F97"/>
    <w:rsid w:val="00C7581D"/>
    <w:rsid w:val="00C76545"/>
    <w:rsid w:val="00C801F4"/>
    <w:rsid w:val="00C80B41"/>
    <w:rsid w:val="00C813E7"/>
    <w:rsid w:val="00C8276E"/>
    <w:rsid w:val="00C834A3"/>
    <w:rsid w:val="00C83B59"/>
    <w:rsid w:val="00C8407C"/>
    <w:rsid w:val="00C841DD"/>
    <w:rsid w:val="00C842AC"/>
    <w:rsid w:val="00C85C38"/>
    <w:rsid w:val="00C8648E"/>
    <w:rsid w:val="00C90BEC"/>
    <w:rsid w:val="00C90D66"/>
    <w:rsid w:val="00C91E58"/>
    <w:rsid w:val="00C92189"/>
    <w:rsid w:val="00C92195"/>
    <w:rsid w:val="00C93B12"/>
    <w:rsid w:val="00C940E6"/>
    <w:rsid w:val="00C94EA9"/>
    <w:rsid w:val="00C95293"/>
    <w:rsid w:val="00C9643F"/>
    <w:rsid w:val="00C96688"/>
    <w:rsid w:val="00C97995"/>
    <w:rsid w:val="00C97DBB"/>
    <w:rsid w:val="00CA0723"/>
    <w:rsid w:val="00CA15F9"/>
    <w:rsid w:val="00CA3ACC"/>
    <w:rsid w:val="00CA420A"/>
    <w:rsid w:val="00CA5BD9"/>
    <w:rsid w:val="00CA76F2"/>
    <w:rsid w:val="00CB0C97"/>
    <w:rsid w:val="00CB0E91"/>
    <w:rsid w:val="00CB1690"/>
    <w:rsid w:val="00CB1A34"/>
    <w:rsid w:val="00CB3D23"/>
    <w:rsid w:val="00CB5240"/>
    <w:rsid w:val="00CB53F7"/>
    <w:rsid w:val="00CC0D84"/>
    <w:rsid w:val="00CC1027"/>
    <w:rsid w:val="00CC13C3"/>
    <w:rsid w:val="00CC4365"/>
    <w:rsid w:val="00CC4B0B"/>
    <w:rsid w:val="00CC5130"/>
    <w:rsid w:val="00CC5B2A"/>
    <w:rsid w:val="00CC77AB"/>
    <w:rsid w:val="00CC7C80"/>
    <w:rsid w:val="00CD0543"/>
    <w:rsid w:val="00CD069A"/>
    <w:rsid w:val="00CD11B0"/>
    <w:rsid w:val="00CD1720"/>
    <w:rsid w:val="00CD19E2"/>
    <w:rsid w:val="00CD2553"/>
    <w:rsid w:val="00CD3A31"/>
    <w:rsid w:val="00CD520F"/>
    <w:rsid w:val="00CD6081"/>
    <w:rsid w:val="00CD7636"/>
    <w:rsid w:val="00CD7E06"/>
    <w:rsid w:val="00CE1BA1"/>
    <w:rsid w:val="00CE2C65"/>
    <w:rsid w:val="00CE309F"/>
    <w:rsid w:val="00CE3162"/>
    <w:rsid w:val="00CE4236"/>
    <w:rsid w:val="00CE4B1E"/>
    <w:rsid w:val="00CE56E8"/>
    <w:rsid w:val="00CE5C2A"/>
    <w:rsid w:val="00CE5EBA"/>
    <w:rsid w:val="00CE71C2"/>
    <w:rsid w:val="00CF0321"/>
    <w:rsid w:val="00CF1320"/>
    <w:rsid w:val="00CF1501"/>
    <w:rsid w:val="00CF1DE5"/>
    <w:rsid w:val="00CF227F"/>
    <w:rsid w:val="00CF2683"/>
    <w:rsid w:val="00CF34E9"/>
    <w:rsid w:val="00CF42D5"/>
    <w:rsid w:val="00CF4EDA"/>
    <w:rsid w:val="00CF6BC2"/>
    <w:rsid w:val="00CF6D2E"/>
    <w:rsid w:val="00CF7D7F"/>
    <w:rsid w:val="00D013EA"/>
    <w:rsid w:val="00D01CFC"/>
    <w:rsid w:val="00D021CB"/>
    <w:rsid w:val="00D0270D"/>
    <w:rsid w:val="00D03A4D"/>
    <w:rsid w:val="00D041A7"/>
    <w:rsid w:val="00D042A6"/>
    <w:rsid w:val="00D057D0"/>
    <w:rsid w:val="00D066CD"/>
    <w:rsid w:val="00D07511"/>
    <w:rsid w:val="00D10553"/>
    <w:rsid w:val="00D10F1A"/>
    <w:rsid w:val="00D116F8"/>
    <w:rsid w:val="00D12E53"/>
    <w:rsid w:val="00D13DA2"/>
    <w:rsid w:val="00D16C5F"/>
    <w:rsid w:val="00D1757F"/>
    <w:rsid w:val="00D17596"/>
    <w:rsid w:val="00D17ED6"/>
    <w:rsid w:val="00D2019F"/>
    <w:rsid w:val="00D21D54"/>
    <w:rsid w:val="00D22640"/>
    <w:rsid w:val="00D2475A"/>
    <w:rsid w:val="00D24C62"/>
    <w:rsid w:val="00D26188"/>
    <w:rsid w:val="00D262E4"/>
    <w:rsid w:val="00D2663A"/>
    <w:rsid w:val="00D26D3A"/>
    <w:rsid w:val="00D31FDF"/>
    <w:rsid w:val="00D33B7F"/>
    <w:rsid w:val="00D34481"/>
    <w:rsid w:val="00D40B13"/>
    <w:rsid w:val="00D40D9A"/>
    <w:rsid w:val="00D43D5C"/>
    <w:rsid w:val="00D4536D"/>
    <w:rsid w:val="00D45EE3"/>
    <w:rsid w:val="00D46F57"/>
    <w:rsid w:val="00D50618"/>
    <w:rsid w:val="00D509E9"/>
    <w:rsid w:val="00D538D4"/>
    <w:rsid w:val="00D53B1C"/>
    <w:rsid w:val="00D54163"/>
    <w:rsid w:val="00D566ED"/>
    <w:rsid w:val="00D5754F"/>
    <w:rsid w:val="00D57FC1"/>
    <w:rsid w:val="00D60C59"/>
    <w:rsid w:val="00D614D0"/>
    <w:rsid w:val="00D61CBE"/>
    <w:rsid w:val="00D63066"/>
    <w:rsid w:val="00D6335C"/>
    <w:rsid w:val="00D638A2"/>
    <w:rsid w:val="00D6689D"/>
    <w:rsid w:val="00D66BF1"/>
    <w:rsid w:val="00D67A84"/>
    <w:rsid w:val="00D70B6D"/>
    <w:rsid w:val="00D71E96"/>
    <w:rsid w:val="00D72731"/>
    <w:rsid w:val="00D73945"/>
    <w:rsid w:val="00D7416C"/>
    <w:rsid w:val="00D75D72"/>
    <w:rsid w:val="00D7721F"/>
    <w:rsid w:val="00D77E41"/>
    <w:rsid w:val="00D77E9D"/>
    <w:rsid w:val="00D82964"/>
    <w:rsid w:val="00D82E43"/>
    <w:rsid w:val="00D84E36"/>
    <w:rsid w:val="00D85D3A"/>
    <w:rsid w:val="00D86214"/>
    <w:rsid w:val="00D90C86"/>
    <w:rsid w:val="00D91489"/>
    <w:rsid w:val="00D94FA9"/>
    <w:rsid w:val="00D95E5E"/>
    <w:rsid w:val="00D97CBC"/>
    <w:rsid w:val="00DA1B12"/>
    <w:rsid w:val="00DA2A1D"/>
    <w:rsid w:val="00DA489F"/>
    <w:rsid w:val="00DA54C9"/>
    <w:rsid w:val="00DA6739"/>
    <w:rsid w:val="00DA6CAE"/>
    <w:rsid w:val="00DA7556"/>
    <w:rsid w:val="00DA77FF"/>
    <w:rsid w:val="00DA7EFC"/>
    <w:rsid w:val="00DB07C5"/>
    <w:rsid w:val="00DB0E23"/>
    <w:rsid w:val="00DB1A9E"/>
    <w:rsid w:val="00DB31D6"/>
    <w:rsid w:val="00DB342C"/>
    <w:rsid w:val="00DB3E5B"/>
    <w:rsid w:val="00DB4005"/>
    <w:rsid w:val="00DB4D33"/>
    <w:rsid w:val="00DB619F"/>
    <w:rsid w:val="00DB7866"/>
    <w:rsid w:val="00DB7DCD"/>
    <w:rsid w:val="00DC06BD"/>
    <w:rsid w:val="00DC0AD9"/>
    <w:rsid w:val="00DC2EC7"/>
    <w:rsid w:val="00DC34EB"/>
    <w:rsid w:val="00DC4530"/>
    <w:rsid w:val="00DC45CC"/>
    <w:rsid w:val="00DD1783"/>
    <w:rsid w:val="00DD1D7E"/>
    <w:rsid w:val="00DD3A35"/>
    <w:rsid w:val="00DD4FB7"/>
    <w:rsid w:val="00DD6230"/>
    <w:rsid w:val="00DD7A6B"/>
    <w:rsid w:val="00DE4D73"/>
    <w:rsid w:val="00DE6CE8"/>
    <w:rsid w:val="00DE729A"/>
    <w:rsid w:val="00DF1D17"/>
    <w:rsid w:val="00DF1E5B"/>
    <w:rsid w:val="00DF2275"/>
    <w:rsid w:val="00DF25A8"/>
    <w:rsid w:val="00DF27FA"/>
    <w:rsid w:val="00DF2B4E"/>
    <w:rsid w:val="00DF2E65"/>
    <w:rsid w:val="00DF3B87"/>
    <w:rsid w:val="00DF3F5E"/>
    <w:rsid w:val="00DF5653"/>
    <w:rsid w:val="00DF6817"/>
    <w:rsid w:val="00DF7782"/>
    <w:rsid w:val="00DF78CD"/>
    <w:rsid w:val="00E0046F"/>
    <w:rsid w:val="00E01B3C"/>
    <w:rsid w:val="00E02B36"/>
    <w:rsid w:val="00E0373E"/>
    <w:rsid w:val="00E03D6A"/>
    <w:rsid w:val="00E04849"/>
    <w:rsid w:val="00E04897"/>
    <w:rsid w:val="00E04E83"/>
    <w:rsid w:val="00E0596E"/>
    <w:rsid w:val="00E059C4"/>
    <w:rsid w:val="00E05B03"/>
    <w:rsid w:val="00E06F66"/>
    <w:rsid w:val="00E121E4"/>
    <w:rsid w:val="00E14167"/>
    <w:rsid w:val="00E1598C"/>
    <w:rsid w:val="00E1762C"/>
    <w:rsid w:val="00E17F85"/>
    <w:rsid w:val="00E217C2"/>
    <w:rsid w:val="00E22A97"/>
    <w:rsid w:val="00E2344C"/>
    <w:rsid w:val="00E2384D"/>
    <w:rsid w:val="00E258F6"/>
    <w:rsid w:val="00E265F4"/>
    <w:rsid w:val="00E30D03"/>
    <w:rsid w:val="00E30DCC"/>
    <w:rsid w:val="00E3226A"/>
    <w:rsid w:val="00E33180"/>
    <w:rsid w:val="00E33251"/>
    <w:rsid w:val="00E34C39"/>
    <w:rsid w:val="00E356E5"/>
    <w:rsid w:val="00E356F7"/>
    <w:rsid w:val="00E357E4"/>
    <w:rsid w:val="00E35930"/>
    <w:rsid w:val="00E3602A"/>
    <w:rsid w:val="00E3684E"/>
    <w:rsid w:val="00E36F81"/>
    <w:rsid w:val="00E3768F"/>
    <w:rsid w:val="00E40A0D"/>
    <w:rsid w:val="00E40A6F"/>
    <w:rsid w:val="00E42376"/>
    <w:rsid w:val="00E4347A"/>
    <w:rsid w:val="00E443B1"/>
    <w:rsid w:val="00E445BD"/>
    <w:rsid w:val="00E448DB"/>
    <w:rsid w:val="00E4496B"/>
    <w:rsid w:val="00E4571E"/>
    <w:rsid w:val="00E45765"/>
    <w:rsid w:val="00E4602D"/>
    <w:rsid w:val="00E4777E"/>
    <w:rsid w:val="00E503AF"/>
    <w:rsid w:val="00E5098C"/>
    <w:rsid w:val="00E50995"/>
    <w:rsid w:val="00E546D7"/>
    <w:rsid w:val="00E556A9"/>
    <w:rsid w:val="00E5768A"/>
    <w:rsid w:val="00E57AB7"/>
    <w:rsid w:val="00E60213"/>
    <w:rsid w:val="00E60562"/>
    <w:rsid w:val="00E605A4"/>
    <w:rsid w:val="00E636D3"/>
    <w:rsid w:val="00E63A29"/>
    <w:rsid w:val="00E641CE"/>
    <w:rsid w:val="00E661B2"/>
    <w:rsid w:val="00E66944"/>
    <w:rsid w:val="00E66B1E"/>
    <w:rsid w:val="00E717B9"/>
    <w:rsid w:val="00E7196B"/>
    <w:rsid w:val="00E71995"/>
    <w:rsid w:val="00E73657"/>
    <w:rsid w:val="00E73E79"/>
    <w:rsid w:val="00E74D29"/>
    <w:rsid w:val="00E74EA1"/>
    <w:rsid w:val="00E77469"/>
    <w:rsid w:val="00E83C74"/>
    <w:rsid w:val="00E83CEE"/>
    <w:rsid w:val="00E84686"/>
    <w:rsid w:val="00E85EB6"/>
    <w:rsid w:val="00E904D2"/>
    <w:rsid w:val="00E91B0F"/>
    <w:rsid w:val="00E91F18"/>
    <w:rsid w:val="00E9226D"/>
    <w:rsid w:val="00E92652"/>
    <w:rsid w:val="00E9293F"/>
    <w:rsid w:val="00E9304F"/>
    <w:rsid w:val="00E943AB"/>
    <w:rsid w:val="00EA0F3A"/>
    <w:rsid w:val="00EA34EE"/>
    <w:rsid w:val="00EA416C"/>
    <w:rsid w:val="00EA4440"/>
    <w:rsid w:val="00EA452B"/>
    <w:rsid w:val="00EA48C9"/>
    <w:rsid w:val="00EA506A"/>
    <w:rsid w:val="00EA51E7"/>
    <w:rsid w:val="00EA5941"/>
    <w:rsid w:val="00EA5B60"/>
    <w:rsid w:val="00EA6962"/>
    <w:rsid w:val="00EA6C4E"/>
    <w:rsid w:val="00EA6DB3"/>
    <w:rsid w:val="00EA711D"/>
    <w:rsid w:val="00EB12DE"/>
    <w:rsid w:val="00EB1365"/>
    <w:rsid w:val="00EB2AFF"/>
    <w:rsid w:val="00EB2C54"/>
    <w:rsid w:val="00EB495F"/>
    <w:rsid w:val="00EB5746"/>
    <w:rsid w:val="00EB5C35"/>
    <w:rsid w:val="00EB5F82"/>
    <w:rsid w:val="00EB60CE"/>
    <w:rsid w:val="00EB7D53"/>
    <w:rsid w:val="00EC07F5"/>
    <w:rsid w:val="00EC4336"/>
    <w:rsid w:val="00EC544B"/>
    <w:rsid w:val="00EC5713"/>
    <w:rsid w:val="00ED0F91"/>
    <w:rsid w:val="00ED1BEB"/>
    <w:rsid w:val="00ED258E"/>
    <w:rsid w:val="00ED3BF0"/>
    <w:rsid w:val="00ED49C2"/>
    <w:rsid w:val="00ED4C2C"/>
    <w:rsid w:val="00ED4D5D"/>
    <w:rsid w:val="00ED64EE"/>
    <w:rsid w:val="00EE2935"/>
    <w:rsid w:val="00EE2D97"/>
    <w:rsid w:val="00EE2FCA"/>
    <w:rsid w:val="00EE3146"/>
    <w:rsid w:val="00EE3611"/>
    <w:rsid w:val="00EE4B62"/>
    <w:rsid w:val="00EE7EE8"/>
    <w:rsid w:val="00EF0CC5"/>
    <w:rsid w:val="00EF2FE1"/>
    <w:rsid w:val="00EF50BB"/>
    <w:rsid w:val="00EF52D1"/>
    <w:rsid w:val="00EF53FF"/>
    <w:rsid w:val="00EF6A50"/>
    <w:rsid w:val="00F00192"/>
    <w:rsid w:val="00F00600"/>
    <w:rsid w:val="00F0116F"/>
    <w:rsid w:val="00F01DF6"/>
    <w:rsid w:val="00F030A0"/>
    <w:rsid w:val="00F0340D"/>
    <w:rsid w:val="00F0366E"/>
    <w:rsid w:val="00F04473"/>
    <w:rsid w:val="00F04869"/>
    <w:rsid w:val="00F056A3"/>
    <w:rsid w:val="00F059A6"/>
    <w:rsid w:val="00F10241"/>
    <w:rsid w:val="00F1113C"/>
    <w:rsid w:val="00F11622"/>
    <w:rsid w:val="00F13505"/>
    <w:rsid w:val="00F1770C"/>
    <w:rsid w:val="00F179D1"/>
    <w:rsid w:val="00F23756"/>
    <w:rsid w:val="00F2523A"/>
    <w:rsid w:val="00F25B7C"/>
    <w:rsid w:val="00F25FFA"/>
    <w:rsid w:val="00F270C3"/>
    <w:rsid w:val="00F30527"/>
    <w:rsid w:val="00F310D2"/>
    <w:rsid w:val="00F3159F"/>
    <w:rsid w:val="00F31D23"/>
    <w:rsid w:val="00F32223"/>
    <w:rsid w:val="00F34AB6"/>
    <w:rsid w:val="00F34D8F"/>
    <w:rsid w:val="00F357D4"/>
    <w:rsid w:val="00F35C3A"/>
    <w:rsid w:val="00F36A2E"/>
    <w:rsid w:val="00F36F3D"/>
    <w:rsid w:val="00F427CC"/>
    <w:rsid w:val="00F437C9"/>
    <w:rsid w:val="00F448AB"/>
    <w:rsid w:val="00F45F0F"/>
    <w:rsid w:val="00F46C0C"/>
    <w:rsid w:val="00F477BD"/>
    <w:rsid w:val="00F507F5"/>
    <w:rsid w:val="00F508FE"/>
    <w:rsid w:val="00F51704"/>
    <w:rsid w:val="00F52A7E"/>
    <w:rsid w:val="00F530B6"/>
    <w:rsid w:val="00F53491"/>
    <w:rsid w:val="00F54A2F"/>
    <w:rsid w:val="00F54AF5"/>
    <w:rsid w:val="00F54B0D"/>
    <w:rsid w:val="00F5515B"/>
    <w:rsid w:val="00F56355"/>
    <w:rsid w:val="00F56C42"/>
    <w:rsid w:val="00F57F7D"/>
    <w:rsid w:val="00F60C1A"/>
    <w:rsid w:val="00F617EC"/>
    <w:rsid w:val="00F62416"/>
    <w:rsid w:val="00F62D66"/>
    <w:rsid w:val="00F63254"/>
    <w:rsid w:val="00F6386E"/>
    <w:rsid w:val="00F65A1C"/>
    <w:rsid w:val="00F66417"/>
    <w:rsid w:val="00F66924"/>
    <w:rsid w:val="00F66F50"/>
    <w:rsid w:val="00F66F59"/>
    <w:rsid w:val="00F67350"/>
    <w:rsid w:val="00F6767F"/>
    <w:rsid w:val="00F67C7C"/>
    <w:rsid w:val="00F67F6B"/>
    <w:rsid w:val="00F70065"/>
    <w:rsid w:val="00F70202"/>
    <w:rsid w:val="00F72875"/>
    <w:rsid w:val="00F72DCB"/>
    <w:rsid w:val="00F7370F"/>
    <w:rsid w:val="00F73940"/>
    <w:rsid w:val="00F73C73"/>
    <w:rsid w:val="00F73E39"/>
    <w:rsid w:val="00F74FEC"/>
    <w:rsid w:val="00F755AF"/>
    <w:rsid w:val="00F75880"/>
    <w:rsid w:val="00F75F52"/>
    <w:rsid w:val="00F768C4"/>
    <w:rsid w:val="00F76DE6"/>
    <w:rsid w:val="00F76FF4"/>
    <w:rsid w:val="00F824E3"/>
    <w:rsid w:val="00F82FF8"/>
    <w:rsid w:val="00F8330D"/>
    <w:rsid w:val="00F839FE"/>
    <w:rsid w:val="00F84305"/>
    <w:rsid w:val="00F8472A"/>
    <w:rsid w:val="00F8485C"/>
    <w:rsid w:val="00F848A1"/>
    <w:rsid w:val="00F84A21"/>
    <w:rsid w:val="00F8613A"/>
    <w:rsid w:val="00F87149"/>
    <w:rsid w:val="00F876B7"/>
    <w:rsid w:val="00F87FFE"/>
    <w:rsid w:val="00F9004A"/>
    <w:rsid w:val="00F93026"/>
    <w:rsid w:val="00F94813"/>
    <w:rsid w:val="00F948EC"/>
    <w:rsid w:val="00F94F52"/>
    <w:rsid w:val="00F954C9"/>
    <w:rsid w:val="00FA1CDF"/>
    <w:rsid w:val="00FA36DC"/>
    <w:rsid w:val="00FA4256"/>
    <w:rsid w:val="00FA4CF0"/>
    <w:rsid w:val="00FA57B5"/>
    <w:rsid w:val="00FA61AA"/>
    <w:rsid w:val="00FA69A4"/>
    <w:rsid w:val="00FA796C"/>
    <w:rsid w:val="00FB042F"/>
    <w:rsid w:val="00FB1279"/>
    <w:rsid w:val="00FB1495"/>
    <w:rsid w:val="00FB150F"/>
    <w:rsid w:val="00FB23F3"/>
    <w:rsid w:val="00FB3AC1"/>
    <w:rsid w:val="00FB4AC3"/>
    <w:rsid w:val="00FB6175"/>
    <w:rsid w:val="00FB6218"/>
    <w:rsid w:val="00FB656E"/>
    <w:rsid w:val="00FB7D7D"/>
    <w:rsid w:val="00FC15F7"/>
    <w:rsid w:val="00FC2190"/>
    <w:rsid w:val="00FC2EBF"/>
    <w:rsid w:val="00FC510B"/>
    <w:rsid w:val="00FC55DE"/>
    <w:rsid w:val="00FC64B5"/>
    <w:rsid w:val="00FC7E07"/>
    <w:rsid w:val="00FD0B7A"/>
    <w:rsid w:val="00FD1694"/>
    <w:rsid w:val="00FD1B6C"/>
    <w:rsid w:val="00FD3033"/>
    <w:rsid w:val="00FD5D0D"/>
    <w:rsid w:val="00FD6893"/>
    <w:rsid w:val="00FD7636"/>
    <w:rsid w:val="00FE081C"/>
    <w:rsid w:val="00FE3229"/>
    <w:rsid w:val="00FE4516"/>
    <w:rsid w:val="00FE5220"/>
    <w:rsid w:val="00FE6459"/>
    <w:rsid w:val="00FE6679"/>
    <w:rsid w:val="00FE74C3"/>
    <w:rsid w:val="00FF0ADC"/>
    <w:rsid w:val="00FF209B"/>
    <w:rsid w:val="00FF215C"/>
    <w:rsid w:val="00FF403A"/>
    <w:rsid w:val="00FF49E8"/>
    <w:rsid w:val="00FF5151"/>
    <w:rsid w:val="00FF560F"/>
    <w:rsid w:val="00FF5E5F"/>
    <w:rsid w:val="00FF5F36"/>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E2572"/>
  <w15:docId w15:val="{60579F14-76E3-418F-846C-A36CBD52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CDE"/>
    <w:pPr>
      <w:spacing w:before="120" w:after="120"/>
    </w:pPr>
    <w:rPr>
      <w:sz w:val="22"/>
      <w:szCs w:val="22"/>
      <w:lang w:eastAsia="en-US"/>
    </w:rPr>
  </w:style>
  <w:style w:type="paragraph" w:styleId="Heading1">
    <w:name w:val="heading 1"/>
    <w:basedOn w:val="Normal"/>
    <w:next w:val="Normal"/>
    <w:link w:val="Heading1Char"/>
    <w:qFormat/>
    <w:rsid w:val="00B05CDE"/>
    <w:pPr>
      <w:keepNext/>
      <w:spacing w:before="0" w:after="200" w:line="276" w:lineRule="auto"/>
      <w:outlineLvl w:val="0"/>
    </w:pPr>
    <w:rPr>
      <w:rFonts w:ascii="Times New Roman" w:hAnsi="Times New Roman" w:cs="Arial"/>
      <w:b/>
      <w:caps/>
      <w:sz w:val="24"/>
    </w:rPr>
  </w:style>
  <w:style w:type="paragraph" w:styleId="Heading2">
    <w:name w:val="heading 2"/>
    <w:basedOn w:val="Normal"/>
    <w:next w:val="Normal"/>
    <w:link w:val="Heading2Char"/>
    <w:uiPriority w:val="9"/>
    <w:qFormat/>
    <w:rsid w:val="00CC1027"/>
    <w:pPr>
      <w:keepNext/>
      <w:outlineLvl w:val="1"/>
    </w:pPr>
    <w:rPr>
      <w:rFonts w:cs="Arial"/>
      <w:b/>
    </w:rPr>
  </w:style>
  <w:style w:type="paragraph" w:styleId="Heading3">
    <w:name w:val="heading 3"/>
    <w:basedOn w:val="Normal"/>
    <w:next w:val="Normal"/>
    <w:link w:val="Heading3Char"/>
    <w:qFormat/>
    <w:rsid w:val="000E31C1"/>
    <w:pPr>
      <w:keepNext/>
      <w:outlineLvl w:val="2"/>
    </w:pPr>
    <w:rPr>
      <w:rFonts w:cs="Arial"/>
      <w:b/>
      <w:i/>
    </w:rPr>
  </w:style>
  <w:style w:type="paragraph" w:styleId="Heading4">
    <w:name w:val="heading 4"/>
    <w:basedOn w:val="Normal"/>
    <w:next w:val="Normal"/>
    <w:link w:val="Heading4Char"/>
    <w:qFormat/>
    <w:rsid w:val="000E31C1"/>
    <w:pPr>
      <w:keepNext/>
      <w:outlineLvl w:val="3"/>
    </w:pPr>
    <w:rPr>
      <w:rFonts w:cs="Arial"/>
      <w:i/>
    </w:rPr>
  </w:style>
  <w:style w:type="paragraph" w:styleId="Heading6">
    <w:name w:val="heading 6"/>
    <w:basedOn w:val="Normal"/>
    <w:next w:val="Normal"/>
    <w:link w:val="Heading6Char"/>
    <w:qFormat/>
    <w:rsid w:val="00B6012C"/>
    <w:pPr>
      <w:spacing w:before="240" w:after="60"/>
      <w:outlineLvl w:val="5"/>
    </w:pPr>
    <w:rPr>
      <w:rFonts w:ascii="Times New Roman" w:eastAsia="Times New Roman" w:hAnsi="Times New Roman"/>
      <w:b/>
      <w:bCs/>
      <w:lang w:eastAsia="en-AU"/>
    </w:rPr>
  </w:style>
  <w:style w:type="paragraph" w:styleId="Heading7">
    <w:name w:val="heading 7"/>
    <w:basedOn w:val="Normal"/>
    <w:next w:val="Normal"/>
    <w:link w:val="Heading7Char"/>
    <w:qFormat/>
    <w:rsid w:val="00B6012C"/>
    <w:pPr>
      <w:keepNext/>
      <w:autoSpaceDE w:val="0"/>
      <w:autoSpaceDN w:val="0"/>
      <w:spacing w:after="0"/>
      <w:jc w:val="center"/>
      <w:outlineLvl w:val="6"/>
    </w:pPr>
    <w:rPr>
      <w:rFonts w:ascii="Times New Roman" w:eastAsia="Times New Roman" w:hAnsi="Times New Roman"/>
      <w:b/>
      <w:bCs/>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0185"/>
    <w:pPr>
      <w:tabs>
        <w:tab w:val="center" w:pos="4513"/>
        <w:tab w:val="right" w:pos="9026"/>
      </w:tabs>
      <w:spacing w:after="0"/>
    </w:pPr>
  </w:style>
  <w:style w:type="character" w:customStyle="1" w:styleId="HeaderChar">
    <w:name w:val="Header Char"/>
    <w:basedOn w:val="DefaultParagraphFont"/>
    <w:link w:val="Header"/>
    <w:rsid w:val="00A60185"/>
  </w:style>
  <w:style w:type="paragraph" w:styleId="Footer">
    <w:name w:val="footer"/>
    <w:basedOn w:val="Normal"/>
    <w:link w:val="FooterChar"/>
    <w:uiPriority w:val="99"/>
    <w:unhideWhenUsed/>
    <w:rsid w:val="00A60185"/>
    <w:pPr>
      <w:tabs>
        <w:tab w:val="center" w:pos="4513"/>
        <w:tab w:val="right" w:pos="9026"/>
      </w:tabs>
      <w:spacing w:after="0"/>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semiHidden/>
    <w:unhideWhenUsed/>
    <w:rsid w:val="00A60185"/>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rFonts w:eastAsia="Times New Roman"/>
      <w:szCs w:val="20"/>
      <w:lang w:eastAsia="en-AU"/>
    </w:rPr>
  </w:style>
  <w:style w:type="character" w:customStyle="1" w:styleId="Heading1Char">
    <w:name w:val="Heading 1 Char"/>
    <w:basedOn w:val="DefaultParagraphFont"/>
    <w:link w:val="Heading1"/>
    <w:rsid w:val="00B05CDE"/>
    <w:rPr>
      <w:rFonts w:ascii="Times New Roman" w:hAnsi="Times New Roman" w:cs="Arial"/>
      <w:b/>
      <w:caps/>
      <w:sz w:val="24"/>
      <w:szCs w:val="22"/>
      <w:lang w:eastAsia="en-US"/>
    </w:rPr>
  </w:style>
  <w:style w:type="character" w:customStyle="1" w:styleId="Heading2Char">
    <w:name w:val="Heading 2 Char"/>
    <w:basedOn w:val="DefaultParagraphFont"/>
    <w:link w:val="Heading2"/>
    <w:uiPriority w:val="9"/>
    <w:rsid w:val="00CC1027"/>
    <w:rPr>
      <w:rFonts w:cs="Arial"/>
      <w:b/>
      <w:sz w:val="22"/>
      <w:szCs w:val="22"/>
      <w:lang w:eastAsia="en-US"/>
    </w:rPr>
  </w:style>
  <w:style w:type="character" w:customStyle="1" w:styleId="Heading3Char">
    <w:name w:val="Heading 3 Char"/>
    <w:basedOn w:val="DefaultParagraphFont"/>
    <w:link w:val="Heading3"/>
    <w:rsid w:val="000E31C1"/>
    <w:rPr>
      <w:rFonts w:cs="Arial"/>
      <w:b/>
      <w:i/>
      <w:sz w:val="22"/>
      <w:szCs w:val="22"/>
      <w:lang w:eastAsia="en-US"/>
    </w:rPr>
  </w:style>
  <w:style w:type="character" w:customStyle="1" w:styleId="Heading4Char">
    <w:name w:val="Heading 4 Char"/>
    <w:basedOn w:val="DefaultParagraphFont"/>
    <w:link w:val="Heading4"/>
    <w:rsid w:val="000E31C1"/>
    <w:rPr>
      <w:rFonts w:cs="Arial"/>
      <w:i/>
      <w:sz w:val="22"/>
      <w:szCs w:val="22"/>
      <w:lang w:eastAsia="en-US"/>
    </w:rPr>
  </w:style>
  <w:style w:type="paragraph" w:styleId="ListBullet">
    <w:name w:val="List Bullet"/>
    <w:basedOn w:val="Normal"/>
    <w:uiPriority w:val="99"/>
    <w:unhideWhenUsed/>
    <w:qFormat/>
    <w:rsid w:val="00CC1027"/>
    <w:pPr>
      <w:numPr>
        <w:numId w:val="6"/>
      </w:numPr>
      <w:spacing w:before="60" w:after="60" w:line="276" w:lineRule="auto"/>
      <w:ind w:left="357" w:hanging="357"/>
      <w:contextualSpacing/>
    </w:pPr>
    <w:rPr>
      <w:rFonts w:cs="Arial"/>
      <w:sz w:val="20"/>
      <w:szCs w:val="18"/>
    </w:rPr>
  </w:style>
  <w:style w:type="paragraph" w:styleId="ListBullet2">
    <w:name w:val="List Bullet 2"/>
    <w:basedOn w:val="Normal"/>
    <w:uiPriority w:val="99"/>
    <w:unhideWhenUsed/>
    <w:rsid w:val="00CC1027"/>
    <w:pPr>
      <w:numPr>
        <w:numId w:val="10"/>
      </w:numPr>
      <w:spacing w:before="60" w:after="60" w:line="276" w:lineRule="auto"/>
      <w:ind w:left="357" w:hanging="357"/>
      <w:contextualSpacing/>
    </w:pPr>
    <w:rPr>
      <w:sz w:val="20"/>
    </w:rPr>
  </w:style>
  <w:style w:type="paragraph" w:styleId="ListBullet3">
    <w:name w:val="List Bullet 3"/>
    <w:basedOn w:val="Normal"/>
    <w:uiPriority w:val="99"/>
    <w:unhideWhenUsed/>
    <w:rsid w:val="00091608"/>
    <w:pPr>
      <w:numPr>
        <w:ilvl w:val="2"/>
        <w:numId w:val="8"/>
      </w:numPr>
    </w:pPr>
  </w:style>
  <w:style w:type="paragraph" w:styleId="ListBullet4">
    <w:name w:val="List Bullet 4"/>
    <w:basedOn w:val="Normal"/>
    <w:uiPriority w:val="99"/>
    <w:unhideWhenUsed/>
    <w:rsid w:val="00091608"/>
    <w:pPr>
      <w:numPr>
        <w:ilvl w:val="3"/>
        <w:numId w:val="8"/>
      </w:numPr>
    </w:pPr>
  </w:style>
  <w:style w:type="paragraph" w:styleId="ListBullet5">
    <w:name w:val="List Bullet 5"/>
    <w:basedOn w:val="Normal"/>
    <w:uiPriority w:val="99"/>
    <w:unhideWhenUsed/>
    <w:rsid w:val="00091608"/>
    <w:pPr>
      <w:numPr>
        <w:ilvl w:val="4"/>
        <w:numId w:val="8"/>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subsection"/>
    <w:uiPriority w:val="99"/>
    <w:qFormat/>
    <w:rsid w:val="00CC1027"/>
    <w:pPr>
      <w:spacing w:before="60" w:after="60" w:line="276" w:lineRule="auto"/>
      <w:ind w:left="720" w:hanging="720"/>
      <w:contextualSpacing/>
    </w:pPr>
    <w:rPr>
      <w:rFonts w:ascii="Arial" w:hAnsi="Arial" w:cs="Arial"/>
      <w:sz w:val="20"/>
    </w:rPr>
  </w:style>
  <w:style w:type="paragraph" w:styleId="ListNumber2">
    <w:name w:val="List Number 2"/>
    <w:basedOn w:val="paragraph"/>
    <w:uiPriority w:val="99"/>
    <w:rsid w:val="00CC1027"/>
    <w:pPr>
      <w:spacing w:before="60" w:after="60" w:line="276" w:lineRule="auto"/>
      <w:ind w:left="738" w:hanging="369"/>
      <w:contextualSpacing/>
    </w:pPr>
    <w:rPr>
      <w:rFonts w:ascii="Arial" w:hAnsi="Arial" w:cs="Arial"/>
      <w:noProof/>
      <w:sz w:val="20"/>
    </w:rPr>
  </w:style>
  <w:style w:type="paragraph" w:styleId="ListNumber3">
    <w:name w:val="List Number 3"/>
    <w:basedOn w:val="Normal"/>
    <w:uiPriority w:val="99"/>
    <w:rsid w:val="00CC1027"/>
    <w:pPr>
      <w:spacing w:before="60" w:after="60"/>
      <w:ind w:left="1089" w:hanging="369"/>
      <w:contextualSpacing/>
    </w:pPr>
    <w:rPr>
      <w:rFonts w:cs="Arial"/>
      <w:sz w:val="20"/>
      <w:szCs w:val="20"/>
    </w:r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customStyle="1" w:styleId="Heading6Char">
    <w:name w:val="Heading 6 Char"/>
    <w:basedOn w:val="DefaultParagraphFont"/>
    <w:link w:val="Heading6"/>
    <w:rsid w:val="00B6012C"/>
    <w:rPr>
      <w:rFonts w:ascii="Times New Roman" w:eastAsia="Times New Roman" w:hAnsi="Times New Roman"/>
      <w:b/>
      <w:bCs/>
      <w:sz w:val="22"/>
      <w:szCs w:val="22"/>
    </w:rPr>
  </w:style>
  <w:style w:type="character" w:customStyle="1" w:styleId="Heading7Char">
    <w:name w:val="Heading 7 Char"/>
    <w:basedOn w:val="DefaultParagraphFont"/>
    <w:link w:val="Heading7"/>
    <w:rsid w:val="00B6012C"/>
    <w:rPr>
      <w:rFonts w:ascii="Times New Roman" w:eastAsia="Times New Roman" w:hAnsi="Times New Roman"/>
      <w:b/>
      <w:bCs/>
      <w:szCs w:val="24"/>
      <w:lang w:val="en-GB" w:eastAsia="en-US"/>
    </w:rPr>
  </w:style>
  <w:style w:type="paragraph" w:styleId="BodyTextIndent3">
    <w:name w:val="Body Text Indent 3"/>
    <w:basedOn w:val="Normal"/>
    <w:link w:val="BodyTextIndent3Char"/>
    <w:rsid w:val="00B6012C"/>
    <w:pPr>
      <w:ind w:left="283"/>
    </w:pPr>
    <w:rPr>
      <w:rFonts w:ascii="Times New Roman" w:eastAsia="Times New Roman" w:hAnsi="Times New Roman"/>
      <w:sz w:val="16"/>
      <w:szCs w:val="16"/>
      <w:lang w:eastAsia="en-AU"/>
    </w:rPr>
  </w:style>
  <w:style w:type="character" w:customStyle="1" w:styleId="BodyTextIndent3Char">
    <w:name w:val="Body Text Indent 3 Char"/>
    <w:basedOn w:val="DefaultParagraphFont"/>
    <w:link w:val="BodyTextIndent3"/>
    <w:rsid w:val="00B6012C"/>
    <w:rPr>
      <w:rFonts w:ascii="Times New Roman" w:eastAsia="Times New Roman" w:hAnsi="Times New Roman"/>
      <w:sz w:val="16"/>
      <w:szCs w:val="16"/>
    </w:rPr>
  </w:style>
  <w:style w:type="paragraph" w:styleId="NormalWeb">
    <w:name w:val="Normal (Web)"/>
    <w:basedOn w:val="Normal"/>
    <w:uiPriority w:val="99"/>
    <w:rsid w:val="00B6012C"/>
    <w:pPr>
      <w:spacing w:before="100" w:beforeAutospacing="1" w:after="100" w:afterAutospacing="1"/>
    </w:pPr>
    <w:rPr>
      <w:rFonts w:ascii="Arial Unicode MS" w:eastAsia="Arial Unicode MS" w:hAnsi="Arial Unicode MS" w:cs="Arial Unicode MS"/>
      <w:sz w:val="24"/>
      <w:szCs w:val="24"/>
      <w:lang w:val="en-US"/>
    </w:rPr>
  </w:style>
  <w:style w:type="paragraph" w:customStyle="1" w:styleId="normal-dot">
    <w:name w:val="normal-dot"/>
    <w:basedOn w:val="Normal"/>
    <w:rsid w:val="00B6012C"/>
    <w:pPr>
      <w:tabs>
        <w:tab w:val="num" w:pos="360"/>
      </w:tabs>
      <w:spacing w:after="0"/>
      <w:ind w:left="357" w:hanging="357"/>
    </w:pPr>
    <w:rPr>
      <w:rFonts w:ascii="Times New Roman" w:eastAsia="Times New Roman" w:hAnsi="Times New Roman"/>
      <w:szCs w:val="20"/>
    </w:rPr>
  </w:style>
  <w:style w:type="paragraph" w:styleId="BodyText2">
    <w:name w:val="Body Text 2"/>
    <w:basedOn w:val="Normal"/>
    <w:link w:val="BodyText2Char"/>
    <w:rsid w:val="00B6012C"/>
    <w:pPr>
      <w:spacing w:after="0"/>
    </w:pPr>
    <w:rPr>
      <w:rFonts w:ascii="Times New Roman" w:eastAsia="Times New Roman" w:hAnsi="Times New Roman"/>
      <w:bCs/>
      <w:i/>
      <w:sz w:val="24"/>
      <w:szCs w:val="24"/>
      <w:lang w:val="en-US"/>
    </w:rPr>
  </w:style>
  <w:style w:type="character" w:customStyle="1" w:styleId="BodyText2Char">
    <w:name w:val="Body Text 2 Char"/>
    <w:basedOn w:val="DefaultParagraphFont"/>
    <w:link w:val="BodyText2"/>
    <w:rsid w:val="00B6012C"/>
    <w:rPr>
      <w:rFonts w:ascii="Times New Roman" w:eastAsia="Times New Roman" w:hAnsi="Times New Roman"/>
      <w:bCs/>
      <w:i/>
      <w:sz w:val="24"/>
      <w:szCs w:val="24"/>
      <w:lang w:val="en-US" w:eastAsia="en-US"/>
    </w:rPr>
  </w:style>
  <w:style w:type="paragraph" w:styleId="PlainText">
    <w:name w:val="Plain Text"/>
    <w:basedOn w:val="Normal"/>
    <w:link w:val="PlainTextChar"/>
    <w:rsid w:val="001F4207"/>
    <w:pPr>
      <w:autoSpaceDE w:val="0"/>
      <w:autoSpaceDN w:val="0"/>
      <w:contextualSpacing/>
    </w:pPr>
    <w:rPr>
      <w:rFonts w:eastAsia="Times New Roman" w:cs="Courier New"/>
      <w:sz w:val="20"/>
      <w:szCs w:val="24"/>
      <w:lang w:val="en-GB"/>
    </w:rPr>
  </w:style>
  <w:style w:type="character" w:customStyle="1" w:styleId="PlainTextChar">
    <w:name w:val="Plain Text Char"/>
    <w:basedOn w:val="DefaultParagraphFont"/>
    <w:link w:val="PlainText"/>
    <w:rsid w:val="001F4207"/>
    <w:rPr>
      <w:rFonts w:eastAsia="Times New Roman" w:cs="Courier New"/>
      <w:szCs w:val="24"/>
      <w:lang w:val="en-GB" w:eastAsia="en-US"/>
    </w:rPr>
  </w:style>
  <w:style w:type="character" w:styleId="CommentReference">
    <w:name w:val="annotation reference"/>
    <w:basedOn w:val="DefaultParagraphFont"/>
    <w:semiHidden/>
    <w:rsid w:val="00B6012C"/>
    <w:rPr>
      <w:sz w:val="16"/>
      <w:szCs w:val="16"/>
    </w:rPr>
  </w:style>
  <w:style w:type="paragraph" w:styleId="CommentText">
    <w:name w:val="annotation text"/>
    <w:basedOn w:val="Normal"/>
    <w:link w:val="CommentTextChar"/>
    <w:semiHidden/>
    <w:rsid w:val="00B6012C"/>
    <w:pPr>
      <w:spacing w:after="0"/>
    </w:pPr>
    <w:rPr>
      <w:rFonts w:ascii="Times New Roman" w:eastAsia="Times New Roman" w:hAnsi="Times New Roman"/>
      <w:sz w:val="20"/>
      <w:szCs w:val="20"/>
      <w:lang w:eastAsia="en-AU"/>
    </w:rPr>
  </w:style>
  <w:style w:type="character" w:customStyle="1" w:styleId="CommentTextChar">
    <w:name w:val="Comment Text Char"/>
    <w:basedOn w:val="DefaultParagraphFont"/>
    <w:link w:val="CommentText"/>
    <w:semiHidden/>
    <w:rsid w:val="00B6012C"/>
    <w:rPr>
      <w:rFonts w:ascii="Times New Roman" w:eastAsia="Times New Roman" w:hAnsi="Times New Roman"/>
    </w:rPr>
  </w:style>
  <w:style w:type="character" w:styleId="Emphasis">
    <w:name w:val="Emphasis"/>
    <w:basedOn w:val="DefaultParagraphFont"/>
    <w:qFormat/>
    <w:rsid w:val="00B6012C"/>
    <w:rPr>
      <w:i/>
      <w:iCs/>
    </w:rPr>
  </w:style>
  <w:style w:type="character" w:styleId="FootnoteReference">
    <w:name w:val="footnote reference"/>
    <w:basedOn w:val="DefaultParagraphFont"/>
    <w:uiPriority w:val="99"/>
    <w:semiHidden/>
    <w:rsid w:val="00B6012C"/>
    <w:rPr>
      <w:vertAlign w:val="superscript"/>
    </w:rPr>
  </w:style>
  <w:style w:type="paragraph" w:styleId="FootnoteText">
    <w:name w:val="footnote text"/>
    <w:basedOn w:val="Normal"/>
    <w:link w:val="FootnoteTextChar"/>
    <w:uiPriority w:val="99"/>
    <w:semiHidden/>
    <w:rsid w:val="00B6012C"/>
    <w:pPr>
      <w:autoSpaceDE w:val="0"/>
      <w:autoSpaceDN w:val="0"/>
      <w:spacing w:after="0"/>
    </w:pPr>
    <w:rPr>
      <w:rFonts w:ascii="Times New Roman" w:eastAsia="Times New Roman" w:hAnsi="Times New Roman"/>
      <w:sz w:val="20"/>
      <w:szCs w:val="24"/>
      <w:lang w:val="en-GB"/>
    </w:rPr>
  </w:style>
  <w:style w:type="character" w:customStyle="1" w:styleId="FootnoteTextChar">
    <w:name w:val="Footnote Text Char"/>
    <w:basedOn w:val="DefaultParagraphFont"/>
    <w:link w:val="FootnoteText"/>
    <w:uiPriority w:val="99"/>
    <w:semiHidden/>
    <w:rsid w:val="00B6012C"/>
    <w:rPr>
      <w:rFonts w:ascii="Times New Roman" w:eastAsia="Times New Roman" w:hAnsi="Times New Roman"/>
      <w:szCs w:val="24"/>
      <w:lang w:val="en-GB" w:eastAsia="en-US"/>
    </w:rPr>
  </w:style>
  <w:style w:type="character" w:styleId="Hyperlink">
    <w:name w:val="Hyperlink"/>
    <w:basedOn w:val="DefaultParagraphFont"/>
    <w:uiPriority w:val="99"/>
    <w:rsid w:val="00B6012C"/>
    <w:rPr>
      <w:color w:val="0000FF"/>
      <w:u w:val="single"/>
    </w:rPr>
  </w:style>
  <w:style w:type="paragraph" w:styleId="DocumentMap">
    <w:name w:val="Document Map"/>
    <w:basedOn w:val="Normal"/>
    <w:link w:val="DocumentMapChar"/>
    <w:semiHidden/>
    <w:rsid w:val="00B6012C"/>
    <w:pPr>
      <w:shd w:val="clear" w:color="auto" w:fill="000080"/>
      <w:spacing w:after="0"/>
    </w:pPr>
    <w:rPr>
      <w:rFonts w:ascii="Tahoma" w:eastAsia="Times New Roman" w:hAnsi="Tahoma" w:cs="Tahoma"/>
      <w:sz w:val="20"/>
      <w:szCs w:val="20"/>
      <w:lang w:eastAsia="en-AU"/>
    </w:rPr>
  </w:style>
  <w:style w:type="character" w:customStyle="1" w:styleId="DocumentMapChar">
    <w:name w:val="Document Map Char"/>
    <w:basedOn w:val="DefaultParagraphFont"/>
    <w:link w:val="DocumentMap"/>
    <w:semiHidden/>
    <w:rsid w:val="00B6012C"/>
    <w:rPr>
      <w:rFonts w:ascii="Tahoma" w:eastAsia="Times New Roman" w:hAnsi="Tahoma" w:cs="Tahoma"/>
      <w:shd w:val="clear" w:color="auto" w:fill="000080"/>
    </w:rPr>
  </w:style>
  <w:style w:type="character" w:styleId="PageNumber">
    <w:name w:val="page number"/>
    <w:basedOn w:val="DefaultParagraphFont"/>
    <w:rsid w:val="00B6012C"/>
  </w:style>
  <w:style w:type="paragraph" w:styleId="CommentSubject">
    <w:name w:val="annotation subject"/>
    <w:basedOn w:val="CommentText"/>
    <w:next w:val="CommentText"/>
    <w:link w:val="CommentSubjectChar"/>
    <w:semiHidden/>
    <w:rsid w:val="00B6012C"/>
    <w:rPr>
      <w:b/>
      <w:bCs/>
    </w:rPr>
  </w:style>
  <w:style w:type="character" w:customStyle="1" w:styleId="CommentSubjectChar">
    <w:name w:val="Comment Subject Char"/>
    <w:basedOn w:val="CommentTextChar"/>
    <w:link w:val="CommentSubject"/>
    <w:semiHidden/>
    <w:rsid w:val="00B6012C"/>
    <w:rPr>
      <w:rFonts w:ascii="Times New Roman" w:eastAsia="Times New Roman" w:hAnsi="Times New Roman"/>
      <w:b/>
      <w:bCs/>
    </w:rPr>
  </w:style>
  <w:style w:type="paragraph" w:customStyle="1" w:styleId="BodyText1">
    <w:name w:val="Body Text1"/>
    <w:basedOn w:val="Normal"/>
    <w:rsid w:val="00B6012C"/>
    <w:pPr>
      <w:spacing w:line="240" w:lineRule="atLeast"/>
      <w:jc w:val="both"/>
    </w:pPr>
    <w:rPr>
      <w:rFonts w:eastAsia="Times New Roman"/>
      <w:szCs w:val="20"/>
    </w:rPr>
  </w:style>
  <w:style w:type="paragraph" w:styleId="TOCHeading">
    <w:name w:val="TOC Heading"/>
    <w:basedOn w:val="Heading1"/>
    <w:next w:val="Normal"/>
    <w:uiPriority w:val="39"/>
    <w:unhideWhenUsed/>
    <w:qFormat/>
    <w:rsid w:val="00B05CDE"/>
    <w:pPr>
      <w:keepLines/>
      <w:outlineLvl w:val="9"/>
    </w:pPr>
    <w:rPr>
      <w:rFonts w:eastAsia="Times New Roman" w:cs="Times New Roman"/>
      <w:bCs/>
      <w:caps w:val="0"/>
      <w:sz w:val="28"/>
      <w:szCs w:val="28"/>
      <w:lang w:val="en-US"/>
    </w:rPr>
  </w:style>
  <w:style w:type="paragraph" w:styleId="TOC1">
    <w:name w:val="toc 1"/>
    <w:basedOn w:val="Normal"/>
    <w:next w:val="Normal"/>
    <w:autoRedefine/>
    <w:uiPriority w:val="39"/>
    <w:unhideWhenUsed/>
    <w:rsid w:val="00433FCA"/>
    <w:pPr>
      <w:tabs>
        <w:tab w:val="right" w:leader="dot" w:pos="8931"/>
      </w:tabs>
      <w:spacing w:before="0" w:after="200" w:line="276" w:lineRule="auto"/>
      <w:ind w:left="992" w:hanging="992"/>
    </w:pPr>
    <w:rPr>
      <w:rFonts w:ascii="Times New Roman" w:eastAsia="Times New Roman" w:hAnsi="Times New Roman"/>
      <w:noProof/>
      <w:sz w:val="24"/>
      <w:szCs w:val="24"/>
      <w:lang w:eastAsia="en-AU"/>
    </w:rPr>
  </w:style>
  <w:style w:type="paragraph" w:customStyle="1" w:styleId="Default">
    <w:name w:val="Default"/>
    <w:rsid w:val="00B6012C"/>
    <w:pPr>
      <w:autoSpaceDE w:val="0"/>
      <w:autoSpaceDN w:val="0"/>
      <w:adjustRightInd w:val="0"/>
    </w:pPr>
    <w:rPr>
      <w:rFonts w:ascii="Times New Roman" w:hAnsi="Times New Roman"/>
      <w:color w:val="000000"/>
      <w:sz w:val="24"/>
      <w:szCs w:val="24"/>
      <w:lang w:eastAsia="en-US"/>
    </w:rPr>
  </w:style>
  <w:style w:type="numbering" w:customStyle="1" w:styleId="BulletList1">
    <w:name w:val="Bullet List1"/>
    <w:uiPriority w:val="99"/>
    <w:rsid w:val="00CA5BD9"/>
  </w:style>
  <w:style w:type="table" w:customStyle="1" w:styleId="TableGrid1">
    <w:name w:val="Table Grid1"/>
    <w:basedOn w:val="TableNormal"/>
    <w:next w:val="TableGrid"/>
    <w:uiPriority w:val="59"/>
    <w:rsid w:val="009F053A"/>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character" w:customStyle="1" w:styleId="textinfo1">
    <w:name w:val="textinfo1"/>
    <w:basedOn w:val="DefaultParagraphFont"/>
    <w:rsid w:val="00AB194A"/>
    <w:rPr>
      <w:rFonts w:ascii="Arial" w:hAnsi="Arial" w:cs="Arial" w:hint="default"/>
      <w:b w:val="0"/>
      <w:bCs w:val="0"/>
      <w:color w:val="000000"/>
      <w:sz w:val="24"/>
      <w:szCs w:val="24"/>
    </w:rPr>
  </w:style>
  <w:style w:type="paragraph" w:styleId="TOC3">
    <w:name w:val="toc 3"/>
    <w:basedOn w:val="Normal"/>
    <w:next w:val="Normal"/>
    <w:autoRedefine/>
    <w:uiPriority w:val="39"/>
    <w:unhideWhenUsed/>
    <w:rsid w:val="00216DC7"/>
    <w:pPr>
      <w:spacing w:after="100"/>
      <w:ind w:left="440"/>
    </w:pPr>
  </w:style>
  <w:style w:type="paragraph" w:styleId="TOC2">
    <w:name w:val="toc 2"/>
    <w:basedOn w:val="Normal"/>
    <w:next w:val="Normal"/>
    <w:autoRedefine/>
    <w:uiPriority w:val="39"/>
    <w:unhideWhenUsed/>
    <w:rsid w:val="00433FCA"/>
    <w:pPr>
      <w:tabs>
        <w:tab w:val="right" w:leader="dot" w:pos="9202"/>
      </w:tabs>
      <w:spacing w:before="0" w:after="200" w:line="276" w:lineRule="auto"/>
      <w:ind w:left="426"/>
      <w:jc w:val="both"/>
    </w:pPr>
    <w:rPr>
      <w:rFonts w:ascii="Times New Roman" w:eastAsiaTheme="minorEastAsia" w:hAnsi="Times New Roman"/>
      <w:lang w:val="en-US"/>
    </w:rPr>
  </w:style>
  <w:style w:type="paragraph" w:styleId="Revision">
    <w:name w:val="Revision"/>
    <w:hidden/>
    <w:uiPriority w:val="99"/>
    <w:semiHidden/>
    <w:rsid w:val="00310F46"/>
    <w:rPr>
      <w:sz w:val="22"/>
      <w:szCs w:val="22"/>
      <w:lang w:eastAsia="en-US"/>
    </w:rPr>
  </w:style>
  <w:style w:type="paragraph" w:customStyle="1" w:styleId="paragraph">
    <w:name w:val="paragraph"/>
    <w:aliases w:val="a"/>
    <w:basedOn w:val="Normal"/>
    <w:link w:val="paragraphChar"/>
    <w:rsid w:val="009A1276"/>
    <w:pPr>
      <w:tabs>
        <w:tab w:val="right" w:pos="1531"/>
      </w:tabs>
      <w:spacing w:before="40" w:after="0"/>
      <w:ind w:left="1644" w:hanging="1644"/>
    </w:pPr>
    <w:rPr>
      <w:rFonts w:ascii="Times New Roman" w:eastAsia="Times New Roman" w:hAnsi="Times New Roman"/>
      <w:szCs w:val="20"/>
      <w:lang w:eastAsia="en-AU"/>
    </w:rPr>
  </w:style>
  <w:style w:type="character" w:customStyle="1" w:styleId="paragraphChar">
    <w:name w:val="paragraph Char"/>
    <w:aliases w:val="a Char"/>
    <w:basedOn w:val="DefaultParagraphFont"/>
    <w:link w:val="paragraph"/>
    <w:rsid w:val="009A1276"/>
    <w:rPr>
      <w:rFonts w:ascii="Times New Roman" w:eastAsia="Times New Roman" w:hAnsi="Times New Roman"/>
      <w:sz w:val="22"/>
    </w:rPr>
  </w:style>
  <w:style w:type="paragraph" w:customStyle="1" w:styleId="subsection">
    <w:name w:val="subsection"/>
    <w:aliases w:val="ss"/>
    <w:basedOn w:val="Normal"/>
    <w:link w:val="subsectionChar"/>
    <w:rsid w:val="00215FE3"/>
    <w:pPr>
      <w:tabs>
        <w:tab w:val="right" w:pos="1021"/>
      </w:tabs>
      <w:spacing w:before="180" w:after="0"/>
      <w:ind w:left="1134" w:hanging="1134"/>
    </w:pPr>
    <w:rPr>
      <w:rFonts w:ascii="Times New Roman" w:eastAsia="Times New Roman" w:hAnsi="Times New Roman"/>
      <w:szCs w:val="20"/>
      <w:lang w:eastAsia="en-AU"/>
    </w:rPr>
  </w:style>
  <w:style w:type="character" w:customStyle="1" w:styleId="subsectionChar">
    <w:name w:val="subsection Char"/>
    <w:aliases w:val="ss Char"/>
    <w:basedOn w:val="DefaultParagraphFont"/>
    <w:link w:val="subsection"/>
    <w:rsid w:val="00215FE3"/>
    <w:rPr>
      <w:rFonts w:ascii="Times New Roman" w:eastAsia="Times New Roman" w:hAnsi="Times New Roman"/>
      <w:sz w:val="22"/>
    </w:rPr>
  </w:style>
  <w:style w:type="paragraph" w:customStyle="1" w:styleId="subsection2">
    <w:name w:val="subsection2"/>
    <w:aliases w:val="ss2"/>
    <w:basedOn w:val="Normal"/>
    <w:next w:val="subsection"/>
    <w:link w:val="subsection2Char"/>
    <w:rsid w:val="00306B34"/>
    <w:pPr>
      <w:spacing w:before="40" w:after="0"/>
      <w:ind w:left="1134"/>
    </w:pPr>
    <w:rPr>
      <w:rFonts w:ascii="Times New Roman" w:eastAsia="Times New Roman" w:hAnsi="Times New Roman"/>
      <w:szCs w:val="20"/>
      <w:lang w:eastAsia="en-AU"/>
    </w:rPr>
  </w:style>
  <w:style w:type="character" w:customStyle="1" w:styleId="subsection2Char">
    <w:name w:val="subsection2 Char"/>
    <w:aliases w:val="ss2 Char"/>
    <w:link w:val="subsection2"/>
    <w:rsid w:val="00306B34"/>
    <w:rPr>
      <w:rFonts w:ascii="Times New Roman" w:eastAsia="Times New Roman" w:hAnsi="Times New Roman"/>
      <w:sz w:val="22"/>
    </w:rPr>
  </w:style>
  <w:style w:type="paragraph" w:customStyle="1" w:styleId="paragraphsub">
    <w:name w:val="paragraph(sub)"/>
    <w:aliases w:val="aa"/>
    <w:basedOn w:val="Normal"/>
    <w:rsid w:val="00807BB8"/>
    <w:pPr>
      <w:tabs>
        <w:tab w:val="right" w:pos="1985"/>
      </w:tabs>
      <w:spacing w:before="40" w:after="0"/>
      <w:ind w:left="2098" w:hanging="2098"/>
    </w:pPr>
    <w:rPr>
      <w:rFonts w:ascii="Times New Roman" w:eastAsia="Times New Roman" w:hAnsi="Times New Roman"/>
      <w:szCs w:val="20"/>
      <w:lang w:eastAsia="en-AU"/>
    </w:rPr>
  </w:style>
  <w:style w:type="paragraph" w:customStyle="1" w:styleId="Stylea">
    <w:name w:val="Style (a)"/>
    <w:basedOn w:val="Normal"/>
    <w:qFormat/>
    <w:rsid w:val="005C0537"/>
    <w:pPr>
      <w:numPr>
        <w:numId w:val="9"/>
      </w:numPr>
      <w:spacing w:after="0"/>
      <w:ind w:left="714" w:hanging="357"/>
    </w:pPr>
    <w:rPr>
      <w:rFonts w:ascii="Times New Roman" w:eastAsia="Times New Roman" w:hAnsi="Times New Roman"/>
      <w:snapToGrid w:val="0"/>
      <w:color w:val="FF0000"/>
      <w:sz w:val="24"/>
      <w:szCs w:val="24"/>
    </w:rPr>
  </w:style>
  <w:style w:type="character" w:styleId="UnresolvedMention">
    <w:name w:val="Unresolved Mention"/>
    <w:basedOn w:val="DefaultParagraphFont"/>
    <w:uiPriority w:val="99"/>
    <w:semiHidden/>
    <w:unhideWhenUsed/>
    <w:rsid w:val="0048540C"/>
    <w:rPr>
      <w:color w:val="605E5C"/>
      <w:shd w:val="clear" w:color="auto" w:fill="E1DFDD"/>
    </w:rPr>
  </w:style>
  <w:style w:type="character" w:styleId="FollowedHyperlink">
    <w:name w:val="FollowedHyperlink"/>
    <w:basedOn w:val="DefaultParagraphFont"/>
    <w:uiPriority w:val="99"/>
    <w:semiHidden/>
    <w:unhideWhenUsed/>
    <w:rsid w:val="00567B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381266">
      <w:bodyDiv w:val="1"/>
      <w:marLeft w:val="0"/>
      <w:marRight w:val="0"/>
      <w:marTop w:val="0"/>
      <w:marBottom w:val="0"/>
      <w:divBdr>
        <w:top w:val="none" w:sz="0" w:space="0" w:color="auto"/>
        <w:left w:val="none" w:sz="0" w:space="0" w:color="auto"/>
        <w:bottom w:val="none" w:sz="0" w:space="0" w:color="auto"/>
        <w:right w:val="none" w:sz="0" w:space="0" w:color="auto"/>
      </w:divBdr>
    </w:div>
    <w:div w:id="718212337">
      <w:bodyDiv w:val="1"/>
      <w:marLeft w:val="0"/>
      <w:marRight w:val="0"/>
      <w:marTop w:val="0"/>
      <w:marBottom w:val="0"/>
      <w:divBdr>
        <w:top w:val="none" w:sz="0" w:space="0" w:color="auto"/>
        <w:left w:val="none" w:sz="0" w:space="0" w:color="auto"/>
        <w:bottom w:val="none" w:sz="0" w:space="0" w:color="auto"/>
        <w:right w:val="none" w:sz="0" w:space="0" w:color="auto"/>
      </w:divBdr>
    </w:div>
    <w:div w:id="1475637767">
      <w:bodyDiv w:val="1"/>
      <w:marLeft w:val="0"/>
      <w:marRight w:val="0"/>
      <w:marTop w:val="0"/>
      <w:marBottom w:val="0"/>
      <w:divBdr>
        <w:top w:val="none" w:sz="0" w:space="0" w:color="auto"/>
        <w:left w:val="none" w:sz="0" w:space="0" w:color="auto"/>
        <w:bottom w:val="none" w:sz="0" w:space="0" w:color="auto"/>
        <w:right w:val="none" w:sz="0" w:space="0" w:color="auto"/>
      </w:divBdr>
      <w:divsChild>
        <w:div w:id="222570761">
          <w:marLeft w:val="0"/>
          <w:marRight w:val="0"/>
          <w:marTop w:val="0"/>
          <w:marBottom w:val="0"/>
          <w:divBdr>
            <w:top w:val="none" w:sz="0" w:space="0" w:color="auto"/>
            <w:left w:val="none" w:sz="0" w:space="0" w:color="auto"/>
            <w:bottom w:val="none" w:sz="0" w:space="0" w:color="auto"/>
            <w:right w:val="none" w:sz="0" w:space="0" w:color="auto"/>
          </w:divBdr>
          <w:divsChild>
            <w:div w:id="1794010096">
              <w:marLeft w:val="0"/>
              <w:marRight w:val="0"/>
              <w:marTop w:val="0"/>
              <w:marBottom w:val="0"/>
              <w:divBdr>
                <w:top w:val="none" w:sz="0" w:space="0" w:color="auto"/>
                <w:left w:val="none" w:sz="0" w:space="0" w:color="auto"/>
                <w:bottom w:val="none" w:sz="0" w:space="0" w:color="auto"/>
                <w:right w:val="none" w:sz="0" w:space="0" w:color="auto"/>
              </w:divBdr>
              <w:divsChild>
                <w:div w:id="1701978227">
                  <w:marLeft w:val="0"/>
                  <w:marRight w:val="0"/>
                  <w:marTop w:val="0"/>
                  <w:marBottom w:val="0"/>
                  <w:divBdr>
                    <w:top w:val="none" w:sz="0" w:space="0" w:color="auto"/>
                    <w:left w:val="none" w:sz="0" w:space="0" w:color="auto"/>
                    <w:bottom w:val="none" w:sz="0" w:space="0" w:color="auto"/>
                    <w:right w:val="none" w:sz="0" w:space="0" w:color="auto"/>
                  </w:divBdr>
                  <w:divsChild>
                    <w:div w:id="1790124053">
                      <w:marLeft w:val="0"/>
                      <w:marRight w:val="0"/>
                      <w:marTop w:val="0"/>
                      <w:marBottom w:val="0"/>
                      <w:divBdr>
                        <w:top w:val="none" w:sz="0" w:space="0" w:color="auto"/>
                        <w:left w:val="none" w:sz="0" w:space="0" w:color="auto"/>
                        <w:bottom w:val="none" w:sz="0" w:space="0" w:color="auto"/>
                        <w:right w:val="none" w:sz="0" w:space="0" w:color="auto"/>
                      </w:divBdr>
                      <w:divsChild>
                        <w:div w:id="64960048">
                          <w:marLeft w:val="0"/>
                          <w:marRight w:val="0"/>
                          <w:marTop w:val="0"/>
                          <w:marBottom w:val="0"/>
                          <w:divBdr>
                            <w:top w:val="none" w:sz="0" w:space="0" w:color="auto"/>
                            <w:left w:val="none" w:sz="0" w:space="0" w:color="auto"/>
                            <w:bottom w:val="none" w:sz="0" w:space="0" w:color="auto"/>
                            <w:right w:val="none" w:sz="0" w:space="0" w:color="auto"/>
                          </w:divBdr>
                          <w:divsChild>
                            <w:div w:id="562253302">
                              <w:marLeft w:val="0"/>
                              <w:marRight w:val="0"/>
                              <w:marTop w:val="0"/>
                              <w:marBottom w:val="0"/>
                              <w:divBdr>
                                <w:top w:val="none" w:sz="0" w:space="0" w:color="auto"/>
                                <w:left w:val="none" w:sz="0" w:space="0" w:color="auto"/>
                                <w:bottom w:val="none" w:sz="0" w:space="0" w:color="auto"/>
                                <w:right w:val="none" w:sz="0" w:space="0" w:color="auto"/>
                              </w:divBdr>
                              <w:divsChild>
                                <w:div w:id="715591398">
                                  <w:marLeft w:val="0"/>
                                  <w:marRight w:val="0"/>
                                  <w:marTop w:val="0"/>
                                  <w:marBottom w:val="0"/>
                                  <w:divBdr>
                                    <w:top w:val="none" w:sz="0" w:space="0" w:color="auto"/>
                                    <w:left w:val="none" w:sz="0" w:space="0" w:color="auto"/>
                                    <w:bottom w:val="none" w:sz="0" w:space="0" w:color="auto"/>
                                    <w:right w:val="none" w:sz="0" w:space="0" w:color="auto"/>
                                  </w:divBdr>
                                  <w:divsChild>
                                    <w:div w:id="111900808">
                                      <w:marLeft w:val="0"/>
                                      <w:marRight w:val="0"/>
                                      <w:marTop w:val="0"/>
                                      <w:marBottom w:val="0"/>
                                      <w:divBdr>
                                        <w:top w:val="none" w:sz="0" w:space="0" w:color="auto"/>
                                        <w:left w:val="none" w:sz="0" w:space="0" w:color="auto"/>
                                        <w:bottom w:val="none" w:sz="0" w:space="0" w:color="auto"/>
                                        <w:right w:val="none" w:sz="0" w:space="0" w:color="auto"/>
                                      </w:divBdr>
                                      <w:divsChild>
                                        <w:div w:id="1503617698">
                                          <w:marLeft w:val="0"/>
                                          <w:marRight w:val="0"/>
                                          <w:marTop w:val="0"/>
                                          <w:marBottom w:val="0"/>
                                          <w:divBdr>
                                            <w:top w:val="none" w:sz="0" w:space="0" w:color="auto"/>
                                            <w:left w:val="none" w:sz="0" w:space="0" w:color="auto"/>
                                            <w:bottom w:val="none" w:sz="0" w:space="0" w:color="auto"/>
                                            <w:right w:val="none" w:sz="0" w:space="0" w:color="auto"/>
                                          </w:divBdr>
                                          <w:divsChild>
                                            <w:div w:id="31930020">
                                              <w:marLeft w:val="0"/>
                                              <w:marRight w:val="0"/>
                                              <w:marTop w:val="0"/>
                                              <w:marBottom w:val="0"/>
                                              <w:divBdr>
                                                <w:top w:val="none" w:sz="0" w:space="0" w:color="auto"/>
                                                <w:left w:val="none" w:sz="0" w:space="0" w:color="auto"/>
                                                <w:bottom w:val="none" w:sz="0" w:space="0" w:color="auto"/>
                                                <w:right w:val="none" w:sz="0" w:space="0" w:color="auto"/>
                                              </w:divBdr>
                                              <w:divsChild>
                                                <w:div w:id="1325890075">
                                                  <w:marLeft w:val="0"/>
                                                  <w:marRight w:val="0"/>
                                                  <w:marTop w:val="0"/>
                                                  <w:marBottom w:val="0"/>
                                                  <w:divBdr>
                                                    <w:top w:val="none" w:sz="0" w:space="0" w:color="auto"/>
                                                    <w:left w:val="none" w:sz="0" w:space="0" w:color="auto"/>
                                                    <w:bottom w:val="none" w:sz="0" w:space="0" w:color="auto"/>
                                                    <w:right w:val="none" w:sz="0" w:space="0" w:color="auto"/>
                                                  </w:divBdr>
                                                  <w:divsChild>
                                                    <w:div w:id="1557204021">
                                                      <w:marLeft w:val="0"/>
                                                      <w:marRight w:val="0"/>
                                                      <w:marTop w:val="0"/>
                                                      <w:marBottom w:val="0"/>
                                                      <w:divBdr>
                                                        <w:top w:val="none" w:sz="0" w:space="0" w:color="auto"/>
                                                        <w:left w:val="none" w:sz="0" w:space="0" w:color="auto"/>
                                                        <w:bottom w:val="none" w:sz="0" w:space="0" w:color="auto"/>
                                                        <w:right w:val="none" w:sz="0" w:space="0" w:color="auto"/>
                                                      </w:divBdr>
                                                      <w:divsChild>
                                                        <w:div w:id="2761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0129058">
      <w:bodyDiv w:val="1"/>
      <w:marLeft w:val="0"/>
      <w:marRight w:val="0"/>
      <w:marTop w:val="0"/>
      <w:marBottom w:val="0"/>
      <w:divBdr>
        <w:top w:val="none" w:sz="0" w:space="0" w:color="auto"/>
        <w:left w:val="none" w:sz="0" w:space="0" w:color="auto"/>
        <w:bottom w:val="none" w:sz="0" w:space="0" w:color="auto"/>
        <w:right w:val="none" w:sz="0" w:space="0" w:color="auto"/>
      </w:divBdr>
    </w:div>
    <w:div w:id="1894803511">
      <w:bodyDiv w:val="1"/>
      <w:marLeft w:val="0"/>
      <w:marRight w:val="0"/>
      <w:marTop w:val="0"/>
      <w:marBottom w:val="0"/>
      <w:divBdr>
        <w:top w:val="none" w:sz="0" w:space="0" w:color="auto"/>
        <w:left w:val="none" w:sz="0" w:space="0" w:color="auto"/>
        <w:bottom w:val="none" w:sz="0" w:space="0" w:color="auto"/>
        <w:right w:val="none" w:sz="0" w:space="0" w:color="auto"/>
      </w:divBdr>
    </w:div>
    <w:div w:id="1972588881">
      <w:bodyDiv w:val="1"/>
      <w:marLeft w:val="0"/>
      <w:marRight w:val="0"/>
      <w:marTop w:val="0"/>
      <w:marBottom w:val="0"/>
      <w:divBdr>
        <w:top w:val="none" w:sz="0" w:space="0" w:color="auto"/>
        <w:left w:val="none" w:sz="0" w:space="0" w:color="auto"/>
        <w:bottom w:val="none" w:sz="0" w:space="0" w:color="auto"/>
        <w:right w:val="none" w:sz="0" w:space="0" w:color="auto"/>
      </w:divBdr>
    </w:div>
    <w:div w:id="2075078317">
      <w:bodyDiv w:val="1"/>
      <w:marLeft w:val="0"/>
      <w:marRight w:val="0"/>
      <w:marTop w:val="0"/>
      <w:marBottom w:val="0"/>
      <w:divBdr>
        <w:top w:val="none" w:sz="0" w:space="0" w:color="auto"/>
        <w:left w:val="none" w:sz="0" w:space="0" w:color="auto"/>
        <w:bottom w:val="none" w:sz="0" w:space="0" w:color="auto"/>
        <w:right w:val="none" w:sz="0" w:space="0" w:color="auto"/>
      </w:divBdr>
      <w:divsChild>
        <w:div w:id="89160279">
          <w:marLeft w:val="0"/>
          <w:marRight w:val="0"/>
          <w:marTop w:val="0"/>
          <w:marBottom w:val="0"/>
          <w:divBdr>
            <w:top w:val="none" w:sz="0" w:space="0" w:color="auto"/>
            <w:left w:val="none" w:sz="0" w:space="0" w:color="auto"/>
            <w:bottom w:val="none" w:sz="0" w:space="0" w:color="auto"/>
            <w:right w:val="none" w:sz="0" w:space="0" w:color="auto"/>
          </w:divBdr>
          <w:divsChild>
            <w:div w:id="1612666829">
              <w:marLeft w:val="0"/>
              <w:marRight w:val="0"/>
              <w:marTop w:val="0"/>
              <w:marBottom w:val="0"/>
              <w:divBdr>
                <w:top w:val="none" w:sz="0" w:space="0" w:color="auto"/>
                <w:left w:val="none" w:sz="0" w:space="0" w:color="auto"/>
                <w:bottom w:val="none" w:sz="0" w:space="0" w:color="auto"/>
                <w:right w:val="none" w:sz="0" w:space="0" w:color="auto"/>
              </w:divBdr>
              <w:divsChild>
                <w:div w:id="1390691449">
                  <w:marLeft w:val="0"/>
                  <w:marRight w:val="0"/>
                  <w:marTop w:val="0"/>
                  <w:marBottom w:val="0"/>
                  <w:divBdr>
                    <w:top w:val="none" w:sz="0" w:space="0" w:color="auto"/>
                    <w:left w:val="none" w:sz="0" w:space="0" w:color="auto"/>
                    <w:bottom w:val="none" w:sz="0" w:space="0" w:color="auto"/>
                    <w:right w:val="none" w:sz="0" w:space="0" w:color="auto"/>
                  </w:divBdr>
                  <w:divsChild>
                    <w:div w:id="1461070853">
                      <w:marLeft w:val="0"/>
                      <w:marRight w:val="0"/>
                      <w:marTop w:val="0"/>
                      <w:marBottom w:val="0"/>
                      <w:divBdr>
                        <w:top w:val="none" w:sz="0" w:space="0" w:color="auto"/>
                        <w:left w:val="none" w:sz="0" w:space="0" w:color="auto"/>
                        <w:bottom w:val="none" w:sz="0" w:space="0" w:color="auto"/>
                        <w:right w:val="none" w:sz="0" w:space="0" w:color="auto"/>
                      </w:divBdr>
                      <w:divsChild>
                        <w:div w:id="1876313675">
                          <w:marLeft w:val="0"/>
                          <w:marRight w:val="0"/>
                          <w:marTop w:val="0"/>
                          <w:marBottom w:val="0"/>
                          <w:divBdr>
                            <w:top w:val="none" w:sz="0" w:space="0" w:color="auto"/>
                            <w:left w:val="none" w:sz="0" w:space="0" w:color="auto"/>
                            <w:bottom w:val="none" w:sz="0" w:space="0" w:color="auto"/>
                            <w:right w:val="none" w:sz="0" w:space="0" w:color="auto"/>
                          </w:divBdr>
                          <w:divsChild>
                            <w:div w:id="281574415">
                              <w:marLeft w:val="0"/>
                              <w:marRight w:val="0"/>
                              <w:marTop w:val="0"/>
                              <w:marBottom w:val="0"/>
                              <w:divBdr>
                                <w:top w:val="none" w:sz="0" w:space="0" w:color="auto"/>
                                <w:left w:val="none" w:sz="0" w:space="0" w:color="auto"/>
                                <w:bottom w:val="none" w:sz="0" w:space="0" w:color="auto"/>
                                <w:right w:val="none" w:sz="0" w:space="0" w:color="auto"/>
                              </w:divBdr>
                              <w:divsChild>
                                <w:div w:id="486241115">
                                  <w:marLeft w:val="0"/>
                                  <w:marRight w:val="0"/>
                                  <w:marTop w:val="0"/>
                                  <w:marBottom w:val="0"/>
                                  <w:divBdr>
                                    <w:top w:val="none" w:sz="0" w:space="0" w:color="auto"/>
                                    <w:left w:val="none" w:sz="0" w:space="0" w:color="auto"/>
                                    <w:bottom w:val="none" w:sz="0" w:space="0" w:color="auto"/>
                                    <w:right w:val="none" w:sz="0" w:space="0" w:color="auto"/>
                                  </w:divBdr>
                                  <w:divsChild>
                                    <w:div w:id="1859076311">
                                      <w:marLeft w:val="0"/>
                                      <w:marRight w:val="0"/>
                                      <w:marTop w:val="0"/>
                                      <w:marBottom w:val="0"/>
                                      <w:divBdr>
                                        <w:top w:val="none" w:sz="0" w:space="0" w:color="auto"/>
                                        <w:left w:val="none" w:sz="0" w:space="0" w:color="auto"/>
                                        <w:bottom w:val="none" w:sz="0" w:space="0" w:color="auto"/>
                                        <w:right w:val="none" w:sz="0" w:space="0" w:color="auto"/>
                                      </w:divBdr>
                                      <w:divsChild>
                                        <w:div w:id="1333529213">
                                          <w:marLeft w:val="0"/>
                                          <w:marRight w:val="0"/>
                                          <w:marTop w:val="0"/>
                                          <w:marBottom w:val="0"/>
                                          <w:divBdr>
                                            <w:top w:val="none" w:sz="0" w:space="0" w:color="auto"/>
                                            <w:left w:val="none" w:sz="0" w:space="0" w:color="auto"/>
                                            <w:bottom w:val="none" w:sz="0" w:space="0" w:color="auto"/>
                                            <w:right w:val="none" w:sz="0" w:space="0" w:color="auto"/>
                                          </w:divBdr>
                                          <w:divsChild>
                                            <w:div w:id="1901819921">
                                              <w:marLeft w:val="0"/>
                                              <w:marRight w:val="0"/>
                                              <w:marTop w:val="0"/>
                                              <w:marBottom w:val="0"/>
                                              <w:divBdr>
                                                <w:top w:val="none" w:sz="0" w:space="0" w:color="auto"/>
                                                <w:left w:val="none" w:sz="0" w:space="0" w:color="auto"/>
                                                <w:bottom w:val="none" w:sz="0" w:space="0" w:color="auto"/>
                                                <w:right w:val="none" w:sz="0" w:space="0" w:color="auto"/>
                                              </w:divBdr>
                                              <w:divsChild>
                                                <w:div w:id="1834567731">
                                                  <w:marLeft w:val="0"/>
                                                  <w:marRight w:val="0"/>
                                                  <w:marTop w:val="0"/>
                                                  <w:marBottom w:val="0"/>
                                                  <w:divBdr>
                                                    <w:top w:val="none" w:sz="0" w:space="0" w:color="auto"/>
                                                    <w:left w:val="none" w:sz="0" w:space="0" w:color="auto"/>
                                                    <w:bottom w:val="none" w:sz="0" w:space="0" w:color="auto"/>
                                                    <w:right w:val="none" w:sz="0" w:space="0" w:color="auto"/>
                                                  </w:divBdr>
                                                  <w:divsChild>
                                                    <w:div w:id="2140872455">
                                                      <w:marLeft w:val="0"/>
                                                      <w:marRight w:val="0"/>
                                                      <w:marTop w:val="0"/>
                                                      <w:marBottom w:val="0"/>
                                                      <w:divBdr>
                                                        <w:top w:val="none" w:sz="0" w:space="0" w:color="auto"/>
                                                        <w:left w:val="none" w:sz="0" w:space="0" w:color="auto"/>
                                                        <w:bottom w:val="none" w:sz="0" w:space="0" w:color="auto"/>
                                                        <w:right w:val="none" w:sz="0" w:space="0" w:color="auto"/>
                                                      </w:divBdr>
                                                      <w:divsChild>
                                                        <w:div w:id="44258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footer" Target="footer3.xml"/><Relationship Id="rId26" Type="http://schemas.openxmlformats.org/officeDocument/2006/relationships/hyperlink" Target="https://www.water.vic.gov.au/__data/assets/pdf_file/0021/203349/PPBWS-and-BP-Ramsar-Site-Management-Plan-Summary.pdf" TargetMode="External"/><Relationship Id="rId39" Type="http://schemas.openxmlformats.org/officeDocument/2006/relationships/hyperlink" Target="https://www.legislation.vic.gov.au/in-force/acts/fisheries-act-1995/098" TargetMode="External"/><Relationship Id="rId21" Type="http://schemas.openxmlformats.org/officeDocument/2006/relationships/hyperlink" Target="http://spire.environment.gov.au/spire/886644/246810/338/VIC%20-%20PQ%20Aquatics%20-%202021-2024/EA%20report%202021%20April.pdf" TargetMode="External"/><Relationship Id="rId34" Type="http://schemas.openxmlformats.org/officeDocument/2006/relationships/hyperlink" Target="http://www.environment.gov.au/cgi-bin/sprat/public/sprat.pl"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2.jpeg"/><Relationship Id="rId29" Type="http://schemas.openxmlformats.org/officeDocument/2006/relationships/hyperlink" Target="https://www.legislation.gov.au/Details/C2021C00182/Html/Volume_2"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vfa.vic.gov.au/operational-policy/legislation-and-regulation/protected-aquatic-and-priority-species" TargetMode="External"/><Relationship Id="rId32" Type="http://schemas.openxmlformats.org/officeDocument/2006/relationships/hyperlink" Target="https://bie.ala.org.au/species/urn:lsid:biodiversity.org.au:afd.taxon:d3881c8e-0671-4f22-aebd-8758df915b12" TargetMode="External"/><Relationship Id="rId37" Type="http://schemas.openxmlformats.org/officeDocument/2006/relationships/hyperlink" Target="https://www.awe.gov.au/environment/marine/fisheries/vic/pqaquatics/application-2021" TargetMode="External"/><Relationship Id="rId40" Type="http://schemas.openxmlformats.org/officeDocument/2006/relationships/hyperlink" Target="https://www.legislation.vic.gov.au/in-force/statutory-rules/fisheries-regulations-2019/002" TargetMode="External"/><Relationship Id="rId45" Type="http://schemas.openxmlformats.org/officeDocument/2006/relationships/header" Target="header3.xml"/><Relationship Id="rId36" Type="http://schemas.openxmlformats.org/officeDocument/2006/relationships/hyperlink" Target="https://vnpa.org.au/wp-content/uploads/2021/09/GVFC-report-2020_web.pdf" TargetMode="External"/><Relationship Id="rId15" Type="http://schemas.openxmlformats.org/officeDocument/2006/relationships/footer" Target="footer2.xml"/><Relationship Id="rId23" Type="http://schemas.openxmlformats.org/officeDocument/2006/relationships/hyperlink" Target="https://vfa.vic.gov.au/" TargetMode="External"/><Relationship Id="rId28" Type="http://schemas.openxmlformats.org/officeDocument/2006/relationships/hyperlink" Target="https://www.legislation.vic.gov.au/in-force/statutory-rules/fisheries-regulations-2019/002" TargetMode="External"/><Relationship Id="rId10" Type="http://schemas.openxmlformats.org/officeDocument/2006/relationships/webSettings" Target="webSettings.xml"/><Relationship Id="rId19" Type="http://schemas.openxmlformats.org/officeDocument/2006/relationships/footer" Target="footer4.xml"/><Relationship Id="rId31" Type="http://schemas.openxmlformats.org/officeDocument/2006/relationships/hyperlink" Target="https://bie.ala.org.au/species/urn:lsid:biodiversity.org.au:afd.taxon:180e82e4-7039-43ef-b227-1e0f3b386362" TargetMode="External"/><Relationship Id="rId44"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pire.environment.gov.au/spire/886644/246810/338/VIC%20-%20PQ%20Aquatics%20-%202021-2024/Annual%20Report%202021%20-%20PQ%20Aquatics%20-%2030%20November%202021.pdf" TargetMode="External"/><Relationship Id="rId27" Type="http://schemas.openxmlformats.org/officeDocument/2006/relationships/hyperlink" Target="https://www.legislation.vic.gov.au/in-force/acts/fisheries-act-1995/098" TargetMode="External"/><Relationship Id="rId30" Type="http://schemas.openxmlformats.org/officeDocument/2006/relationships/hyperlink" Target="http://spire.environment.gov.au/spire/886644/246810/338/VIC%20-%20PQ%20Aquatics/Assessment%20-%20NDF%20-%20Proposed%20harvest%20limits%20(H.%20abdominalis_H.%20breviceps)%20-%202015.pdf" TargetMode="External"/><Relationship Id="rId35" Type="http://schemas.openxmlformats.org/officeDocument/2006/relationships/hyperlink" Target="https://www.awe.gov.au/environment/marine/fisheries/vic/pqaquatics/application-2021" TargetMode="External"/><Relationship Id="rId43" Type="http://schemas.openxmlformats.org/officeDocument/2006/relationships/footer" Target="footer5.xml"/><Relationship Id="rId48" Type="http://schemas.openxmlformats.org/officeDocument/2006/relationships/theme" Target="theme/theme1.xml"/><Relationship Id="rId8"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environment.gov.au/resource/guidelines-ecologically-sustainable-management-fisheries" TargetMode="External"/><Relationship Id="rId25" Type="http://schemas.openxmlformats.org/officeDocument/2006/relationships/hyperlink" Target="https://vfa.vic.gov.au/operational-policy/legislation-and-regulation/protected-aquatic-and-priority-species/pab-permit-policy-statement" TargetMode="External"/><Relationship Id="rId33" Type="http://schemas.openxmlformats.org/officeDocument/2006/relationships/hyperlink" Target="https://bie.ala.org.au/search?sortField=score&amp;dir=desc&amp;q=weedy+seadragon" TargetMode="External"/><Relationship Id="rId38" Type="http://schemas.openxmlformats.org/officeDocument/2006/relationships/hyperlink" Target="https://vfa.vic.gov.au/operational-policy/legislation-and-regulation/protected-aquatic-and-priority-species/pab-permit-policy-statement" TargetMode="External"/><Relationship Id="rId46" Type="http://schemas.openxmlformats.org/officeDocument/2006/relationships/footer" Target="footer7.xml"/><Relationship Id="rId20" Type="http://schemas.openxmlformats.org/officeDocument/2006/relationships/hyperlink" Target="https://www.awe.gov.au/environment/marine/fisheries/vic/pqaquatics"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841C706EC42F36488E878CEA66D5CB61" ma:contentTypeVersion="10" ma:contentTypeDescription="Create a new Word Document" ma:contentTypeScope="" ma:versionID="9f9311c14275b08cee78b4e5f3f21b01">
  <xsd:schema xmlns:xsd="http://www.w3.org/2001/XMLSchema" xmlns:xs="http://www.w3.org/2001/XMLSchema" xmlns:p="http://schemas.microsoft.com/office/2006/metadata/properties" xmlns:ns2="344c6e69-c594-4ca4-b341-09ae9dfc1422" targetNamespace="http://schemas.microsoft.com/office/2006/metadata/properties" ma:root="true" ma:fieldsID="8779cb1afe74a9082b92c9138427d8cc"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6DC1560C-42D2-4B58-A9F7-7E8782BD37ED}">
  <ds:schemaRefs>
    <ds:schemaRef ds:uri="http://schemas.microsoft.com/sharepoint/v3/contenttype/forms"/>
  </ds:schemaRefs>
</ds:datastoreItem>
</file>

<file path=customXml/itemProps2.xml><?xml version="1.0" encoding="utf-8"?>
<ds:datastoreItem xmlns:ds="http://schemas.openxmlformats.org/officeDocument/2006/customXml" ds:itemID="{91C94E17-5CB4-4F01-845D-D15EBCEF35D4}"/>
</file>

<file path=customXml/itemProps3.xml><?xml version="1.0" encoding="utf-8"?>
<ds:datastoreItem xmlns:ds="http://schemas.openxmlformats.org/officeDocument/2006/customXml" ds:itemID="{0FEC9D01-4293-44A2-82E8-563B3736A032}">
  <ds:schemaRefs>
    <ds:schemaRef ds:uri="http://schemas.microsoft.com/sharepoint/events"/>
  </ds:schemaRefs>
</ds:datastoreItem>
</file>

<file path=customXml/itemProps4.xml><?xml version="1.0" encoding="utf-8"?>
<ds:datastoreItem xmlns:ds="http://schemas.openxmlformats.org/officeDocument/2006/customXml" ds:itemID="{02B6D8FC-3175-4646-98C7-F9910AE07294}">
  <ds:schemaRefs>
    <ds:schemaRef ds:uri="http://schemas.openxmlformats.org/officeDocument/2006/bibliography"/>
  </ds:schemaRefs>
</ds:datastoreItem>
</file>

<file path=customXml/itemProps5.xml><?xml version="1.0" encoding="utf-8"?>
<ds:datastoreItem xmlns:ds="http://schemas.openxmlformats.org/officeDocument/2006/customXml" ds:itemID="{F4556421-0107-414C-87D0-9716D4DE1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A950031-DF30-4B96-B6FC-F23CE65DD586}">
  <ds:schemaRefs>
    <ds:schemaRef ds:uri="http://schemas.microsoft.com/office/2006/documentManagement/types"/>
    <ds:schemaRef ds:uri="http://purl.org/dc/terms/"/>
    <ds:schemaRef ds:uri="344c6e69-c594-4ca4-b341-09ae9dfc1422"/>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8931</Words>
  <Characters>50910</Characters>
  <Application>Microsoft Office Word</Application>
  <DocSecurity>4</DocSecurity>
  <Lines>424</Lines>
  <Paragraphs>119</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Assessment of the Victorian PQ Aquatics Syngnathids Wildlife Trade Operation</vt:lpstr>
      <vt:lpstr/>
      <vt:lpstr/>
      <vt:lpstr/>
      <vt:lpstr>Executive summary</vt:lpstr>
      <vt:lpstr>Section 1: Assessment Summary </vt:lpstr>
      <vt:lpstr>Section 2: Summary of Issues Requiring Conditions</vt:lpstr>
      <vt:lpstr>        Assessment history:</vt:lpstr>
      <vt:lpstr>        </vt:lpstr>
      <vt:lpstr>        Fishery reporting:</vt:lpstr>
      <vt:lpstr>        </vt:lpstr>
      <vt:lpstr>        Key links: </vt:lpstr>
      <vt:lpstr>Section 3: Detailed Analysis Against the Guidelines </vt:lpstr>
      <vt:lpstr>Section 4: Assessment Against the EPBC Act</vt:lpstr>
      <vt:lpstr>    Part 12 – Identifying and monitoring biodiversity and making bioregional plans</vt:lpstr>
      <vt:lpstr>    Part 13 – Species and communities</vt:lpstr>
      <vt:lpstr>    Part 13A – International movement of wildlife specimens</vt:lpstr>
      <vt:lpstr>    Part 16 – Precautionary principle and other considerations in making decisions</vt:lpstr>
    </vt:vector>
  </TitlesOfParts>
  <Company/>
  <LinksUpToDate>false</LinksUpToDate>
  <CharactersWithSpaces>59722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the Victorian PQ Aquatics Syngnathids Wildlife Trade Operation</dc:title>
  <dc:creator>Department of Agriculture, Water and the Environment</dc:creator>
  <cp:lastModifiedBy>Bec Durack</cp:lastModifiedBy>
  <cp:revision>2</cp:revision>
  <cp:lastPrinted>2021-12-14T05:04:00Z</cp:lastPrinted>
  <dcterms:created xsi:type="dcterms:W3CDTF">2022-01-04T02:53:00Z</dcterms:created>
  <dcterms:modified xsi:type="dcterms:W3CDTF">2022-01-04T02:53:00Z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{2dd2d357-a307-43f6-b08b-6d3f9a6f6c9a}</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ies>
</file>