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069A6" w14:textId="77777777" w:rsidR="004D017B" w:rsidRDefault="0081595C" w:rsidP="004D017B">
      <w:pPr>
        <w:pStyle w:val="Heading1"/>
      </w:pPr>
      <w:r>
        <w:t>Introducing NEXDOC</w:t>
      </w:r>
    </w:p>
    <w:p w14:paraId="7751E236" w14:textId="77777777" w:rsidR="004D017B" w:rsidRDefault="004D017B" w:rsidP="004D017B">
      <w:pPr>
        <w:pStyle w:val="Subtitle"/>
      </w:pPr>
      <w:r>
        <w:t>Video description and transcript</w:t>
      </w:r>
    </w:p>
    <w:p w14:paraId="1B603AD0" w14:textId="77777777" w:rsidR="00350EA2" w:rsidRPr="00350EA2" w:rsidRDefault="00350EA2" w:rsidP="00350EA2">
      <w:pPr>
        <w:pStyle w:val="Date"/>
      </w:pPr>
      <w:r w:rsidRPr="00A04F0A">
        <w:t xml:space="preserve">Uploaded </w:t>
      </w:r>
      <w:r w:rsidR="0081595C">
        <w:t>July 2020</w:t>
      </w:r>
    </w:p>
    <w:p w14:paraId="55BD0784" w14:textId="77777777" w:rsidR="00350EA2" w:rsidRDefault="00350EA2" w:rsidP="00350EA2">
      <w:pPr>
        <w:pStyle w:val="Heading2"/>
      </w:pPr>
      <w:r>
        <w:t>Introduction</w:t>
      </w:r>
    </w:p>
    <w:p w14:paraId="4FD63782" w14:textId="77777777" w:rsidR="004D017B" w:rsidRDefault="004D017B" w:rsidP="004D017B">
      <w:r>
        <w:t xml:space="preserve">This is the accessible text transcript for the </w:t>
      </w:r>
      <w:r w:rsidR="0081595C">
        <w:t>Introducing NEXDOC video.</w:t>
      </w:r>
    </w:p>
    <w:p w14:paraId="681C46EC" w14:textId="77777777" w:rsidR="004D017B" w:rsidRDefault="004D017B" w:rsidP="00350EA2">
      <w:pPr>
        <w:pStyle w:val="Heading2"/>
      </w:pPr>
      <w:r>
        <w:t>Screen 1</w:t>
      </w:r>
    </w:p>
    <w:p w14:paraId="1FD9BDA1" w14:textId="38D104BF" w:rsidR="004D017B" w:rsidRDefault="004D017B" w:rsidP="004D017B">
      <w:r>
        <w:t>[Vid</w:t>
      </w:r>
      <w:r w:rsidR="0081595C">
        <w:t xml:space="preserve">eo description: </w:t>
      </w:r>
      <w:r w:rsidR="00976068">
        <w:t>David Hazlehurst, Deputy Secretary, Agricultural Trade Group, speaking directly to camera</w:t>
      </w:r>
      <w:r>
        <w:t>.]</w:t>
      </w:r>
    </w:p>
    <w:p w14:paraId="370AD1F6" w14:textId="77777777" w:rsidR="00293D19" w:rsidRPr="00293D19" w:rsidRDefault="00293D19" w:rsidP="00293D19">
      <w:r w:rsidRPr="00293D19">
        <w:t>My name is David Hazlehurst, and I’m the Deputy Secretary for the Agricultural Trade Group at the Australian Government Department of Agriculture Water and the Environment.</w:t>
      </w:r>
    </w:p>
    <w:p w14:paraId="35259B84" w14:textId="77777777" w:rsidR="00293D19" w:rsidRPr="00293D19" w:rsidRDefault="00293D19" w:rsidP="00293D19">
      <w:r w:rsidRPr="00293D19">
        <w:t>The big focus for me and my team is making the most of significant investments the government has made in modernising our regulatory services to agricultural exporters.</w:t>
      </w:r>
    </w:p>
    <w:p w14:paraId="7DA1E0B5" w14:textId="77777777" w:rsidR="004D017B" w:rsidRDefault="004D017B" w:rsidP="00350EA2">
      <w:pPr>
        <w:pStyle w:val="Heading2"/>
      </w:pPr>
      <w:r>
        <w:t>Screen 2</w:t>
      </w:r>
    </w:p>
    <w:p w14:paraId="46366DE6" w14:textId="4C91B10C" w:rsidR="004D017B" w:rsidRDefault="004D017B" w:rsidP="004D017B">
      <w:r>
        <w:t xml:space="preserve">[Video description: </w:t>
      </w:r>
      <w:r w:rsidR="00293D19">
        <w:t>tractor watering an aisle of green plants, farmer moving boxes onto a truck, small orange fruit going into a blue box, close up of lemons on a tree and container ship with multiple coloured containers on board</w:t>
      </w:r>
      <w:r>
        <w:t>.]</w:t>
      </w:r>
    </w:p>
    <w:p w14:paraId="4102F3C2" w14:textId="77777777" w:rsidR="00293D19" w:rsidRPr="0046291D" w:rsidRDefault="00293D19" w:rsidP="00293D19">
      <w:r w:rsidRPr="0046291D">
        <w:t>We want to help farmers, processors and exporters get our safe, high quality agricultural produce to consumers across the globe, faster and with less red tape.</w:t>
      </w:r>
    </w:p>
    <w:p w14:paraId="239DF555" w14:textId="77777777" w:rsidR="004D017B" w:rsidRDefault="004D017B" w:rsidP="00350EA2">
      <w:pPr>
        <w:pStyle w:val="Heading2"/>
      </w:pPr>
      <w:r>
        <w:t>Screen 3</w:t>
      </w:r>
    </w:p>
    <w:p w14:paraId="7DD9764C" w14:textId="02C9721A" w:rsidR="0081595C" w:rsidRPr="0081595C" w:rsidRDefault="0081595C" w:rsidP="0081595C">
      <w:r>
        <w:t xml:space="preserve">[Video description: </w:t>
      </w:r>
      <w:r w:rsidR="00293D19">
        <w:t>David Hazlehurst, looking directly to camera</w:t>
      </w:r>
      <w:r>
        <w:t>.]</w:t>
      </w:r>
    </w:p>
    <w:p w14:paraId="5CABF9F6" w14:textId="77777777" w:rsidR="00293D19" w:rsidRDefault="00293D19" w:rsidP="00293D19">
      <w:r w:rsidRPr="0046291D">
        <w:t>One way we’re doing this is through a new web based export management systems, which will streamline and strengthen the international reputation of our exports.</w:t>
      </w:r>
    </w:p>
    <w:p w14:paraId="7A5A1161" w14:textId="77777777" w:rsidR="00293D19" w:rsidRPr="0046291D" w:rsidRDefault="00293D19" w:rsidP="00293D19">
      <w:r w:rsidRPr="0046291D">
        <w:t>It’s called NEXDOC and its revolutionising our processes, equipping our farmers and exporters with a modern technical platform.</w:t>
      </w:r>
    </w:p>
    <w:p w14:paraId="764B091B" w14:textId="77777777" w:rsidR="004D017B" w:rsidRDefault="004D017B" w:rsidP="00350EA2">
      <w:pPr>
        <w:pStyle w:val="Heading2"/>
      </w:pPr>
      <w:r>
        <w:t>Screen 4</w:t>
      </w:r>
    </w:p>
    <w:p w14:paraId="37A937C3" w14:textId="52B36284" w:rsidR="004D017B" w:rsidRDefault="004D017B" w:rsidP="004D017B">
      <w:r>
        <w:t xml:space="preserve">[Video description: </w:t>
      </w:r>
      <w:r w:rsidR="00293D19">
        <w:t>milk production line and still image of white and black dairy cows</w:t>
      </w:r>
      <w:r>
        <w:t>]</w:t>
      </w:r>
    </w:p>
    <w:p w14:paraId="1FCA9CCC" w14:textId="77777777" w:rsidR="00293D19" w:rsidRPr="0046291D" w:rsidRDefault="00293D19" w:rsidP="00293D19">
      <w:r w:rsidRPr="0046291D">
        <w:t xml:space="preserve">Dairy was the first commodity to be transitioned onto NEXDOC on Monday the 17th of May. </w:t>
      </w:r>
    </w:p>
    <w:p w14:paraId="22566843" w14:textId="77777777" w:rsidR="004D017B" w:rsidRDefault="004D017B" w:rsidP="00350EA2">
      <w:pPr>
        <w:pStyle w:val="Heading2"/>
      </w:pPr>
      <w:r>
        <w:lastRenderedPageBreak/>
        <w:t>Screen 5</w:t>
      </w:r>
    </w:p>
    <w:p w14:paraId="4C87B09D" w14:textId="0C313D3A" w:rsidR="00293D19" w:rsidRPr="0081595C" w:rsidRDefault="00293D19" w:rsidP="00293D19">
      <w:r>
        <w:t>[Video description: David Hazlehurst, looking directly to camera, transitions to a phone over a QR code.]</w:t>
      </w:r>
    </w:p>
    <w:p w14:paraId="414B98C9" w14:textId="77777777" w:rsidR="00293D19" w:rsidRPr="0046291D" w:rsidRDefault="00293D19" w:rsidP="00293D19">
      <w:r w:rsidRPr="0046291D">
        <w:t xml:space="preserve">One of the key new technologies in NEXDOC is QR codes, which have become familiar to all of us during COVID. </w:t>
      </w:r>
    </w:p>
    <w:p w14:paraId="38D193B5" w14:textId="77777777" w:rsidR="004D017B" w:rsidRDefault="004D017B" w:rsidP="00350EA2">
      <w:pPr>
        <w:pStyle w:val="Heading2"/>
      </w:pPr>
      <w:r>
        <w:t>Screen 6</w:t>
      </w:r>
    </w:p>
    <w:p w14:paraId="15D35E5C" w14:textId="77777777" w:rsidR="00594679" w:rsidRPr="0081595C" w:rsidRDefault="00594679" w:rsidP="00594679">
      <w:r>
        <w:t>[Video description: David Hazlehurst, looking directly to camera, transitions to a phone over a QR code.]</w:t>
      </w:r>
    </w:p>
    <w:p w14:paraId="6BB9B81D" w14:textId="77777777" w:rsidR="00594679" w:rsidRPr="0046291D" w:rsidRDefault="00594679" w:rsidP="00594679">
      <w:r w:rsidRPr="0046291D">
        <w:t>The impact they can have on our exports processes is truly remarkable.</w:t>
      </w:r>
    </w:p>
    <w:p w14:paraId="3ED0CAD5" w14:textId="77777777" w:rsidR="004D017B" w:rsidRDefault="004D017B" w:rsidP="00350EA2">
      <w:pPr>
        <w:pStyle w:val="Heading2"/>
      </w:pPr>
      <w:r>
        <w:t>Screen 7</w:t>
      </w:r>
    </w:p>
    <w:p w14:paraId="6B0225CB" w14:textId="5848DDAC" w:rsidR="0081595C" w:rsidRDefault="004D017B" w:rsidP="004D017B">
      <w:r>
        <w:t xml:space="preserve">[Video description: </w:t>
      </w:r>
      <w:r w:rsidR="000A35BA">
        <w:t>black and white dairy cows in a green field</w:t>
      </w:r>
      <w:r w:rsidR="0081595C">
        <w:t>.]</w:t>
      </w:r>
    </w:p>
    <w:p w14:paraId="3667A27C" w14:textId="77777777" w:rsidR="000A35BA" w:rsidRPr="0046291D" w:rsidRDefault="000A35BA" w:rsidP="000A35BA">
      <w:r w:rsidRPr="0046291D">
        <w:t xml:space="preserve">Beginning with dairy exports, NEXDOC will automatically generate export certifications with a unique QR code as well as a certificate number. </w:t>
      </w:r>
    </w:p>
    <w:p w14:paraId="689C3AE8" w14:textId="77777777" w:rsidR="004D017B" w:rsidRDefault="004D017B" w:rsidP="00350EA2">
      <w:pPr>
        <w:pStyle w:val="Heading2"/>
      </w:pPr>
      <w:r>
        <w:t>Screen 8</w:t>
      </w:r>
    </w:p>
    <w:p w14:paraId="4C8CD37C" w14:textId="424E7E7C" w:rsidR="004D017B" w:rsidRDefault="004D017B" w:rsidP="004D017B">
      <w:r>
        <w:t xml:space="preserve">[Video description: </w:t>
      </w:r>
      <w:r w:rsidR="000A35BA">
        <w:t>farmer working on grape harvest, transitions to multiple images of agricultural production with grain being poured, wheat on conveyor belt and pumpkins being harvested</w:t>
      </w:r>
      <w:r>
        <w:t>.]</w:t>
      </w:r>
    </w:p>
    <w:p w14:paraId="087EABC3" w14:textId="77777777" w:rsidR="000A35BA" w:rsidRPr="0046291D" w:rsidRDefault="000A35BA" w:rsidP="000A35BA">
      <w:r w:rsidRPr="0046291D">
        <w:t xml:space="preserve">With this increased visibility across all points of the export supply chain, the enhanced tool provides improved product traceability and security. </w:t>
      </w:r>
    </w:p>
    <w:p w14:paraId="1D8F219F" w14:textId="77777777" w:rsidR="004D017B" w:rsidRDefault="004D017B" w:rsidP="00350EA2">
      <w:pPr>
        <w:pStyle w:val="Heading2"/>
      </w:pPr>
      <w:r>
        <w:t>Screen 9</w:t>
      </w:r>
    </w:p>
    <w:p w14:paraId="7424AC41" w14:textId="77777777" w:rsidR="000A35BA" w:rsidRPr="0081595C" w:rsidRDefault="000A35BA" w:rsidP="000A35BA">
      <w:r>
        <w:t>[Video description: David Hazlehurst, looking directly to camera, transitions to a phone over a QR code.]</w:t>
      </w:r>
    </w:p>
    <w:p w14:paraId="257AAFCB" w14:textId="11C1AF4B" w:rsidR="000A35BA" w:rsidRPr="0046291D" w:rsidRDefault="000A35BA" w:rsidP="000A35BA">
      <w:bookmarkStart w:id="0" w:name="_Hlk45293533"/>
      <w:r w:rsidRPr="0046291D">
        <w:t>In</w:t>
      </w:r>
      <w:r>
        <w:t xml:space="preserve"> turn</w:t>
      </w:r>
      <w:r w:rsidRPr="0046291D">
        <w:t xml:space="preserve">, the QR technology serves to reinforce the competitiveness and value </w:t>
      </w:r>
      <w:proofErr w:type="spellStart"/>
      <w:r w:rsidRPr="0046291D">
        <w:t>o</w:t>
      </w:r>
      <w:proofErr w:type="spellEnd"/>
      <w:r w:rsidRPr="0046291D">
        <w:t xml:space="preserve"> our Australian goods overseas.</w:t>
      </w:r>
    </w:p>
    <w:p w14:paraId="1EA029BA" w14:textId="77777777" w:rsidR="004D017B" w:rsidRDefault="004D017B" w:rsidP="00350EA2">
      <w:pPr>
        <w:pStyle w:val="Heading2"/>
      </w:pPr>
      <w:r>
        <w:t>Screen 10</w:t>
      </w:r>
    </w:p>
    <w:p w14:paraId="016D95A6" w14:textId="73DF3242" w:rsidR="004D017B" w:rsidRDefault="004D017B" w:rsidP="004D017B">
      <w:r>
        <w:t xml:space="preserve">[Video description: </w:t>
      </w:r>
      <w:r w:rsidR="000A35BA">
        <w:t>woman looking at computer screen, return to David Hazlehurst. Video then shows request for export paper form</w:t>
      </w:r>
      <w:r>
        <w:t>]</w:t>
      </w:r>
    </w:p>
    <w:bookmarkEnd w:id="0"/>
    <w:p w14:paraId="67B5D6AE" w14:textId="7C45A48D" w:rsidR="000A35BA" w:rsidRPr="0046291D" w:rsidRDefault="000A35BA" w:rsidP="000A35BA">
      <w:r w:rsidRPr="0046291D">
        <w:t>On Monday 31st</w:t>
      </w:r>
      <w:r>
        <w:t xml:space="preserve"> of M</w:t>
      </w:r>
      <w:r w:rsidRPr="0046291D">
        <w:t>ay</w:t>
      </w:r>
      <w:r>
        <w:t>,</w:t>
      </w:r>
      <w:r w:rsidRPr="0046291D">
        <w:t xml:space="preserve"> the </w:t>
      </w:r>
      <w:r>
        <w:t xml:space="preserve">NEXDOC </w:t>
      </w:r>
      <w:r w:rsidRPr="0046291D">
        <w:t>portal went live for dairy exporters, providing them with the ability to lodge requests for exports, or REXs, which were previously known as request for permits, or RFPs, directly with the department.</w:t>
      </w:r>
    </w:p>
    <w:p w14:paraId="146173C6" w14:textId="2D073DB0" w:rsidR="00BC2413" w:rsidRDefault="00BC2413" w:rsidP="00BC2413">
      <w:pPr>
        <w:pStyle w:val="Heading2"/>
      </w:pPr>
      <w:r>
        <w:t>Screen 11</w:t>
      </w:r>
    </w:p>
    <w:p w14:paraId="77212A46" w14:textId="79A3285A" w:rsidR="00BC2413" w:rsidRDefault="00BC2413" w:rsidP="00BC2413">
      <w:r>
        <w:t xml:space="preserve"> [Video description: David Hazlehurst looking at camera]</w:t>
      </w:r>
    </w:p>
    <w:p w14:paraId="45F9B397" w14:textId="77777777" w:rsidR="000A35BA" w:rsidRPr="0046291D" w:rsidRDefault="000A35BA" w:rsidP="000A35BA">
      <w:r w:rsidRPr="0046291D">
        <w:t xml:space="preserve">I’m excited about this new technology. </w:t>
      </w:r>
    </w:p>
    <w:p w14:paraId="176B94A7" w14:textId="77777777" w:rsidR="000A35BA" w:rsidRPr="0046291D" w:rsidRDefault="000A35BA" w:rsidP="000A35BA">
      <w:r w:rsidRPr="0046291D">
        <w:lastRenderedPageBreak/>
        <w:t>A better export documentation system means a better experience for our farmers and exporters, a faster and lower cost pathway to markets.</w:t>
      </w:r>
    </w:p>
    <w:p w14:paraId="2E8AC8DB" w14:textId="77777777" w:rsidR="00BC2413" w:rsidRDefault="00BC2413" w:rsidP="00BC2413">
      <w:pPr>
        <w:pStyle w:val="Heading2"/>
      </w:pPr>
      <w:r>
        <w:t>Screen 11</w:t>
      </w:r>
    </w:p>
    <w:p w14:paraId="1D483893" w14:textId="24DD31B0" w:rsidR="00BC2413" w:rsidRDefault="00BC2413" w:rsidP="00BC2413">
      <w:r>
        <w:t>[Video description: short video footage of</w:t>
      </w:r>
      <w:r w:rsidR="00E22E19">
        <w:t xml:space="preserve"> grain container ship</w:t>
      </w:r>
      <w:bookmarkStart w:id="1" w:name="_GoBack"/>
      <w:bookmarkEnd w:id="1"/>
      <w:r>
        <w:t>, then return to David Hazlehurst.]</w:t>
      </w:r>
    </w:p>
    <w:p w14:paraId="15329A9F" w14:textId="77777777" w:rsidR="000A35BA" w:rsidRPr="0046291D" w:rsidRDefault="000A35BA" w:rsidP="000A35BA">
      <w:r w:rsidRPr="0046291D">
        <w:t xml:space="preserve">Stay tuned, there’s lots more to come. </w:t>
      </w:r>
    </w:p>
    <w:p w14:paraId="049A14BF" w14:textId="2A5083AC" w:rsidR="004D017B" w:rsidRDefault="0081595C" w:rsidP="00350EA2">
      <w:pPr>
        <w:pStyle w:val="Heading2"/>
      </w:pPr>
      <w:r>
        <w:t>Screen 1</w:t>
      </w:r>
      <w:r w:rsidR="00BC2413">
        <w:t>2</w:t>
      </w:r>
    </w:p>
    <w:p w14:paraId="677BD28A" w14:textId="77777777" w:rsidR="004D017B" w:rsidRDefault="0081595C" w:rsidP="0081595C">
      <w:r>
        <w:t>Logo for the Department of Agriculture, Water and the Environment.</w:t>
      </w:r>
    </w:p>
    <w:p w14:paraId="1448DA38" w14:textId="77777777" w:rsidR="004D017B" w:rsidRDefault="004D017B" w:rsidP="004D017B">
      <w:r>
        <w:t>[End of video.]</w:t>
      </w:r>
    </w:p>
    <w:p w14:paraId="49E840E7" w14:textId="77777777" w:rsidR="004D017B" w:rsidRDefault="004D017B" w:rsidP="004D017B">
      <w:r>
        <w:t>[End of transcript.]</w:t>
      </w:r>
    </w:p>
    <w:sectPr w:rsidR="004D017B">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784C1" w14:textId="77777777" w:rsidR="000077ED" w:rsidRDefault="000077ED">
      <w:r>
        <w:separator/>
      </w:r>
    </w:p>
    <w:p w14:paraId="766CA1AC" w14:textId="77777777" w:rsidR="000077ED" w:rsidRDefault="000077ED"/>
  </w:endnote>
  <w:endnote w:type="continuationSeparator" w:id="0">
    <w:p w14:paraId="0669AD08" w14:textId="77777777" w:rsidR="000077ED" w:rsidRDefault="000077ED">
      <w:r>
        <w:continuationSeparator/>
      </w:r>
    </w:p>
    <w:p w14:paraId="1F1FBB6A" w14:textId="77777777" w:rsidR="000077ED" w:rsidRDefault="000077ED"/>
  </w:endnote>
  <w:endnote w:type="continuationNotice" w:id="1">
    <w:p w14:paraId="15973E9E" w14:textId="77777777" w:rsidR="000077ED" w:rsidRDefault="000077ED">
      <w:pPr>
        <w:pStyle w:val="Footer"/>
      </w:pPr>
    </w:p>
    <w:p w14:paraId="6649EDC4" w14:textId="77777777" w:rsidR="000077ED" w:rsidRDefault="00007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E996E" w14:textId="77777777" w:rsidR="000077ED" w:rsidRDefault="000077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3D5C6" w14:textId="77777777" w:rsidR="000077ED" w:rsidRDefault="000077ED" w:rsidP="00350EA2">
    <w:pPr>
      <w:pStyle w:val="Footer"/>
    </w:pPr>
    <w:r>
      <w:t>Department of Agriculture, Water and the Environment</w:t>
    </w:r>
  </w:p>
  <w:p w14:paraId="562CF36E" w14:textId="77777777" w:rsidR="000077ED" w:rsidRDefault="000077ED">
    <w:pPr>
      <w:pStyle w:val="Footer"/>
    </w:pPr>
    <w:r>
      <w:fldChar w:fldCharType="begin"/>
    </w:r>
    <w:r>
      <w:instrText xml:space="preserve"> PAGE   \* MERGEFORMAT </w:instrText>
    </w:r>
    <w:r>
      <w:fldChar w:fldCharType="separate"/>
    </w:r>
    <w:r w:rsidR="00E22E19">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425F8" w14:textId="77777777" w:rsidR="000077ED" w:rsidRDefault="000077ED">
    <w:pPr>
      <w:pStyle w:val="Footer"/>
    </w:pPr>
    <w:r>
      <w:t>Department of Agriculture, Water and the Environment</w:t>
    </w:r>
  </w:p>
  <w:p w14:paraId="48D15071" w14:textId="77777777" w:rsidR="000077ED" w:rsidRDefault="000077ED">
    <w:pPr>
      <w:pStyle w:val="Footer"/>
    </w:pPr>
    <w:r>
      <w:fldChar w:fldCharType="begin"/>
    </w:r>
    <w:r>
      <w:instrText xml:space="preserve"> PAGE   \* MERGEFORMAT </w:instrText>
    </w:r>
    <w:r>
      <w:fldChar w:fldCharType="separate"/>
    </w:r>
    <w:r w:rsidR="00E22E1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D2FC8" w14:textId="77777777" w:rsidR="000077ED" w:rsidRDefault="000077ED">
      <w:r>
        <w:separator/>
      </w:r>
    </w:p>
    <w:p w14:paraId="5EEEE5C2" w14:textId="77777777" w:rsidR="000077ED" w:rsidRDefault="000077ED"/>
  </w:footnote>
  <w:footnote w:type="continuationSeparator" w:id="0">
    <w:p w14:paraId="758E6323" w14:textId="77777777" w:rsidR="000077ED" w:rsidRDefault="000077ED">
      <w:r>
        <w:continuationSeparator/>
      </w:r>
    </w:p>
    <w:p w14:paraId="727E3CBC" w14:textId="77777777" w:rsidR="000077ED" w:rsidRDefault="000077ED"/>
  </w:footnote>
  <w:footnote w:type="continuationNotice" w:id="1">
    <w:p w14:paraId="6D1DC540" w14:textId="77777777" w:rsidR="000077ED" w:rsidRDefault="000077ED">
      <w:pPr>
        <w:pStyle w:val="Footer"/>
      </w:pPr>
    </w:p>
    <w:p w14:paraId="2A25175F" w14:textId="77777777" w:rsidR="000077ED" w:rsidRDefault="000077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6A3F6" w14:textId="77777777" w:rsidR="000077ED" w:rsidRDefault="000077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8865B" w14:textId="62CBFC09" w:rsidR="000077ED" w:rsidRPr="00350EA2" w:rsidRDefault="000077ED" w:rsidP="00350EA2">
    <w:pPr>
      <w:pStyle w:val="Header"/>
    </w:pPr>
    <w:r>
      <w:t xml:space="preserve">NEXDOC </w:t>
    </w:r>
    <w:r w:rsidR="00836886">
      <w:t xml:space="preserve">Benefits </w:t>
    </w:r>
    <w:r>
      <w:t>– accessible transcript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C1612" w14:textId="77777777" w:rsidR="000077ED" w:rsidRDefault="000077ED">
    <w:pPr>
      <w:pStyle w:val="Header"/>
      <w:jc w:val="left"/>
    </w:pPr>
    <w:r>
      <w:rPr>
        <w:noProof/>
        <w:lang w:eastAsia="en-AU"/>
      </w:rPr>
      <w:drawing>
        <wp:inline distT="0" distB="0" distL="0" distR="0" wp14:anchorId="346FA986" wp14:editId="72BD2E52">
          <wp:extent cx="2316480" cy="695236"/>
          <wp:effectExtent l="0" t="0" r="7620" b="0"/>
          <wp:docPr id="25" name="Picture 25" descr="Crest of the Australian Government 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6952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E68D4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4" w15:restartNumberingAfterBreak="0">
    <w:nsid w:val="415E7AE5"/>
    <w:multiLevelType w:val="multilevel"/>
    <w:tmpl w:val="DEAAC1F6"/>
    <w:numStyleLink w:val="numberedlist"/>
  </w:abstractNum>
  <w:abstractNum w:abstractNumId="5"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695E02"/>
    <w:multiLevelType w:val="hybridMultilevel"/>
    <w:tmpl w:val="64C2EFEA"/>
    <w:lvl w:ilvl="0" w:tplc="866EA1F6">
      <w:start w:val="1"/>
      <w:numFmt w:val="bullet"/>
      <w:lvlText w:val="•"/>
      <w:lvlJc w:val="left"/>
      <w:pPr>
        <w:tabs>
          <w:tab w:val="num" w:pos="720"/>
        </w:tabs>
        <w:ind w:left="720" w:hanging="360"/>
      </w:pPr>
      <w:rPr>
        <w:rFonts w:ascii="Arial" w:hAnsi="Arial" w:hint="default"/>
      </w:rPr>
    </w:lvl>
    <w:lvl w:ilvl="1" w:tplc="ECF4E38A" w:tentative="1">
      <w:start w:val="1"/>
      <w:numFmt w:val="bullet"/>
      <w:lvlText w:val="•"/>
      <w:lvlJc w:val="left"/>
      <w:pPr>
        <w:tabs>
          <w:tab w:val="num" w:pos="1440"/>
        </w:tabs>
        <w:ind w:left="1440" w:hanging="360"/>
      </w:pPr>
      <w:rPr>
        <w:rFonts w:ascii="Arial" w:hAnsi="Arial" w:hint="default"/>
      </w:rPr>
    </w:lvl>
    <w:lvl w:ilvl="2" w:tplc="B96ACD24" w:tentative="1">
      <w:start w:val="1"/>
      <w:numFmt w:val="bullet"/>
      <w:lvlText w:val="•"/>
      <w:lvlJc w:val="left"/>
      <w:pPr>
        <w:tabs>
          <w:tab w:val="num" w:pos="2160"/>
        </w:tabs>
        <w:ind w:left="2160" w:hanging="360"/>
      </w:pPr>
      <w:rPr>
        <w:rFonts w:ascii="Arial" w:hAnsi="Arial" w:hint="default"/>
      </w:rPr>
    </w:lvl>
    <w:lvl w:ilvl="3" w:tplc="908247CA" w:tentative="1">
      <w:start w:val="1"/>
      <w:numFmt w:val="bullet"/>
      <w:lvlText w:val="•"/>
      <w:lvlJc w:val="left"/>
      <w:pPr>
        <w:tabs>
          <w:tab w:val="num" w:pos="2880"/>
        </w:tabs>
        <w:ind w:left="2880" w:hanging="360"/>
      </w:pPr>
      <w:rPr>
        <w:rFonts w:ascii="Arial" w:hAnsi="Arial" w:hint="default"/>
      </w:rPr>
    </w:lvl>
    <w:lvl w:ilvl="4" w:tplc="6630CD98" w:tentative="1">
      <w:start w:val="1"/>
      <w:numFmt w:val="bullet"/>
      <w:lvlText w:val="•"/>
      <w:lvlJc w:val="left"/>
      <w:pPr>
        <w:tabs>
          <w:tab w:val="num" w:pos="3600"/>
        </w:tabs>
        <w:ind w:left="3600" w:hanging="360"/>
      </w:pPr>
      <w:rPr>
        <w:rFonts w:ascii="Arial" w:hAnsi="Arial" w:hint="default"/>
      </w:rPr>
    </w:lvl>
    <w:lvl w:ilvl="5" w:tplc="CFEAF900" w:tentative="1">
      <w:start w:val="1"/>
      <w:numFmt w:val="bullet"/>
      <w:lvlText w:val="•"/>
      <w:lvlJc w:val="left"/>
      <w:pPr>
        <w:tabs>
          <w:tab w:val="num" w:pos="4320"/>
        </w:tabs>
        <w:ind w:left="4320" w:hanging="360"/>
      </w:pPr>
      <w:rPr>
        <w:rFonts w:ascii="Arial" w:hAnsi="Arial" w:hint="default"/>
      </w:rPr>
    </w:lvl>
    <w:lvl w:ilvl="6" w:tplc="17F6BEDE" w:tentative="1">
      <w:start w:val="1"/>
      <w:numFmt w:val="bullet"/>
      <w:lvlText w:val="•"/>
      <w:lvlJc w:val="left"/>
      <w:pPr>
        <w:tabs>
          <w:tab w:val="num" w:pos="5040"/>
        </w:tabs>
        <w:ind w:left="5040" w:hanging="360"/>
      </w:pPr>
      <w:rPr>
        <w:rFonts w:ascii="Arial" w:hAnsi="Arial" w:hint="default"/>
      </w:rPr>
    </w:lvl>
    <w:lvl w:ilvl="7" w:tplc="C6A4F6CC" w:tentative="1">
      <w:start w:val="1"/>
      <w:numFmt w:val="bullet"/>
      <w:lvlText w:val="•"/>
      <w:lvlJc w:val="left"/>
      <w:pPr>
        <w:tabs>
          <w:tab w:val="num" w:pos="5760"/>
        </w:tabs>
        <w:ind w:left="5760" w:hanging="360"/>
      </w:pPr>
      <w:rPr>
        <w:rFonts w:ascii="Arial" w:hAnsi="Arial" w:hint="default"/>
      </w:rPr>
    </w:lvl>
    <w:lvl w:ilvl="8" w:tplc="77D2464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CB"/>
    <w:rsid w:val="000077ED"/>
    <w:rsid w:val="000A35BA"/>
    <w:rsid w:val="001902C7"/>
    <w:rsid w:val="00250D42"/>
    <w:rsid w:val="002875CD"/>
    <w:rsid w:val="00293D19"/>
    <w:rsid w:val="00302CCB"/>
    <w:rsid w:val="00344815"/>
    <w:rsid w:val="00350EA2"/>
    <w:rsid w:val="003D3A54"/>
    <w:rsid w:val="003E34CF"/>
    <w:rsid w:val="00476F5A"/>
    <w:rsid w:val="004D017B"/>
    <w:rsid w:val="005010A3"/>
    <w:rsid w:val="005673D7"/>
    <w:rsid w:val="00594679"/>
    <w:rsid w:val="00714CA9"/>
    <w:rsid w:val="00762FED"/>
    <w:rsid w:val="0081595C"/>
    <w:rsid w:val="00836886"/>
    <w:rsid w:val="00976068"/>
    <w:rsid w:val="00BC2413"/>
    <w:rsid w:val="00E22E19"/>
    <w:rsid w:val="00F21479"/>
    <w:rsid w:val="00F56F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FB185E"/>
  <w15:chartTrackingRefBased/>
  <w15:docId w15:val="{8DDBC934-0515-45F0-A295-66D36CB0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rsid w:val="001902C7"/>
    <w:pPr>
      <w:keepNext/>
      <w:keepLines/>
      <w:spacing w:before="0" w:after="120" w:line="240" w:lineRule="auto"/>
      <w:outlineLvl w:val="1"/>
    </w:pPr>
    <w:rPr>
      <w:rFonts w:ascii="Calibri" w:hAnsi="Calibri"/>
      <w:b/>
      <w:bCs/>
      <w:sz w:val="32"/>
      <w:szCs w:val="26"/>
    </w:rPr>
  </w:style>
  <w:style w:type="paragraph" w:styleId="Heading3">
    <w:name w:val="heading 3"/>
    <w:next w:val="Normal"/>
    <w:link w:val="Heading3Char"/>
    <w:uiPriority w:val="4"/>
    <w:qFormat/>
    <w:rsid w:val="001902C7"/>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1902C7"/>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sid w:val="001902C7"/>
    <w:rPr>
      <w:rFonts w:ascii="Calibri" w:eastAsia="Times New Roman" w:hAnsi="Calibri"/>
      <w:b/>
      <w:bCs/>
      <w:sz w:val="32"/>
      <w:szCs w:val="26"/>
      <w:lang w:eastAsia="en-US"/>
    </w:rPr>
  </w:style>
  <w:style w:type="character" w:customStyle="1" w:styleId="Heading3Char">
    <w:name w:val="Heading 3 Char"/>
    <w:basedOn w:val="DefaultParagraphFont"/>
    <w:link w:val="Heading3"/>
    <w:uiPriority w:val="4"/>
    <w:rsid w:val="001902C7"/>
    <w:rPr>
      <w:rFonts w:ascii="Calibri" w:eastAsia="Times New Roman" w:hAnsi="Calibri"/>
      <w:b/>
      <w:bCs/>
      <w:sz w:val="28"/>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eastAsia="Times New Roman"/>
      <w:sz w:val="20"/>
      <w:szCs w:val="20"/>
    </w:rPr>
  </w:style>
  <w:style w:type="paragraph" w:styleId="Header">
    <w:name w:val="header"/>
    <w:basedOn w:val="Normal"/>
    <w:link w:val="HeaderChar"/>
    <w:pPr>
      <w:tabs>
        <w:tab w:val="center" w:pos="4820"/>
      </w:tabs>
      <w:spacing w:line="240" w:lineRule="auto"/>
      <w:jc w:val="center"/>
    </w:pPr>
    <w:rPr>
      <w:rFonts w:ascii="Calibri" w:hAnsi="Calibri"/>
      <w:sz w:val="20"/>
    </w:rPr>
  </w:style>
  <w:style w:type="character" w:customStyle="1" w:styleId="HeaderChar">
    <w:name w:val="Header Char"/>
    <w:link w:val="Header"/>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
      </w:numPr>
      <w:spacing w:after="120"/>
      <w:contextualSpacing/>
    </w:pPr>
  </w:style>
  <w:style w:type="paragraph" w:styleId="ListNumber">
    <w:name w:val="List Number"/>
    <w:basedOn w:val="Normal"/>
    <w:uiPriority w:val="9"/>
    <w:qFormat/>
    <w:pPr>
      <w:numPr>
        <w:numId w:val="6"/>
      </w:numPr>
      <w:spacing w:after="120"/>
    </w:pPr>
  </w:style>
  <w:style w:type="paragraph" w:styleId="ListNumber2">
    <w:name w:val="List Number 2"/>
    <w:uiPriority w:val="10"/>
    <w:qFormat/>
    <w:pPr>
      <w:numPr>
        <w:ilvl w:val="1"/>
        <w:numId w:val="6"/>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6"/>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2"/>
      </w:numPr>
      <w:ind w:left="357" w:hanging="357"/>
    </w:pPr>
  </w:style>
  <w:style w:type="paragraph" w:customStyle="1" w:styleId="TableBullet">
    <w:name w:val="Table Bullet"/>
    <w:basedOn w:val="TableText"/>
    <w:uiPriority w:val="15"/>
    <w:qFormat/>
    <w:pPr>
      <w:numPr>
        <w:numId w:val="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
      </w:numPr>
    </w:pPr>
  </w:style>
  <w:style w:type="numbering" w:customStyle="1" w:styleId="numberedlist">
    <w:name w:val="numbered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N/A</Value>
    </Display_x0020_a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6" ma:contentTypeDescription="Create a new document." ma:contentTypeScope="" ma:versionID="60355b7126a9170b5e9676ba72e33d92">
  <xsd:schema xmlns:xsd="http://www.w3.org/2001/XMLSchema" xmlns:p="http://schemas.microsoft.com/office/2006/metadata/properties" xmlns:ns1="http://schemas.microsoft.com/sharepoint/v3" xmlns:ns2="7cf0e0db-f490-4122-abae-21917392c748" targetNamespace="http://schemas.microsoft.com/office/2006/metadata/properties" ma:root="true" ma:fieldsID="68082db6904802fd7468d6235fc6eb04"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Display_x0020_as" minOccurs="0"/>
                <xsd:element ref="ns2: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7cf0e0db-f490-4122-abae-21917392c748" elementFormDefault="qualified">
    <xsd:import namespace="http://schemas.microsoft.com/office/2006/documentManagement/types"/>
    <xsd:element name="Display_x0020_as" ma:index="10" nillable="true" ma:displayName="Display as" ma:default="N/A" ma:description="for identifying policies procedures, forms and templates" ma:internalName="Display_x0020_as"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BSGnews"/>
                    <xsd:enumeration value="N/A"/>
                  </xsd:restriction>
                </xsd:simpleType>
              </xsd:element>
            </xsd:sequence>
          </xsd:extension>
        </xsd:complexContent>
      </xsd:complexType>
    </xsd:element>
    <xsd:element name="Topic" ma:index="11" nillable="true" ma:displayName="Topic" ma:format="Dropdown" ma:internalName="Topic">
      <xsd:simpleType>
        <xsd:restriction base="dms:Choice">
          <xsd:enumeration value="ABARES"/>
          <xsd:enumeration value="Agricultural Productivity"/>
          <xsd:enumeration value="All Systems"/>
          <xsd:enumeration value="Awards &amp; Recognition"/>
          <xsd:enumeration value="Biosecurity"/>
          <xsd:enumeration value="Business Support"/>
          <xsd:enumeration value="Central East"/>
          <xsd:enumeration value="Changes to the Department"/>
          <xsd:enumeration value="Chief Executive's Instructions"/>
          <xsd:enumeration value="Climate Change"/>
          <xsd:enumeration value="Committees &amp; Networks"/>
          <xsd:enumeration value="Communication Services Panels"/>
          <xsd:enumeration value="Communication Support"/>
          <xsd:enumeration value="Conduct &amp; Behaviour"/>
          <xsd:enumeration value="Contacts"/>
          <xsd:enumeration value="Delegations"/>
          <xsd:enumeration value="Emergency"/>
          <xsd:enumeration value="Finance - Accounts Payable"/>
          <xsd:enumeration value="Finance - Accounts Receivable"/>
          <xsd:enumeration value="Finance - Budgets"/>
          <xsd:enumeration value="Finance - Cash Receipting"/>
          <xsd:enumeration value="Finance - Certificate of Compliance"/>
          <xsd:enumeration value="Finance - Chart of Accounts"/>
          <xsd:enumeration value="Finance - Collector of Public Monies"/>
          <xsd:enumeration value="Finance - Corporate Credit Cards"/>
          <xsd:enumeration value="Finance - Cost Recovery"/>
          <xsd:enumeration value="Finance - Debt Management"/>
          <xsd:enumeration value="Finance - Fixed Assets"/>
          <xsd:enumeration value="Finance - General Ledger"/>
          <xsd:enumeration value="Finance - Investment Framework"/>
          <xsd:enumeration value="Finance - National Partnership Payments"/>
          <xsd:enumeration value="Finance - Reporting"/>
          <xsd:enumeration value="Finance - Revenue"/>
          <xsd:enumeration value="Finance - Taxation"/>
          <xsd:enumeration value="Financial Accountancy Services Panel"/>
          <xsd:enumeration value="Financial Systems"/>
          <xsd:enumeration value="Forms &amp; Templates"/>
          <xsd:enumeration value="Freedom of Information and Privacy"/>
          <xsd:enumeration value="Grants Management"/>
          <xsd:enumeration value="Health and Safety"/>
          <xsd:enumeration value="Information/Records Management"/>
          <xsd:enumeration value="Instructional Material Library (IML)"/>
          <xsd:enumeration value="Insurance"/>
          <xsd:enumeration value="International Trade &amp; Engagement"/>
          <xsd:enumeration value="IT Services"/>
          <xsd:enumeration value="IT User Support"/>
          <xsd:enumeration value="Learning &amp; Development"/>
          <xsd:enumeration value="Leave"/>
          <xsd:enumeration value="Legal"/>
          <xsd:enumeration value="Legislation &amp; Regulation"/>
          <xsd:enumeration value="Let's Talk"/>
          <xsd:enumeration value="Library"/>
          <xsd:enumeration value="Mail &amp; Freight"/>
          <xsd:enumeration value="Marketing &amp; Advertising"/>
          <xsd:enumeration value="Media &amp; Speeches"/>
          <xsd:enumeration value="Minister"/>
          <xsd:enumeration value="Ministerial &amp; Parliamentary"/>
          <xsd:enumeration value="New Starters"/>
          <xsd:enumeration value="News &amp; Events"/>
          <xsd:enumeration value="North East"/>
          <xsd:enumeration value="Northern"/>
          <xsd:enumeration value="Office Supplies"/>
          <xsd:enumeration value="Online Publishing"/>
          <xsd:enumeration value="Our Portfolio"/>
          <xsd:enumeration value="Parliamentary Secretary"/>
          <xsd:enumeration value="People Strategies"/>
          <xsd:enumeration value="Performance Management"/>
          <xsd:enumeration value="Planning and Reporting"/>
          <xsd:enumeration value="Print Publishing"/>
          <xsd:enumeration value="Procurement &amp; Contracts"/>
          <xsd:enumeration value="Program &amp; Project Management"/>
          <xsd:enumeration value="Property &amp; Facilities"/>
          <xsd:enumeration value="Recruitment"/>
          <xsd:enumeration value="Regions"/>
          <xsd:enumeration value="Risk Management and Business Continuity"/>
          <xsd:enumeration value="Salary"/>
          <xsd:enumeration value="Secretary &amp; Executive"/>
          <xsd:enumeration value="Security"/>
          <xsd:enumeration value="Social"/>
          <xsd:enumeration value="Social Media"/>
          <xsd:enumeration value="South East"/>
          <xsd:enumeration value="South West"/>
          <xsd:enumeration value="Sponsorship"/>
          <xsd:enumeration value="Staff Surveys"/>
          <xsd:enumeration value="Stakeholders"/>
          <xsd:enumeration value="Strategic Statement"/>
          <xsd:enumeration value="Structure"/>
          <xsd:enumeration value="Style Guides &amp; Writing"/>
          <xsd:enumeration value="Sustainable Resource Management"/>
          <xsd:enumeration value="Trade and Market Access"/>
          <xsd:enumeration value="Travel"/>
          <xsd:enumeration value="Vehicles"/>
          <xsd:enumeration value="Voice &amp; Data"/>
          <xsd:enumeration value="Working Arrangements"/>
          <xsd:enumeration value="Worklife Balance"/>
          <xsd:enumeration value="Workplace Divers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6A40CC82-98E1-4232-AB7A-E719FCA7C1C0}">
  <ds:schemaRefs>
    <ds:schemaRef ds:uri="http://schemas.microsoft.com/office/2006/metadata/properties"/>
    <ds:schemaRef ds:uri="http://schemas.microsoft.com/sharepoint/v3"/>
    <ds:schemaRef ds:uri="http://purl.org/dc/terms/"/>
    <ds:schemaRef ds:uri="http://schemas.microsoft.com/office/2006/documentManagement/types"/>
    <ds:schemaRef ds:uri="7cf0e0db-f490-4122-abae-21917392c748"/>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7E43FEC9-5AE0-4343-AAA4-93C0C0F8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147C9E-206D-4AFD-AD79-E3C40290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561</Words>
  <Characters>3096</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Video transcript - Introducing NEXDOC</vt:lpstr>
    </vt:vector>
  </TitlesOfParts>
  <Company>Department of Agriculture Fisheries &amp; Forestry</Company>
  <LinksUpToDate>false</LinksUpToDate>
  <CharactersWithSpaces>3642</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 Introducing NEXDOC</dc:title>
  <dc:subject/>
  <dc:creator>Department of Agriculture, Water and the Environment</dc:creator>
  <cp:keywords/>
  <cp:lastModifiedBy>Larvin, Joanna</cp:lastModifiedBy>
  <cp:revision>7</cp:revision>
  <cp:lastPrinted>2018-11-26T22:31:00Z</cp:lastPrinted>
  <dcterms:created xsi:type="dcterms:W3CDTF">2021-06-22T01:52:00Z</dcterms:created>
  <dcterms:modified xsi:type="dcterms:W3CDTF">2021-06-23T23:34:00Z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