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253203576"/>
        <w:docPartObj>
          <w:docPartGallery w:val="Cover Pages"/>
          <w:docPartUnique/>
        </w:docPartObj>
      </w:sdtPr>
      <w:sdtEndPr>
        <w:rPr>
          <w:b/>
          <w:bCs/>
          <w:color w:val="2F5496" w:themeColor="accent1" w:themeShade="BF"/>
          <w:sz w:val="32"/>
          <w:szCs w:val="32"/>
        </w:rPr>
      </w:sdtEndPr>
      <w:sdtContent>
        <w:p w14:paraId="6C25040F" w14:textId="72B8A991" w:rsidR="004B0373" w:rsidRPr="004C7AC7" w:rsidRDefault="0000358E">
          <w:pPr>
            <w:rPr>
              <w:b/>
              <w:bCs/>
              <w:color w:val="FFFFFF" w:themeColor="background1"/>
              <w:sz w:val="44"/>
              <w:szCs w:val="44"/>
            </w:rPr>
          </w:pPr>
          <w:r w:rsidRPr="004C7AC7">
            <w:rPr>
              <w:b/>
              <w:bCs/>
              <w:noProof/>
              <w:color w:val="FFFFFF" w:themeColor="background1"/>
              <w:sz w:val="44"/>
              <w:szCs w:val="44"/>
            </w:rPr>
            <mc:AlternateContent>
              <mc:Choice Requires="wps">
                <w:drawing>
                  <wp:anchor distT="0" distB="0" distL="114300" distR="114300" simplePos="0" relativeHeight="251659264" behindDoc="1" locked="0" layoutInCell="1" allowOverlap="1" wp14:anchorId="078EB70E" wp14:editId="783F2344">
                    <wp:simplePos x="0" y="0"/>
                    <wp:positionH relativeFrom="page">
                      <wp:posOffset>19050</wp:posOffset>
                    </wp:positionH>
                    <wp:positionV relativeFrom="paragraph">
                      <wp:posOffset>-904875</wp:posOffset>
                    </wp:positionV>
                    <wp:extent cx="7543800" cy="5457190"/>
                    <wp:effectExtent l="0" t="0" r="0" b="0"/>
                    <wp:wrapNone/>
                    <wp:docPr id="195" name="Rectangle 195"/>
                    <wp:cNvGraphicFramePr/>
                    <a:graphic xmlns:a="http://schemas.openxmlformats.org/drawingml/2006/main">
                      <a:graphicData uri="http://schemas.microsoft.com/office/word/2010/wordprocessingShape">
                        <wps:wsp>
                          <wps:cNvSpPr/>
                          <wps:spPr>
                            <a:xfrm>
                              <a:off x="0" y="0"/>
                              <a:ext cx="7543800" cy="545719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Content>
                                  <w:p w14:paraId="1FFC4BFC" w14:textId="25C1D3F2" w:rsidR="00120ECE" w:rsidRDefault="00120ECE">
                                    <w:pPr>
                                      <w:pStyle w:val="NoSpacing"/>
                                      <w:spacing w:before="120"/>
                                      <w:jc w:val="center"/>
                                      <w:rPr>
                                        <w:color w:val="FFFFFF" w:themeColor="background1"/>
                                      </w:rPr>
                                    </w:pPr>
                                    <w:r>
                                      <w:rPr>
                                        <w:color w:val="FFFFFF" w:themeColor="background1"/>
                                      </w:rPr>
                                      <w:t>Mark Barthel</w:t>
                                    </w:r>
                                  </w:p>
                                </w:sdtContent>
                              </w:sdt>
                              <w:p w14:paraId="2CFBD738" w14:textId="77777777" w:rsidR="00120ECE" w:rsidRDefault="00120ECE">
                                <w:pPr>
                                  <w:pStyle w:val="NoSpacing"/>
                                  <w:spacing w:before="120"/>
                                  <w:jc w:val="center"/>
                                  <w:rPr>
                                    <w:color w:val="FFFFFF" w:themeColor="background1"/>
                                  </w:rPr>
                                </w:pPr>
                                <w:sdt>
                                  <w:sdtPr>
                                    <w:rPr>
                                      <w:caps/>
                                      <w:color w:val="FFFFFF" w:themeColor="background1"/>
                                    </w:rPr>
                                    <w:alias w:val="Company"/>
                                    <w:tag w:val=""/>
                                    <w:id w:val="1618182777"/>
                                    <w:showingPlcHdr/>
                                    <w:dataBinding w:prefixMappings="xmlns:ns0='http://schemas.openxmlformats.org/officeDocument/2006/extended-properties' " w:xpath="/ns0:Properties[1]/ns0:Company[1]" w:storeItemID="{6668398D-A668-4E3E-A5EB-62B293D839F1}"/>
                                    <w:text/>
                                  </w:sdtPr>
                                  <w:sdtContent>
                                    <w:r>
                                      <w:rPr>
                                        <w:caps/>
                                        <w:color w:val="FFFFFF" w:themeColor="background1"/>
                                      </w:rPr>
                                      <w:t>[Company name]</w:t>
                                    </w:r>
                                  </w:sdtContent>
                                </w:sdt>
                                <w:r>
                                  <w:rPr>
                                    <w:color w:val="FFFFFF" w:themeColor="background1"/>
                                  </w:rPr>
                                  <w:t>  </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Content>
                                    <w:r>
                                      <w:rPr>
                                        <w:color w:val="FFFFFF" w:themeColor="background1"/>
                                      </w:rPr>
                                      <w:t>[Company address]</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8EB70E" id="Rectangle 195" o:spid="_x0000_s1026" style="position:absolute;margin-left:1.5pt;margin-top:-71.25pt;width:594pt;height:429.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" fillcolor="#4472c4 [3204]" stroked="f" strokeweight="1pt">
                    <v:textbox inset="36pt,57.6pt,36pt,36pt">
                      <w:txbxContent>
                        <w:sdt>
                          <w:sdtPr>
                            <w:rPr>
                              <w:color w:val="FFFFFF" w:themeColor="background1"/>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Content>
                            <w:p w14:paraId="1FFC4BFC" w14:textId="25C1D3F2" w:rsidR="00120ECE" w:rsidRDefault="00120ECE">
                              <w:pPr>
                                <w:pStyle w:val="NoSpacing"/>
                                <w:spacing w:before="120"/>
                                <w:jc w:val="center"/>
                                <w:rPr>
                                  <w:color w:val="FFFFFF" w:themeColor="background1"/>
                                </w:rPr>
                              </w:pPr>
                              <w:r>
                                <w:rPr>
                                  <w:color w:val="FFFFFF" w:themeColor="background1"/>
                                </w:rPr>
                                <w:t>Mark Barthel</w:t>
                              </w:r>
                            </w:p>
                          </w:sdtContent>
                        </w:sdt>
                        <w:p w14:paraId="2CFBD738" w14:textId="77777777" w:rsidR="00120ECE" w:rsidRDefault="00120ECE">
                          <w:pPr>
                            <w:pStyle w:val="NoSpacing"/>
                            <w:spacing w:before="120"/>
                            <w:jc w:val="center"/>
                            <w:rPr>
                              <w:color w:val="FFFFFF" w:themeColor="background1"/>
                            </w:rPr>
                          </w:pPr>
                          <w:sdt>
                            <w:sdtPr>
                              <w:rPr>
                                <w:caps/>
                                <w:color w:val="FFFFFF" w:themeColor="background1"/>
                              </w:rPr>
                              <w:alias w:val="Company"/>
                              <w:tag w:val=""/>
                              <w:id w:val="1618182777"/>
                              <w:showingPlcHdr/>
                              <w:dataBinding w:prefixMappings="xmlns:ns0='http://schemas.openxmlformats.org/officeDocument/2006/extended-properties' " w:xpath="/ns0:Properties[1]/ns0:Company[1]" w:storeItemID="{6668398D-A668-4E3E-A5EB-62B293D839F1}"/>
                              <w:text/>
                            </w:sdtPr>
                            <w:sdtContent>
                              <w:r>
                                <w:rPr>
                                  <w:caps/>
                                  <w:color w:val="FFFFFF" w:themeColor="background1"/>
                                </w:rPr>
                                <w:t>[Company name]</w:t>
                              </w:r>
                            </w:sdtContent>
                          </w:sdt>
                          <w:r>
                            <w:rPr>
                              <w:color w:val="FFFFFF" w:themeColor="background1"/>
                            </w:rPr>
                            <w:t>  </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Content>
                              <w:r>
                                <w:rPr>
                                  <w:color w:val="FFFFFF" w:themeColor="background1"/>
                                </w:rPr>
                                <w:t>[Company address]</w:t>
                              </w:r>
                            </w:sdtContent>
                          </w:sdt>
                        </w:p>
                      </w:txbxContent>
                    </v:textbox>
                    <w10:wrap anchorx="page"/>
                  </v:rect>
                </w:pict>
              </mc:Fallback>
            </mc:AlternateContent>
          </w:r>
          <w:r w:rsidRPr="004C7AC7">
            <w:rPr>
              <w:b/>
              <w:bCs/>
              <w:color w:val="FFFFFF" w:themeColor="background1"/>
              <w:sz w:val="44"/>
              <w:szCs w:val="44"/>
            </w:rPr>
            <w:t>Establishing a Voluntary Commitment Program:</w:t>
          </w:r>
        </w:p>
        <w:p w14:paraId="314E0FEB" w14:textId="3A866CA7" w:rsidR="0000358E" w:rsidRDefault="0000358E">
          <w:pPr>
            <w:rPr>
              <w:b/>
              <w:bCs/>
              <w:color w:val="FFFFFF" w:themeColor="background1"/>
              <w:sz w:val="44"/>
              <w:szCs w:val="44"/>
            </w:rPr>
          </w:pPr>
          <w:r w:rsidRPr="0000358E">
            <w:rPr>
              <w:b/>
              <w:bCs/>
              <w:color w:val="FFFFFF" w:themeColor="background1"/>
              <w:sz w:val="44"/>
              <w:szCs w:val="44"/>
            </w:rPr>
            <w:t>Working collaboratively to halve food waste in Australia</w:t>
          </w:r>
        </w:p>
        <w:p w14:paraId="520325DF" w14:textId="262EEBAA" w:rsidR="004C7AC7" w:rsidRPr="0000358E" w:rsidRDefault="004C7AC7">
          <w:pPr>
            <w:rPr>
              <w:b/>
              <w:bCs/>
              <w:color w:val="FFFFFF" w:themeColor="background1"/>
              <w:sz w:val="44"/>
              <w:szCs w:val="44"/>
            </w:rPr>
          </w:pPr>
          <w:r>
            <w:rPr>
              <w:b/>
              <w:bCs/>
              <w:color w:val="FFFFFF" w:themeColor="background1"/>
              <w:sz w:val="44"/>
              <w:szCs w:val="44"/>
            </w:rPr>
            <w:t>An introduction for policymakers</w:t>
          </w:r>
        </w:p>
        <w:p w14:paraId="6C16B905" w14:textId="02DF7B64" w:rsidR="004B0373" w:rsidRDefault="0000358E">
          <w:pPr>
            <w:rPr>
              <w:b/>
              <w:bCs/>
              <w:color w:val="2F5496" w:themeColor="accent1" w:themeShade="BF"/>
              <w:sz w:val="32"/>
              <w:szCs w:val="32"/>
            </w:rPr>
          </w:pPr>
          <w:bookmarkStart w:id="0" w:name="_Toc27144377"/>
          <w:bookmarkStart w:id="1" w:name="_Toc27144397"/>
          <w:r w:rsidRPr="00FB3589">
            <w:rPr>
              <w:rFonts w:cs="Arial"/>
              <w:noProof/>
              <w:sz w:val="44"/>
              <w:szCs w:val="44"/>
            </w:rPr>
            <w:drawing>
              <wp:anchor distT="0" distB="0" distL="114300" distR="114300" simplePos="0" relativeHeight="251663360" behindDoc="0" locked="0" layoutInCell="1" allowOverlap="1" wp14:anchorId="5CD72F1E" wp14:editId="5A8917DB">
                <wp:simplePos x="0" y="0"/>
                <wp:positionH relativeFrom="column">
                  <wp:posOffset>3343275</wp:posOffset>
                </wp:positionH>
                <wp:positionV relativeFrom="paragraph">
                  <wp:posOffset>6476365</wp:posOffset>
                </wp:positionV>
                <wp:extent cx="2944495" cy="1169035"/>
                <wp:effectExtent l="0" t="0" r="190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AL Logo Full Positiv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44495" cy="1169035"/>
                        </a:xfrm>
                        <a:prstGeom prst="rect">
                          <a:avLst/>
                        </a:prstGeom>
                      </pic:spPr>
                    </pic:pic>
                  </a:graphicData>
                </a:graphic>
                <wp14:sizeRelH relativeFrom="page">
                  <wp14:pctWidth>0</wp14:pctWidth>
                </wp14:sizeRelH>
                <wp14:sizeRelV relativeFrom="page">
                  <wp14:pctHeight>0</wp14:pctHeight>
                </wp14:sizeRelV>
              </wp:anchor>
            </w:drawing>
          </w:r>
          <w:r>
            <w:rPr>
              <w:rFonts w:cs="Arial"/>
              <w:noProof/>
              <w:sz w:val="44"/>
              <w:szCs w:val="44"/>
            </w:rPr>
            <w:drawing>
              <wp:anchor distT="0" distB="0" distL="114300" distR="114300" simplePos="0" relativeHeight="251661312" behindDoc="1" locked="0" layoutInCell="1" allowOverlap="1" wp14:anchorId="3A08B479" wp14:editId="3421C19C">
                <wp:simplePos x="0" y="0"/>
                <wp:positionH relativeFrom="column">
                  <wp:posOffset>-2009774</wp:posOffset>
                </wp:positionH>
                <wp:positionV relativeFrom="page">
                  <wp:posOffset>3348991</wp:posOffset>
                </wp:positionV>
                <wp:extent cx="9917430" cy="3667125"/>
                <wp:effectExtent l="330200" t="1778000" r="306070" b="1781175"/>
                <wp:wrapTight wrapText="bothSides">
                  <wp:wrapPolygon edited="0">
                    <wp:start x="21530" y="-126"/>
                    <wp:lineTo x="20534" y="-1251"/>
                    <wp:lineTo x="20364" y="-147"/>
                    <wp:lineTo x="19394" y="-1243"/>
                    <wp:lineTo x="19223" y="-139"/>
                    <wp:lineTo x="18253" y="-1236"/>
                    <wp:lineTo x="18083" y="-131"/>
                    <wp:lineTo x="17113" y="-1228"/>
                    <wp:lineTo x="16942" y="-123"/>
                    <wp:lineTo x="15947" y="-1249"/>
                    <wp:lineTo x="15776" y="-144"/>
                    <wp:lineTo x="14806" y="-1241"/>
                    <wp:lineTo x="14636" y="-137"/>
                    <wp:lineTo x="13666" y="-1233"/>
                    <wp:lineTo x="13495" y="-129"/>
                    <wp:lineTo x="12525" y="-1225"/>
                    <wp:lineTo x="12355" y="-121"/>
                    <wp:lineTo x="11360" y="-1246"/>
                    <wp:lineTo x="11189" y="-142"/>
                    <wp:lineTo x="10219" y="-1238"/>
                    <wp:lineTo x="10048" y="-134"/>
                    <wp:lineTo x="9079" y="-1230"/>
                    <wp:lineTo x="8908" y="-126"/>
                    <wp:lineTo x="7913" y="-1251"/>
                    <wp:lineTo x="7742" y="-147"/>
                    <wp:lineTo x="6772" y="-1244"/>
                    <wp:lineTo x="6601" y="-139"/>
                    <wp:lineTo x="5632" y="-1236"/>
                    <wp:lineTo x="5461" y="-132"/>
                    <wp:lineTo x="4491" y="-1228"/>
                    <wp:lineTo x="4320" y="-124"/>
                    <wp:lineTo x="3325" y="-1249"/>
                    <wp:lineTo x="3155" y="-145"/>
                    <wp:lineTo x="2185" y="-1241"/>
                    <wp:lineTo x="2014" y="-137"/>
                    <wp:lineTo x="1044" y="-1233"/>
                    <wp:lineTo x="797" y="-216"/>
                    <wp:lineTo x="-16" y="1"/>
                    <wp:lineTo x="-37" y="139"/>
                    <wp:lineTo x="-72" y="21504"/>
                    <wp:lineTo x="56" y="21648"/>
                    <wp:lineTo x="21307" y="21676"/>
                    <wp:lineTo x="21646" y="20843"/>
                    <wp:lineTo x="21652" y="11688"/>
                    <wp:lineTo x="21874" y="10641"/>
                    <wp:lineTo x="21695" y="10439"/>
                    <wp:lineTo x="21866" y="9335"/>
                    <wp:lineTo x="21687" y="9133"/>
                    <wp:lineTo x="21858" y="8029"/>
                    <wp:lineTo x="21705" y="7856"/>
                    <wp:lineTo x="21875" y="6751"/>
                    <wp:lineTo x="21697" y="6549"/>
                    <wp:lineTo x="21868" y="5445"/>
                    <wp:lineTo x="21689" y="5243"/>
                    <wp:lineTo x="21860" y="4139"/>
                    <wp:lineTo x="21706" y="3966"/>
                    <wp:lineTo x="21877" y="2862"/>
                    <wp:lineTo x="21699" y="2660"/>
                    <wp:lineTo x="21869" y="1555"/>
                    <wp:lineTo x="21691" y="1353"/>
                    <wp:lineTo x="21861" y="249"/>
                    <wp:lineTo x="21657" y="18"/>
                    <wp:lineTo x="21530" y="-126"/>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stockphoto-123213256-612x612.jpg"/>
                        <pic:cNvPicPr/>
                      </pic:nvPicPr>
                      <pic:blipFill>
                        <a:blip r:embed="rId15">
                          <a:extLst>
                            <a:ext uri="{28A0092B-C50C-407E-A947-70E740481C1C}">
                              <a14:useLocalDpi xmlns:a14="http://schemas.microsoft.com/office/drawing/2010/main" val="0"/>
                            </a:ext>
                          </a:extLst>
                        </a:blip>
                        <a:stretch>
                          <a:fillRect/>
                        </a:stretch>
                      </pic:blipFill>
                      <pic:spPr>
                        <a:xfrm rot="20238730">
                          <a:off x="0" y="0"/>
                          <a:ext cx="9917430" cy="3667125"/>
                        </a:xfrm>
                        <a:prstGeom prst="rect">
                          <a:avLst/>
                        </a:prstGeom>
                      </pic:spPr>
                    </pic:pic>
                  </a:graphicData>
                </a:graphic>
                <wp14:sizeRelH relativeFrom="page">
                  <wp14:pctWidth>0</wp14:pctWidth>
                </wp14:sizeRelH>
                <wp14:sizeRelV relativeFrom="page">
                  <wp14:pctHeight>0</wp14:pctHeight>
                </wp14:sizeRelV>
              </wp:anchor>
            </w:drawing>
          </w:r>
          <w:bookmarkEnd w:id="0"/>
          <w:bookmarkEnd w:id="1"/>
          <w:r w:rsidR="004B0373">
            <w:rPr>
              <w:b/>
              <w:bCs/>
              <w:color w:val="2F5496" w:themeColor="accent1" w:themeShade="BF"/>
              <w:sz w:val="32"/>
              <w:szCs w:val="32"/>
            </w:rPr>
            <w:br w:type="page"/>
          </w:r>
        </w:p>
      </w:sdtContent>
    </w:sdt>
    <w:sdt>
      <w:sdtPr>
        <w:rPr>
          <w:rFonts w:eastAsiaTheme="minorHAnsi" w:cstheme="minorBidi"/>
          <w:b w:val="0"/>
          <w:color w:val="auto"/>
          <w:sz w:val="22"/>
          <w:szCs w:val="22"/>
          <w:lang w:val="en-AU"/>
        </w:rPr>
        <w:id w:val="106009197"/>
        <w:docPartObj>
          <w:docPartGallery w:val="Table of Contents"/>
          <w:docPartUnique/>
        </w:docPartObj>
      </w:sdtPr>
      <w:sdtEndPr>
        <w:rPr>
          <w:bCs/>
          <w:noProof/>
        </w:rPr>
      </w:sdtEndPr>
      <w:sdtContent>
        <w:p w14:paraId="698DE525" w14:textId="4A187F07" w:rsidR="0093244A" w:rsidRPr="005E0EE0" w:rsidRDefault="005E0EE0" w:rsidP="00614302">
          <w:pPr>
            <w:pStyle w:val="TOCHeading"/>
            <w:numPr>
              <w:ilvl w:val="0"/>
              <w:numId w:val="0"/>
            </w:numPr>
            <w:ind w:left="510" w:hanging="510"/>
            <w:rPr>
              <w:sz w:val="32"/>
            </w:rPr>
          </w:pPr>
          <w:r w:rsidRPr="005E0EE0">
            <w:rPr>
              <w:sz w:val="32"/>
            </w:rPr>
            <w:t xml:space="preserve">Table of </w:t>
          </w:r>
          <w:r w:rsidR="0093244A" w:rsidRPr="005E0EE0">
            <w:rPr>
              <w:sz w:val="32"/>
            </w:rPr>
            <w:t>Contents</w:t>
          </w:r>
        </w:p>
        <w:p w14:paraId="01B2A489" w14:textId="199274B6" w:rsidR="004736A5" w:rsidRDefault="0093244A">
          <w:pPr>
            <w:pStyle w:val="TOC1"/>
            <w:rPr>
              <w:rFonts w:eastAsiaTheme="minorEastAsia"/>
              <w:noProof/>
              <w:lang w:eastAsia="en-AU"/>
            </w:rPr>
          </w:pPr>
          <w:r>
            <w:fldChar w:fldCharType="begin"/>
          </w:r>
          <w:r>
            <w:instrText xml:space="preserve"> TOC \o "1-3" \h \z \u </w:instrText>
          </w:r>
          <w:r>
            <w:fldChar w:fldCharType="separate"/>
          </w:r>
          <w:hyperlink w:anchor="_Toc39140000" w:history="1">
            <w:r w:rsidR="004736A5" w:rsidRPr="00735094">
              <w:rPr>
                <w:rStyle w:val="Hyperlink"/>
                <w:noProof/>
              </w:rPr>
              <w:t>1.</w:t>
            </w:r>
            <w:r w:rsidR="004736A5">
              <w:rPr>
                <w:rFonts w:eastAsiaTheme="minorEastAsia"/>
                <w:noProof/>
                <w:lang w:eastAsia="en-AU"/>
              </w:rPr>
              <w:tab/>
            </w:r>
            <w:r w:rsidR="004736A5" w:rsidRPr="00735094">
              <w:rPr>
                <w:rStyle w:val="Hyperlink"/>
                <w:noProof/>
              </w:rPr>
              <w:t>Background and introduction</w:t>
            </w:r>
            <w:r w:rsidR="004736A5">
              <w:rPr>
                <w:noProof/>
                <w:webHidden/>
              </w:rPr>
              <w:tab/>
            </w:r>
            <w:r w:rsidR="004736A5">
              <w:rPr>
                <w:noProof/>
                <w:webHidden/>
              </w:rPr>
              <w:fldChar w:fldCharType="begin"/>
            </w:r>
            <w:r w:rsidR="004736A5">
              <w:rPr>
                <w:noProof/>
                <w:webHidden/>
              </w:rPr>
              <w:instrText xml:space="preserve"> PAGEREF _Toc39140000 \h </w:instrText>
            </w:r>
            <w:r w:rsidR="004736A5">
              <w:rPr>
                <w:noProof/>
                <w:webHidden/>
              </w:rPr>
            </w:r>
            <w:r w:rsidR="004736A5">
              <w:rPr>
                <w:noProof/>
                <w:webHidden/>
              </w:rPr>
              <w:fldChar w:fldCharType="separate"/>
            </w:r>
            <w:r w:rsidR="004736A5">
              <w:rPr>
                <w:noProof/>
                <w:webHidden/>
              </w:rPr>
              <w:t>3</w:t>
            </w:r>
            <w:r w:rsidR="004736A5">
              <w:rPr>
                <w:noProof/>
                <w:webHidden/>
              </w:rPr>
              <w:fldChar w:fldCharType="end"/>
            </w:r>
          </w:hyperlink>
        </w:p>
        <w:p w14:paraId="3D5EDDB5" w14:textId="670D81A5" w:rsidR="004736A5" w:rsidRDefault="00120ECE">
          <w:pPr>
            <w:pStyle w:val="TOC2"/>
            <w:tabs>
              <w:tab w:val="left" w:pos="880"/>
              <w:tab w:val="right" w:leader="dot" w:pos="9016"/>
            </w:tabs>
            <w:rPr>
              <w:rFonts w:eastAsiaTheme="minorEastAsia"/>
              <w:noProof/>
              <w:lang w:eastAsia="en-AU"/>
            </w:rPr>
          </w:pPr>
          <w:hyperlink w:anchor="_Toc39140001" w:history="1">
            <w:r w:rsidR="004736A5" w:rsidRPr="00735094">
              <w:rPr>
                <w:rStyle w:val="Hyperlink"/>
                <w:bCs/>
                <w:iCs/>
                <w:noProof/>
                <w:spacing w:val="5"/>
              </w:rPr>
              <w:t>1.1</w:t>
            </w:r>
            <w:r w:rsidR="004736A5">
              <w:rPr>
                <w:rFonts w:eastAsiaTheme="minorEastAsia"/>
                <w:noProof/>
                <w:lang w:eastAsia="en-AU"/>
              </w:rPr>
              <w:tab/>
            </w:r>
            <w:r w:rsidR="004736A5" w:rsidRPr="00735094">
              <w:rPr>
                <w:rStyle w:val="Hyperlink"/>
                <w:noProof/>
              </w:rPr>
              <w:t>Introduction</w:t>
            </w:r>
            <w:r w:rsidR="004736A5">
              <w:rPr>
                <w:noProof/>
                <w:webHidden/>
              </w:rPr>
              <w:tab/>
            </w:r>
            <w:r w:rsidR="004736A5">
              <w:rPr>
                <w:noProof/>
                <w:webHidden/>
              </w:rPr>
              <w:fldChar w:fldCharType="begin"/>
            </w:r>
            <w:r w:rsidR="004736A5">
              <w:rPr>
                <w:noProof/>
                <w:webHidden/>
              </w:rPr>
              <w:instrText xml:space="preserve"> PAGEREF _Toc39140001 \h </w:instrText>
            </w:r>
            <w:r w:rsidR="004736A5">
              <w:rPr>
                <w:noProof/>
                <w:webHidden/>
              </w:rPr>
            </w:r>
            <w:r w:rsidR="004736A5">
              <w:rPr>
                <w:noProof/>
                <w:webHidden/>
              </w:rPr>
              <w:fldChar w:fldCharType="separate"/>
            </w:r>
            <w:r w:rsidR="004736A5">
              <w:rPr>
                <w:noProof/>
                <w:webHidden/>
              </w:rPr>
              <w:t>3</w:t>
            </w:r>
            <w:r w:rsidR="004736A5">
              <w:rPr>
                <w:noProof/>
                <w:webHidden/>
              </w:rPr>
              <w:fldChar w:fldCharType="end"/>
            </w:r>
          </w:hyperlink>
        </w:p>
        <w:p w14:paraId="7B6C3C99" w14:textId="1AA78881" w:rsidR="004736A5" w:rsidRDefault="00120ECE">
          <w:pPr>
            <w:pStyle w:val="TOC2"/>
            <w:tabs>
              <w:tab w:val="left" w:pos="880"/>
              <w:tab w:val="right" w:leader="dot" w:pos="9016"/>
            </w:tabs>
            <w:rPr>
              <w:rFonts w:eastAsiaTheme="minorEastAsia"/>
              <w:noProof/>
              <w:lang w:eastAsia="en-AU"/>
            </w:rPr>
          </w:pPr>
          <w:hyperlink w:anchor="_Toc39140002" w:history="1">
            <w:r w:rsidR="004736A5" w:rsidRPr="00735094">
              <w:rPr>
                <w:rStyle w:val="Hyperlink"/>
                <w:noProof/>
              </w:rPr>
              <w:t>1.2</w:t>
            </w:r>
            <w:r w:rsidR="004736A5">
              <w:rPr>
                <w:rFonts w:eastAsiaTheme="minorEastAsia"/>
                <w:noProof/>
                <w:lang w:eastAsia="en-AU"/>
              </w:rPr>
              <w:tab/>
            </w:r>
            <w:r w:rsidR="004736A5" w:rsidRPr="00735094">
              <w:rPr>
                <w:rStyle w:val="Hyperlink"/>
                <w:noProof/>
              </w:rPr>
              <w:t>Global food waste and its impacts</w:t>
            </w:r>
            <w:r w:rsidR="004736A5">
              <w:rPr>
                <w:noProof/>
                <w:webHidden/>
              </w:rPr>
              <w:tab/>
            </w:r>
            <w:r w:rsidR="004736A5">
              <w:rPr>
                <w:noProof/>
                <w:webHidden/>
              </w:rPr>
              <w:fldChar w:fldCharType="begin"/>
            </w:r>
            <w:r w:rsidR="004736A5">
              <w:rPr>
                <w:noProof/>
                <w:webHidden/>
              </w:rPr>
              <w:instrText xml:space="preserve"> PAGEREF _Toc39140002 \h </w:instrText>
            </w:r>
            <w:r w:rsidR="004736A5">
              <w:rPr>
                <w:noProof/>
                <w:webHidden/>
              </w:rPr>
            </w:r>
            <w:r w:rsidR="004736A5">
              <w:rPr>
                <w:noProof/>
                <w:webHidden/>
              </w:rPr>
              <w:fldChar w:fldCharType="separate"/>
            </w:r>
            <w:r w:rsidR="004736A5">
              <w:rPr>
                <w:noProof/>
                <w:webHidden/>
              </w:rPr>
              <w:t>3</w:t>
            </w:r>
            <w:r w:rsidR="004736A5">
              <w:rPr>
                <w:noProof/>
                <w:webHidden/>
              </w:rPr>
              <w:fldChar w:fldCharType="end"/>
            </w:r>
          </w:hyperlink>
        </w:p>
        <w:p w14:paraId="025DB43E" w14:textId="150E0F72" w:rsidR="004736A5" w:rsidRDefault="00120ECE">
          <w:pPr>
            <w:pStyle w:val="TOC2"/>
            <w:tabs>
              <w:tab w:val="left" w:pos="880"/>
              <w:tab w:val="right" w:leader="dot" w:pos="9016"/>
            </w:tabs>
            <w:rPr>
              <w:rFonts w:eastAsiaTheme="minorEastAsia"/>
              <w:noProof/>
              <w:lang w:eastAsia="en-AU"/>
            </w:rPr>
          </w:pPr>
          <w:hyperlink w:anchor="_Toc39140003" w:history="1">
            <w:r w:rsidR="004736A5" w:rsidRPr="00735094">
              <w:rPr>
                <w:rStyle w:val="Hyperlink"/>
                <w:bCs/>
                <w:iCs/>
                <w:noProof/>
                <w:spacing w:val="5"/>
              </w:rPr>
              <w:t>1.3</w:t>
            </w:r>
            <w:r w:rsidR="004736A5">
              <w:rPr>
                <w:rFonts w:eastAsiaTheme="minorEastAsia"/>
                <w:noProof/>
                <w:lang w:eastAsia="en-AU"/>
              </w:rPr>
              <w:tab/>
            </w:r>
            <w:r w:rsidR="004736A5" w:rsidRPr="00735094">
              <w:rPr>
                <w:rStyle w:val="Hyperlink"/>
                <w:noProof/>
              </w:rPr>
              <w:t>Food</w:t>
            </w:r>
            <w:r w:rsidR="004736A5" w:rsidRPr="00735094">
              <w:rPr>
                <w:rStyle w:val="Hyperlink"/>
                <w:bCs/>
                <w:iCs/>
                <w:noProof/>
                <w:spacing w:val="5"/>
              </w:rPr>
              <w:t xml:space="preserve"> </w:t>
            </w:r>
            <w:r w:rsidR="004736A5" w:rsidRPr="00735094">
              <w:rPr>
                <w:rStyle w:val="Hyperlink"/>
                <w:iCs/>
                <w:noProof/>
                <w:spacing w:val="5"/>
              </w:rPr>
              <w:t>waste in Australia and its impacts:</w:t>
            </w:r>
            <w:r w:rsidR="004736A5">
              <w:rPr>
                <w:noProof/>
                <w:webHidden/>
              </w:rPr>
              <w:tab/>
            </w:r>
            <w:r w:rsidR="004736A5">
              <w:rPr>
                <w:noProof/>
                <w:webHidden/>
              </w:rPr>
              <w:fldChar w:fldCharType="begin"/>
            </w:r>
            <w:r w:rsidR="004736A5">
              <w:rPr>
                <w:noProof/>
                <w:webHidden/>
              </w:rPr>
              <w:instrText xml:space="preserve"> PAGEREF _Toc39140003 \h </w:instrText>
            </w:r>
            <w:r w:rsidR="004736A5">
              <w:rPr>
                <w:noProof/>
                <w:webHidden/>
              </w:rPr>
            </w:r>
            <w:r w:rsidR="004736A5">
              <w:rPr>
                <w:noProof/>
                <w:webHidden/>
              </w:rPr>
              <w:fldChar w:fldCharType="separate"/>
            </w:r>
            <w:r w:rsidR="004736A5">
              <w:rPr>
                <w:noProof/>
                <w:webHidden/>
              </w:rPr>
              <w:t>3</w:t>
            </w:r>
            <w:r w:rsidR="004736A5">
              <w:rPr>
                <w:noProof/>
                <w:webHidden/>
              </w:rPr>
              <w:fldChar w:fldCharType="end"/>
            </w:r>
          </w:hyperlink>
        </w:p>
        <w:p w14:paraId="5FD86F56" w14:textId="566C018D" w:rsidR="004736A5" w:rsidRDefault="00120ECE">
          <w:pPr>
            <w:pStyle w:val="TOC2"/>
            <w:tabs>
              <w:tab w:val="left" w:pos="880"/>
              <w:tab w:val="right" w:leader="dot" w:pos="9016"/>
            </w:tabs>
            <w:rPr>
              <w:rFonts w:eastAsiaTheme="minorEastAsia"/>
              <w:noProof/>
              <w:lang w:eastAsia="en-AU"/>
            </w:rPr>
          </w:pPr>
          <w:hyperlink w:anchor="_Toc39140004" w:history="1">
            <w:r w:rsidR="004736A5" w:rsidRPr="00735094">
              <w:rPr>
                <w:rStyle w:val="Hyperlink"/>
                <w:iCs/>
                <w:noProof/>
                <w:spacing w:val="5"/>
              </w:rPr>
              <w:t>1.4</w:t>
            </w:r>
            <w:r w:rsidR="004736A5">
              <w:rPr>
                <w:rFonts w:eastAsiaTheme="minorEastAsia"/>
                <w:noProof/>
                <w:lang w:eastAsia="en-AU"/>
              </w:rPr>
              <w:tab/>
            </w:r>
            <w:r w:rsidR="004736A5" w:rsidRPr="00735094">
              <w:rPr>
                <w:rStyle w:val="Hyperlink"/>
                <w:iCs/>
                <w:noProof/>
                <w:spacing w:val="5"/>
              </w:rPr>
              <w:t>Reframing the food waste opportunity</w:t>
            </w:r>
            <w:r w:rsidR="004736A5">
              <w:rPr>
                <w:noProof/>
                <w:webHidden/>
              </w:rPr>
              <w:tab/>
            </w:r>
            <w:r w:rsidR="004736A5">
              <w:rPr>
                <w:noProof/>
                <w:webHidden/>
              </w:rPr>
              <w:fldChar w:fldCharType="begin"/>
            </w:r>
            <w:r w:rsidR="004736A5">
              <w:rPr>
                <w:noProof/>
                <w:webHidden/>
              </w:rPr>
              <w:instrText xml:space="preserve"> PAGEREF _Toc39140004 \h </w:instrText>
            </w:r>
            <w:r w:rsidR="004736A5">
              <w:rPr>
                <w:noProof/>
                <w:webHidden/>
              </w:rPr>
            </w:r>
            <w:r w:rsidR="004736A5">
              <w:rPr>
                <w:noProof/>
                <w:webHidden/>
              </w:rPr>
              <w:fldChar w:fldCharType="separate"/>
            </w:r>
            <w:r w:rsidR="004736A5">
              <w:rPr>
                <w:noProof/>
                <w:webHidden/>
              </w:rPr>
              <w:t>4</w:t>
            </w:r>
            <w:r w:rsidR="004736A5">
              <w:rPr>
                <w:noProof/>
                <w:webHidden/>
              </w:rPr>
              <w:fldChar w:fldCharType="end"/>
            </w:r>
          </w:hyperlink>
        </w:p>
        <w:p w14:paraId="0D3414A8" w14:textId="32CB265F" w:rsidR="004736A5" w:rsidRDefault="00120ECE">
          <w:pPr>
            <w:pStyle w:val="TOC1"/>
            <w:rPr>
              <w:rFonts w:eastAsiaTheme="minorEastAsia"/>
              <w:noProof/>
              <w:lang w:eastAsia="en-AU"/>
            </w:rPr>
          </w:pPr>
          <w:hyperlink w:anchor="_Toc39140005" w:history="1">
            <w:r w:rsidR="004736A5" w:rsidRPr="00735094">
              <w:rPr>
                <w:rStyle w:val="Hyperlink"/>
                <w:noProof/>
              </w:rPr>
              <w:t>2.</w:t>
            </w:r>
            <w:r w:rsidR="004736A5">
              <w:rPr>
                <w:rFonts w:eastAsiaTheme="minorEastAsia"/>
                <w:noProof/>
                <w:lang w:eastAsia="en-AU"/>
              </w:rPr>
              <w:tab/>
            </w:r>
            <w:r w:rsidR="004736A5" w:rsidRPr="00735094">
              <w:rPr>
                <w:rStyle w:val="Hyperlink"/>
                <w:noProof/>
              </w:rPr>
              <w:t>What is the business case for reducing food waste?</w:t>
            </w:r>
            <w:r w:rsidR="004736A5">
              <w:rPr>
                <w:noProof/>
                <w:webHidden/>
              </w:rPr>
              <w:tab/>
            </w:r>
            <w:r w:rsidR="004736A5">
              <w:rPr>
                <w:noProof/>
                <w:webHidden/>
              </w:rPr>
              <w:fldChar w:fldCharType="begin"/>
            </w:r>
            <w:r w:rsidR="004736A5">
              <w:rPr>
                <w:noProof/>
                <w:webHidden/>
              </w:rPr>
              <w:instrText xml:space="preserve"> PAGEREF _Toc39140005 \h </w:instrText>
            </w:r>
            <w:r w:rsidR="004736A5">
              <w:rPr>
                <w:noProof/>
                <w:webHidden/>
              </w:rPr>
            </w:r>
            <w:r w:rsidR="004736A5">
              <w:rPr>
                <w:noProof/>
                <w:webHidden/>
              </w:rPr>
              <w:fldChar w:fldCharType="separate"/>
            </w:r>
            <w:r w:rsidR="004736A5">
              <w:rPr>
                <w:noProof/>
                <w:webHidden/>
              </w:rPr>
              <w:t>7</w:t>
            </w:r>
            <w:r w:rsidR="004736A5">
              <w:rPr>
                <w:noProof/>
                <w:webHidden/>
              </w:rPr>
              <w:fldChar w:fldCharType="end"/>
            </w:r>
          </w:hyperlink>
        </w:p>
        <w:p w14:paraId="2209366B" w14:textId="0AC90ADA" w:rsidR="004736A5" w:rsidRDefault="00120ECE">
          <w:pPr>
            <w:pStyle w:val="TOC1"/>
            <w:rPr>
              <w:rFonts w:eastAsiaTheme="minorEastAsia"/>
              <w:noProof/>
              <w:lang w:eastAsia="en-AU"/>
            </w:rPr>
          </w:pPr>
          <w:hyperlink w:anchor="_Toc39140006" w:history="1">
            <w:r w:rsidR="004736A5" w:rsidRPr="00735094">
              <w:rPr>
                <w:rStyle w:val="Hyperlink"/>
                <w:noProof/>
              </w:rPr>
              <w:t>3.</w:t>
            </w:r>
            <w:r w:rsidR="004736A5">
              <w:rPr>
                <w:rFonts w:eastAsiaTheme="minorEastAsia"/>
                <w:noProof/>
                <w:lang w:eastAsia="en-AU"/>
              </w:rPr>
              <w:tab/>
            </w:r>
            <w:r w:rsidR="004736A5" w:rsidRPr="00735094">
              <w:rPr>
                <w:rStyle w:val="Hyperlink"/>
                <w:noProof/>
              </w:rPr>
              <w:t>Establishing a voluntary commitments program to reduce food waste</w:t>
            </w:r>
            <w:r w:rsidR="004736A5">
              <w:rPr>
                <w:noProof/>
                <w:webHidden/>
              </w:rPr>
              <w:tab/>
            </w:r>
            <w:r w:rsidR="004736A5">
              <w:rPr>
                <w:noProof/>
                <w:webHidden/>
              </w:rPr>
              <w:fldChar w:fldCharType="begin"/>
            </w:r>
            <w:r w:rsidR="004736A5">
              <w:rPr>
                <w:noProof/>
                <w:webHidden/>
              </w:rPr>
              <w:instrText xml:space="preserve"> PAGEREF _Toc39140006 \h </w:instrText>
            </w:r>
            <w:r w:rsidR="004736A5">
              <w:rPr>
                <w:noProof/>
                <w:webHidden/>
              </w:rPr>
            </w:r>
            <w:r w:rsidR="004736A5">
              <w:rPr>
                <w:noProof/>
                <w:webHidden/>
              </w:rPr>
              <w:fldChar w:fldCharType="separate"/>
            </w:r>
            <w:r w:rsidR="004736A5">
              <w:rPr>
                <w:noProof/>
                <w:webHidden/>
              </w:rPr>
              <w:t>9</w:t>
            </w:r>
            <w:r w:rsidR="004736A5">
              <w:rPr>
                <w:noProof/>
                <w:webHidden/>
              </w:rPr>
              <w:fldChar w:fldCharType="end"/>
            </w:r>
          </w:hyperlink>
        </w:p>
        <w:p w14:paraId="567961FD" w14:textId="7EC52C46" w:rsidR="004736A5" w:rsidRDefault="00120ECE">
          <w:pPr>
            <w:pStyle w:val="TOC2"/>
            <w:tabs>
              <w:tab w:val="left" w:pos="880"/>
              <w:tab w:val="right" w:leader="dot" w:pos="9016"/>
            </w:tabs>
            <w:rPr>
              <w:rFonts w:eastAsiaTheme="minorEastAsia"/>
              <w:noProof/>
              <w:lang w:eastAsia="en-AU"/>
            </w:rPr>
          </w:pPr>
          <w:hyperlink w:anchor="_Toc39140007" w:history="1">
            <w:r w:rsidR="004736A5" w:rsidRPr="00735094">
              <w:rPr>
                <w:rStyle w:val="Hyperlink"/>
                <w:iCs/>
                <w:noProof/>
                <w:spacing w:val="5"/>
              </w:rPr>
              <w:t>3.1</w:t>
            </w:r>
            <w:r w:rsidR="004736A5">
              <w:rPr>
                <w:rFonts w:eastAsiaTheme="minorEastAsia"/>
                <w:noProof/>
                <w:lang w:eastAsia="en-AU"/>
              </w:rPr>
              <w:tab/>
            </w:r>
            <w:r w:rsidR="004736A5" w:rsidRPr="00735094">
              <w:rPr>
                <w:rStyle w:val="Hyperlink"/>
                <w:iCs/>
                <w:noProof/>
                <w:spacing w:val="5"/>
              </w:rPr>
              <w:t>The role and benefits of a voluntary commitment program</w:t>
            </w:r>
            <w:r w:rsidR="004736A5">
              <w:rPr>
                <w:noProof/>
                <w:webHidden/>
              </w:rPr>
              <w:tab/>
            </w:r>
            <w:r w:rsidR="004736A5">
              <w:rPr>
                <w:noProof/>
                <w:webHidden/>
              </w:rPr>
              <w:fldChar w:fldCharType="begin"/>
            </w:r>
            <w:r w:rsidR="004736A5">
              <w:rPr>
                <w:noProof/>
                <w:webHidden/>
              </w:rPr>
              <w:instrText xml:space="preserve"> PAGEREF _Toc39140007 \h </w:instrText>
            </w:r>
            <w:r w:rsidR="004736A5">
              <w:rPr>
                <w:noProof/>
                <w:webHidden/>
              </w:rPr>
            </w:r>
            <w:r w:rsidR="004736A5">
              <w:rPr>
                <w:noProof/>
                <w:webHidden/>
              </w:rPr>
              <w:fldChar w:fldCharType="separate"/>
            </w:r>
            <w:r w:rsidR="004736A5">
              <w:rPr>
                <w:noProof/>
                <w:webHidden/>
              </w:rPr>
              <w:t>9</w:t>
            </w:r>
            <w:r w:rsidR="004736A5">
              <w:rPr>
                <w:noProof/>
                <w:webHidden/>
              </w:rPr>
              <w:fldChar w:fldCharType="end"/>
            </w:r>
          </w:hyperlink>
        </w:p>
        <w:p w14:paraId="09B10CD1" w14:textId="5F5C9113" w:rsidR="004736A5" w:rsidRDefault="00120ECE">
          <w:pPr>
            <w:pStyle w:val="TOC2"/>
            <w:tabs>
              <w:tab w:val="left" w:pos="880"/>
              <w:tab w:val="right" w:leader="dot" w:pos="9016"/>
            </w:tabs>
            <w:rPr>
              <w:rFonts w:eastAsiaTheme="minorEastAsia"/>
              <w:noProof/>
              <w:lang w:eastAsia="en-AU"/>
            </w:rPr>
          </w:pPr>
          <w:hyperlink w:anchor="_Toc39140008" w:history="1">
            <w:r w:rsidR="004736A5" w:rsidRPr="00735094">
              <w:rPr>
                <w:rStyle w:val="Hyperlink"/>
                <w:iCs/>
                <w:noProof/>
                <w:spacing w:val="5"/>
              </w:rPr>
              <w:t>3.2</w:t>
            </w:r>
            <w:r w:rsidR="004736A5">
              <w:rPr>
                <w:rFonts w:eastAsiaTheme="minorEastAsia"/>
                <w:noProof/>
                <w:lang w:eastAsia="en-AU"/>
              </w:rPr>
              <w:tab/>
            </w:r>
            <w:r w:rsidR="004736A5" w:rsidRPr="00735094">
              <w:rPr>
                <w:rStyle w:val="Hyperlink"/>
                <w:iCs/>
                <w:noProof/>
                <w:spacing w:val="5"/>
              </w:rPr>
              <w:t>The structure of the voluntary commitment program</w:t>
            </w:r>
            <w:r w:rsidR="004736A5">
              <w:rPr>
                <w:noProof/>
                <w:webHidden/>
              </w:rPr>
              <w:tab/>
            </w:r>
            <w:r w:rsidR="004736A5">
              <w:rPr>
                <w:noProof/>
                <w:webHidden/>
              </w:rPr>
              <w:fldChar w:fldCharType="begin"/>
            </w:r>
            <w:r w:rsidR="004736A5">
              <w:rPr>
                <w:noProof/>
                <w:webHidden/>
              </w:rPr>
              <w:instrText xml:space="preserve"> PAGEREF _Toc39140008 \h </w:instrText>
            </w:r>
            <w:r w:rsidR="004736A5">
              <w:rPr>
                <w:noProof/>
                <w:webHidden/>
              </w:rPr>
            </w:r>
            <w:r w:rsidR="004736A5">
              <w:rPr>
                <w:noProof/>
                <w:webHidden/>
              </w:rPr>
              <w:fldChar w:fldCharType="separate"/>
            </w:r>
            <w:r w:rsidR="004736A5">
              <w:rPr>
                <w:noProof/>
                <w:webHidden/>
              </w:rPr>
              <w:t>11</w:t>
            </w:r>
            <w:r w:rsidR="004736A5">
              <w:rPr>
                <w:noProof/>
                <w:webHidden/>
              </w:rPr>
              <w:fldChar w:fldCharType="end"/>
            </w:r>
          </w:hyperlink>
        </w:p>
        <w:p w14:paraId="68456299" w14:textId="62504D05" w:rsidR="004736A5" w:rsidRDefault="00120ECE">
          <w:pPr>
            <w:pStyle w:val="TOC2"/>
            <w:tabs>
              <w:tab w:val="left" w:pos="880"/>
              <w:tab w:val="right" w:leader="dot" w:pos="9016"/>
            </w:tabs>
            <w:rPr>
              <w:rFonts w:eastAsiaTheme="minorEastAsia"/>
              <w:noProof/>
              <w:lang w:eastAsia="en-AU"/>
            </w:rPr>
          </w:pPr>
          <w:hyperlink w:anchor="_Toc39140009" w:history="1">
            <w:r w:rsidR="004736A5" w:rsidRPr="00735094">
              <w:rPr>
                <w:rStyle w:val="Hyperlink"/>
                <w:iCs/>
                <w:noProof/>
                <w:spacing w:val="5"/>
              </w:rPr>
              <w:t>3.3</w:t>
            </w:r>
            <w:r w:rsidR="004736A5">
              <w:rPr>
                <w:rFonts w:eastAsiaTheme="minorEastAsia"/>
                <w:noProof/>
                <w:lang w:eastAsia="en-AU"/>
              </w:rPr>
              <w:tab/>
            </w:r>
            <w:r w:rsidR="004736A5" w:rsidRPr="00735094">
              <w:rPr>
                <w:rStyle w:val="Hyperlink"/>
                <w:iCs/>
                <w:noProof/>
                <w:spacing w:val="5"/>
              </w:rPr>
              <w:t>What commitments are we expecting signatories to make?</w:t>
            </w:r>
            <w:r w:rsidR="004736A5">
              <w:rPr>
                <w:noProof/>
                <w:webHidden/>
              </w:rPr>
              <w:tab/>
            </w:r>
            <w:r w:rsidR="004736A5">
              <w:rPr>
                <w:noProof/>
                <w:webHidden/>
              </w:rPr>
              <w:fldChar w:fldCharType="begin"/>
            </w:r>
            <w:r w:rsidR="004736A5">
              <w:rPr>
                <w:noProof/>
                <w:webHidden/>
              </w:rPr>
              <w:instrText xml:space="preserve"> PAGEREF _Toc39140009 \h </w:instrText>
            </w:r>
            <w:r w:rsidR="004736A5">
              <w:rPr>
                <w:noProof/>
                <w:webHidden/>
              </w:rPr>
            </w:r>
            <w:r w:rsidR="004736A5">
              <w:rPr>
                <w:noProof/>
                <w:webHidden/>
              </w:rPr>
              <w:fldChar w:fldCharType="separate"/>
            </w:r>
            <w:r w:rsidR="004736A5">
              <w:rPr>
                <w:noProof/>
                <w:webHidden/>
              </w:rPr>
              <w:t>17</w:t>
            </w:r>
            <w:r w:rsidR="004736A5">
              <w:rPr>
                <w:noProof/>
                <w:webHidden/>
              </w:rPr>
              <w:fldChar w:fldCharType="end"/>
            </w:r>
          </w:hyperlink>
        </w:p>
        <w:p w14:paraId="48E47C05" w14:textId="3392DF2C" w:rsidR="004736A5" w:rsidRDefault="00120ECE">
          <w:pPr>
            <w:pStyle w:val="TOC2"/>
            <w:tabs>
              <w:tab w:val="left" w:pos="880"/>
              <w:tab w:val="right" w:leader="dot" w:pos="9016"/>
            </w:tabs>
            <w:rPr>
              <w:rFonts w:eastAsiaTheme="minorEastAsia"/>
              <w:noProof/>
              <w:lang w:eastAsia="en-AU"/>
            </w:rPr>
          </w:pPr>
          <w:hyperlink w:anchor="_Toc39140010" w:history="1">
            <w:r w:rsidR="004736A5" w:rsidRPr="00735094">
              <w:rPr>
                <w:rStyle w:val="Hyperlink"/>
                <w:iCs/>
                <w:noProof/>
                <w:spacing w:val="5"/>
              </w:rPr>
              <w:t>3.4</w:t>
            </w:r>
            <w:r w:rsidR="004736A5">
              <w:rPr>
                <w:rFonts w:eastAsiaTheme="minorEastAsia"/>
                <w:noProof/>
                <w:lang w:eastAsia="en-AU"/>
              </w:rPr>
              <w:tab/>
            </w:r>
            <w:r w:rsidR="004736A5" w:rsidRPr="00735094">
              <w:rPr>
                <w:rStyle w:val="Hyperlink"/>
                <w:iCs/>
                <w:noProof/>
                <w:spacing w:val="5"/>
              </w:rPr>
              <w:t>What support would signatories receive in return?</w:t>
            </w:r>
            <w:r w:rsidR="004736A5">
              <w:rPr>
                <w:noProof/>
                <w:webHidden/>
              </w:rPr>
              <w:tab/>
            </w:r>
            <w:r w:rsidR="004736A5">
              <w:rPr>
                <w:noProof/>
                <w:webHidden/>
              </w:rPr>
              <w:fldChar w:fldCharType="begin"/>
            </w:r>
            <w:r w:rsidR="004736A5">
              <w:rPr>
                <w:noProof/>
                <w:webHidden/>
              </w:rPr>
              <w:instrText xml:space="preserve"> PAGEREF _Toc39140010 \h </w:instrText>
            </w:r>
            <w:r w:rsidR="004736A5">
              <w:rPr>
                <w:noProof/>
                <w:webHidden/>
              </w:rPr>
            </w:r>
            <w:r w:rsidR="004736A5">
              <w:rPr>
                <w:noProof/>
                <w:webHidden/>
              </w:rPr>
              <w:fldChar w:fldCharType="separate"/>
            </w:r>
            <w:r w:rsidR="004736A5">
              <w:rPr>
                <w:noProof/>
                <w:webHidden/>
              </w:rPr>
              <w:t>19</w:t>
            </w:r>
            <w:r w:rsidR="004736A5">
              <w:rPr>
                <w:noProof/>
                <w:webHidden/>
              </w:rPr>
              <w:fldChar w:fldCharType="end"/>
            </w:r>
          </w:hyperlink>
        </w:p>
        <w:p w14:paraId="0076B000" w14:textId="0215F8ED" w:rsidR="004736A5" w:rsidRDefault="00120ECE">
          <w:pPr>
            <w:pStyle w:val="TOC1"/>
            <w:rPr>
              <w:rFonts w:eastAsiaTheme="minorEastAsia"/>
              <w:noProof/>
              <w:lang w:eastAsia="en-AU"/>
            </w:rPr>
          </w:pPr>
          <w:hyperlink w:anchor="_Toc39140011" w:history="1">
            <w:r w:rsidR="004736A5" w:rsidRPr="00735094">
              <w:rPr>
                <w:rStyle w:val="Hyperlink"/>
                <w:noProof/>
              </w:rPr>
              <w:t>4.</w:t>
            </w:r>
            <w:r w:rsidR="004736A5">
              <w:rPr>
                <w:rFonts w:eastAsiaTheme="minorEastAsia"/>
                <w:noProof/>
                <w:lang w:eastAsia="en-AU"/>
              </w:rPr>
              <w:tab/>
            </w:r>
            <w:r w:rsidR="004736A5" w:rsidRPr="00735094">
              <w:rPr>
                <w:rStyle w:val="Hyperlink"/>
                <w:noProof/>
              </w:rPr>
              <w:t>Delivering the voluntary commitment program: guidance and recommendations for a future governance and delivery entity</w:t>
            </w:r>
            <w:r w:rsidR="004736A5">
              <w:rPr>
                <w:noProof/>
                <w:webHidden/>
              </w:rPr>
              <w:tab/>
            </w:r>
            <w:r w:rsidR="004736A5">
              <w:rPr>
                <w:noProof/>
                <w:webHidden/>
              </w:rPr>
              <w:fldChar w:fldCharType="begin"/>
            </w:r>
            <w:r w:rsidR="004736A5">
              <w:rPr>
                <w:noProof/>
                <w:webHidden/>
              </w:rPr>
              <w:instrText xml:space="preserve"> PAGEREF _Toc39140011 \h </w:instrText>
            </w:r>
            <w:r w:rsidR="004736A5">
              <w:rPr>
                <w:noProof/>
                <w:webHidden/>
              </w:rPr>
            </w:r>
            <w:r w:rsidR="004736A5">
              <w:rPr>
                <w:noProof/>
                <w:webHidden/>
              </w:rPr>
              <w:fldChar w:fldCharType="separate"/>
            </w:r>
            <w:r w:rsidR="004736A5">
              <w:rPr>
                <w:noProof/>
                <w:webHidden/>
              </w:rPr>
              <w:t>23</w:t>
            </w:r>
            <w:r w:rsidR="004736A5">
              <w:rPr>
                <w:noProof/>
                <w:webHidden/>
              </w:rPr>
              <w:fldChar w:fldCharType="end"/>
            </w:r>
          </w:hyperlink>
        </w:p>
        <w:p w14:paraId="644A9DDB" w14:textId="7D7ED811" w:rsidR="004736A5" w:rsidRDefault="00120ECE">
          <w:pPr>
            <w:pStyle w:val="TOC2"/>
            <w:tabs>
              <w:tab w:val="left" w:pos="880"/>
              <w:tab w:val="right" w:leader="dot" w:pos="9016"/>
            </w:tabs>
            <w:rPr>
              <w:rFonts w:eastAsiaTheme="minorEastAsia"/>
              <w:noProof/>
              <w:lang w:eastAsia="en-AU"/>
            </w:rPr>
          </w:pPr>
          <w:hyperlink w:anchor="_Toc39140012" w:history="1">
            <w:r w:rsidR="004736A5" w:rsidRPr="00735094">
              <w:rPr>
                <w:rStyle w:val="Hyperlink"/>
                <w:iCs/>
                <w:noProof/>
                <w:spacing w:val="5"/>
              </w:rPr>
              <w:t>4.1</w:t>
            </w:r>
            <w:r w:rsidR="004736A5">
              <w:rPr>
                <w:rFonts w:eastAsiaTheme="minorEastAsia"/>
                <w:noProof/>
                <w:lang w:eastAsia="en-AU"/>
              </w:rPr>
              <w:tab/>
            </w:r>
            <w:r w:rsidR="004736A5" w:rsidRPr="00735094">
              <w:rPr>
                <w:rStyle w:val="Hyperlink"/>
                <w:iCs/>
                <w:noProof/>
                <w:spacing w:val="5"/>
              </w:rPr>
              <w:t>Independent lead organisation and governance model and structure</w:t>
            </w:r>
            <w:r w:rsidR="004736A5">
              <w:rPr>
                <w:noProof/>
                <w:webHidden/>
              </w:rPr>
              <w:tab/>
            </w:r>
            <w:r w:rsidR="004736A5">
              <w:rPr>
                <w:noProof/>
                <w:webHidden/>
              </w:rPr>
              <w:fldChar w:fldCharType="begin"/>
            </w:r>
            <w:r w:rsidR="004736A5">
              <w:rPr>
                <w:noProof/>
                <w:webHidden/>
              </w:rPr>
              <w:instrText xml:space="preserve"> PAGEREF _Toc39140012 \h </w:instrText>
            </w:r>
            <w:r w:rsidR="004736A5">
              <w:rPr>
                <w:noProof/>
                <w:webHidden/>
              </w:rPr>
            </w:r>
            <w:r w:rsidR="004736A5">
              <w:rPr>
                <w:noProof/>
                <w:webHidden/>
              </w:rPr>
              <w:fldChar w:fldCharType="separate"/>
            </w:r>
            <w:r w:rsidR="004736A5">
              <w:rPr>
                <w:noProof/>
                <w:webHidden/>
              </w:rPr>
              <w:t>23</w:t>
            </w:r>
            <w:r w:rsidR="004736A5">
              <w:rPr>
                <w:noProof/>
                <w:webHidden/>
              </w:rPr>
              <w:fldChar w:fldCharType="end"/>
            </w:r>
          </w:hyperlink>
        </w:p>
        <w:p w14:paraId="1D96BAB2" w14:textId="000DAB55" w:rsidR="004736A5" w:rsidRDefault="00120ECE">
          <w:pPr>
            <w:pStyle w:val="TOC2"/>
            <w:tabs>
              <w:tab w:val="left" w:pos="880"/>
              <w:tab w:val="right" w:leader="dot" w:pos="9016"/>
            </w:tabs>
            <w:rPr>
              <w:rFonts w:eastAsiaTheme="minorEastAsia"/>
              <w:noProof/>
              <w:lang w:eastAsia="en-AU"/>
            </w:rPr>
          </w:pPr>
          <w:hyperlink w:anchor="_Toc39140013" w:history="1">
            <w:r w:rsidR="004736A5" w:rsidRPr="00735094">
              <w:rPr>
                <w:rStyle w:val="Hyperlink"/>
                <w:iCs/>
                <w:noProof/>
                <w:spacing w:val="5"/>
              </w:rPr>
              <w:t>4.2</w:t>
            </w:r>
            <w:r w:rsidR="004736A5">
              <w:rPr>
                <w:rFonts w:eastAsiaTheme="minorEastAsia"/>
                <w:noProof/>
                <w:lang w:eastAsia="en-AU"/>
              </w:rPr>
              <w:tab/>
            </w:r>
            <w:r w:rsidR="004736A5" w:rsidRPr="00735094">
              <w:rPr>
                <w:rStyle w:val="Hyperlink"/>
                <w:iCs/>
                <w:noProof/>
                <w:spacing w:val="5"/>
              </w:rPr>
              <w:t>Critical success factors</w:t>
            </w:r>
            <w:r w:rsidR="004736A5">
              <w:rPr>
                <w:noProof/>
                <w:webHidden/>
              </w:rPr>
              <w:tab/>
            </w:r>
            <w:r w:rsidR="004736A5">
              <w:rPr>
                <w:noProof/>
                <w:webHidden/>
              </w:rPr>
              <w:fldChar w:fldCharType="begin"/>
            </w:r>
            <w:r w:rsidR="004736A5">
              <w:rPr>
                <w:noProof/>
                <w:webHidden/>
              </w:rPr>
              <w:instrText xml:space="preserve"> PAGEREF _Toc39140013 \h </w:instrText>
            </w:r>
            <w:r w:rsidR="004736A5">
              <w:rPr>
                <w:noProof/>
                <w:webHidden/>
              </w:rPr>
            </w:r>
            <w:r w:rsidR="004736A5">
              <w:rPr>
                <w:noProof/>
                <w:webHidden/>
              </w:rPr>
              <w:fldChar w:fldCharType="separate"/>
            </w:r>
            <w:r w:rsidR="004736A5">
              <w:rPr>
                <w:noProof/>
                <w:webHidden/>
              </w:rPr>
              <w:t>26</w:t>
            </w:r>
            <w:r w:rsidR="004736A5">
              <w:rPr>
                <w:noProof/>
                <w:webHidden/>
              </w:rPr>
              <w:fldChar w:fldCharType="end"/>
            </w:r>
          </w:hyperlink>
        </w:p>
        <w:p w14:paraId="3A84FF54" w14:textId="31A37EAD" w:rsidR="004736A5" w:rsidRDefault="00120ECE">
          <w:pPr>
            <w:pStyle w:val="TOC2"/>
            <w:tabs>
              <w:tab w:val="left" w:pos="880"/>
              <w:tab w:val="right" w:leader="dot" w:pos="9016"/>
            </w:tabs>
            <w:rPr>
              <w:rFonts w:eastAsiaTheme="minorEastAsia"/>
              <w:noProof/>
              <w:lang w:eastAsia="en-AU"/>
            </w:rPr>
          </w:pPr>
          <w:hyperlink w:anchor="_Toc39140014" w:history="1">
            <w:r w:rsidR="004736A5" w:rsidRPr="00735094">
              <w:rPr>
                <w:rStyle w:val="Hyperlink"/>
                <w:iCs/>
                <w:noProof/>
                <w:spacing w:val="5"/>
              </w:rPr>
              <w:t>4.3</w:t>
            </w:r>
            <w:r w:rsidR="004736A5">
              <w:rPr>
                <w:rFonts w:eastAsiaTheme="minorEastAsia"/>
                <w:noProof/>
                <w:lang w:eastAsia="en-AU"/>
              </w:rPr>
              <w:tab/>
            </w:r>
            <w:r w:rsidR="004736A5" w:rsidRPr="00735094">
              <w:rPr>
                <w:rStyle w:val="Hyperlink"/>
                <w:iCs/>
                <w:noProof/>
                <w:spacing w:val="5"/>
              </w:rPr>
              <w:t>Underpinning operating principles</w:t>
            </w:r>
            <w:r w:rsidR="004736A5">
              <w:rPr>
                <w:noProof/>
                <w:webHidden/>
              </w:rPr>
              <w:tab/>
            </w:r>
            <w:r w:rsidR="004736A5">
              <w:rPr>
                <w:noProof/>
                <w:webHidden/>
              </w:rPr>
              <w:fldChar w:fldCharType="begin"/>
            </w:r>
            <w:r w:rsidR="004736A5">
              <w:rPr>
                <w:noProof/>
                <w:webHidden/>
              </w:rPr>
              <w:instrText xml:space="preserve"> PAGEREF _Toc39140014 \h </w:instrText>
            </w:r>
            <w:r w:rsidR="004736A5">
              <w:rPr>
                <w:noProof/>
                <w:webHidden/>
              </w:rPr>
            </w:r>
            <w:r w:rsidR="004736A5">
              <w:rPr>
                <w:noProof/>
                <w:webHidden/>
              </w:rPr>
              <w:fldChar w:fldCharType="separate"/>
            </w:r>
            <w:r w:rsidR="004736A5">
              <w:rPr>
                <w:noProof/>
                <w:webHidden/>
              </w:rPr>
              <w:t>27</w:t>
            </w:r>
            <w:r w:rsidR="004736A5">
              <w:rPr>
                <w:noProof/>
                <w:webHidden/>
              </w:rPr>
              <w:fldChar w:fldCharType="end"/>
            </w:r>
          </w:hyperlink>
        </w:p>
        <w:p w14:paraId="1B4409FE" w14:textId="77C56316" w:rsidR="004736A5" w:rsidRDefault="00120ECE">
          <w:pPr>
            <w:pStyle w:val="TOC2"/>
            <w:tabs>
              <w:tab w:val="left" w:pos="880"/>
              <w:tab w:val="right" w:leader="dot" w:pos="9016"/>
            </w:tabs>
            <w:rPr>
              <w:rFonts w:eastAsiaTheme="minorEastAsia"/>
              <w:noProof/>
              <w:lang w:eastAsia="en-AU"/>
            </w:rPr>
          </w:pPr>
          <w:hyperlink w:anchor="_Toc39140015" w:history="1">
            <w:r w:rsidR="004736A5" w:rsidRPr="00735094">
              <w:rPr>
                <w:rStyle w:val="Hyperlink"/>
                <w:iCs/>
                <w:noProof/>
                <w:spacing w:val="5"/>
              </w:rPr>
              <w:t>4.4</w:t>
            </w:r>
            <w:r w:rsidR="004736A5">
              <w:rPr>
                <w:rFonts w:eastAsiaTheme="minorEastAsia"/>
                <w:noProof/>
                <w:lang w:eastAsia="en-AU"/>
              </w:rPr>
              <w:tab/>
            </w:r>
            <w:r w:rsidR="004736A5" w:rsidRPr="00735094">
              <w:rPr>
                <w:rStyle w:val="Hyperlink"/>
                <w:iCs/>
                <w:noProof/>
                <w:spacing w:val="5"/>
              </w:rPr>
              <w:t>Target companies and organisations</w:t>
            </w:r>
            <w:r w:rsidR="004736A5">
              <w:rPr>
                <w:noProof/>
                <w:webHidden/>
              </w:rPr>
              <w:tab/>
            </w:r>
            <w:r w:rsidR="004736A5">
              <w:rPr>
                <w:noProof/>
                <w:webHidden/>
              </w:rPr>
              <w:fldChar w:fldCharType="begin"/>
            </w:r>
            <w:r w:rsidR="004736A5">
              <w:rPr>
                <w:noProof/>
                <w:webHidden/>
              </w:rPr>
              <w:instrText xml:space="preserve"> PAGEREF _Toc39140015 \h </w:instrText>
            </w:r>
            <w:r w:rsidR="004736A5">
              <w:rPr>
                <w:noProof/>
                <w:webHidden/>
              </w:rPr>
            </w:r>
            <w:r w:rsidR="004736A5">
              <w:rPr>
                <w:noProof/>
                <w:webHidden/>
              </w:rPr>
              <w:fldChar w:fldCharType="separate"/>
            </w:r>
            <w:r w:rsidR="004736A5">
              <w:rPr>
                <w:noProof/>
                <w:webHidden/>
              </w:rPr>
              <w:t>28</w:t>
            </w:r>
            <w:r w:rsidR="004736A5">
              <w:rPr>
                <w:noProof/>
                <w:webHidden/>
              </w:rPr>
              <w:fldChar w:fldCharType="end"/>
            </w:r>
          </w:hyperlink>
        </w:p>
        <w:p w14:paraId="1C400BE6" w14:textId="2A7CFB4F" w:rsidR="004736A5" w:rsidRDefault="00120ECE">
          <w:pPr>
            <w:pStyle w:val="TOC2"/>
            <w:tabs>
              <w:tab w:val="left" w:pos="880"/>
              <w:tab w:val="right" w:leader="dot" w:pos="9016"/>
            </w:tabs>
            <w:rPr>
              <w:rFonts w:eastAsiaTheme="minorEastAsia"/>
              <w:noProof/>
              <w:lang w:eastAsia="en-AU"/>
            </w:rPr>
          </w:pPr>
          <w:hyperlink w:anchor="_Toc39140016" w:history="1">
            <w:r w:rsidR="004736A5" w:rsidRPr="00735094">
              <w:rPr>
                <w:rStyle w:val="Hyperlink"/>
                <w:iCs/>
                <w:noProof/>
                <w:spacing w:val="5"/>
              </w:rPr>
              <w:t>4.5</w:t>
            </w:r>
            <w:r w:rsidR="004736A5">
              <w:rPr>
                <w:rFonts w:eastAsiaTheme="minorEastAsia"/>
                <w:noProof/>
                <w:lang w:eastAsia="en-AU"/>
              </w:rPr>
              <w:tab/>
            </w:r>
            <w:r w:rsidR="004736A5" w:rsidRPr="00735094">
              <w:rPr>
                <w:rStyle w:val="Hyperlink"/>
                <w:iCs/>
                <w:noProof/>
                <w:spacing w:val="5"/>
              </w:rPr>
              <w:t>Phasing of the voluntary commitment</w:t>
            </w:r>
            <w:r w:rsidR="004736A5">
              <w:rPr>
                <w:noProof/>
                <w:webHidden/>
              </w:rPr>
              <w:tab/>
            </w:r>
            <w:r w:rsidR="004736A5">
              <w:rPr>
                <w:noProof/>
                <w:webHidden/>
              </w:rPr>
              <w:fldChar w:fldCharType="begin"/>
            </w:r>
            <w:r w:rsidR="004736A5">
              <w:rPr>
                <w:noProof/>
                <w:webHidden/>
              </w:rPr>
              <w:instrText xml:space="preserve"> PAGEREF _Toc39140016 \h </w:instrText>
            </w:r>
            <w:r w:rsidR="004736A5">
              <w:rPr>
                <w:noProof/>
                <w:webHidden/>
              </w:rPr>
            </w:r>
            <w:r w:rsidR="004736A5">
              <w:rPr>
                <w:noProof/>
                <w:webHidden/>
              </w:rPr>
              <w:fldChar w:fldCharType="separate"/>
            </w:r>
            <w:r w:rsidR="004736A5">
              <w:rPr>
                <w:noProof/>
                <w:webHidden/>
              </w:rPr>
              <w:t>28</w:t>
            </w:r>
            <w:r w:rsidR="004736A5">
              <w:rPr>
                <w:noProof/>
                <w:webHidden/>
              </w:rPr>
              <w:fldChar w:fldCharType="end"/>
            </w:r>
          </w:hyperlink>
        </w:p>
        <w:p w14:paraId="601539FD" w14:textId="0AA57391" w:rsidR="004736A5" w:rsidRDefault="00120ECE">
          <w:pPr>
            <w:pStyle w:val="TOC2"/>
            <w:tabs>
              <w:tab w:val="left" w:pos="880"/>
              <w:tab w:val="right" w:leader="dot" w:pos="9016"/>
            </w:tabs>
            <w:rPr>
              <w:rFonts w:eastAsiaTheme="minorEastAsia"/>
              <w:noProof/>
              <w:lang w:eastAsia="en-AU"/>
            </w:rPr>
          </w:pPr>
          <w:hyperlink w:anchor="_Toc39140017" w:history="1">
            <w:r w:rsidR="004736A5" w:rsidRPr="00735094">
              <w:rPr>
                <w:rStyle w:val="Hyperlink"/>
                <w:iCs/>
                <w:noProof/>
                <w:spacing w:val="5"/>
              </w:rPr>
              <w:t>4.6</w:t>
            </w:r>
            <w:r w:rsidR="004736A5">
              <w:rPr>
                <w:rFonts w:eastAsiaTheme="minorEastAsia"/>
                <w:noProof/>
                <w:lang w:eastAsia="en-AU"/>
              </w:rPr>
              <w:tab/>
            </w:r>
            <w:r w:rsidR="004736A5" w:rsidRPr="00735094">
              <w:rPr>
                <w:rStyle w:val="Hyperlink"/>
                <w:iCs/>
                <w:noProof/>
                <w:spacing w:val="5"/>
              </w:rPr>
              <w:t>Target setting framework and the use of a balanced scorecard approach</w:t>
            </w:r>
            <w:r w:rsidR="004736A5">
              <w:rPr>
                <w:noProof/>
                <w:webHidden/>
              </w:rPr>
              <w:tab/>
            </w:r>
            <w:r w:rsidR="004736A5">
              <w:rPr>
                <w:noProof/>
                <w:webHidden/>
              </w:rPr>
              <w:fldChar w:fldCharType="begin"/>
            </w:r>
            <w:r w:rsidR="004736A5">
              <w:rPr>
                <w:noProof/>
                <w:webHidden/>
              </w:rPr>
              <w:instrText xml:space="preserve"> PAGEREF _Toc39140017 \h </w:instrText>
            </w:r>
            <w:r w:rsidR="004736A5">
              <w:rPr>
                <w:noProof/>
                <w:webHidden/>
              </w:rPr>
            </w:r>
            <w:r w:rsidR="004736A5">
              <w:rPr>
                <w:noProof/>
                <w:webHidden/>
              </w:rPr>
              <w:fldChar w:fldCharType="separate"/>
            </w:r>
            <w:r w:rsidR="004736A5">
              <w:rPr>
                <w:noProof/>
                <w:webHidden/>
              </w:rPr>
              <w:t>29</w:t>
            </w:r>
            <w:r w:rsidR="004736A5">
              <w:rPr>
                <w:noProof/>
                <w:webHidden/>
              </w:rPr>
              <w:fldChar w:fldCharType="end"/>
            </w:r>
          </w:hyperlink>
        </w:p>
        <w:p w14:paraId="295E8B09" w14:textId="2E156587" w:rsidR="004736A5" w:rsidRDefault="00120ECE">
          <w:pPr>
            <w:pStyle w:val="TOC1"/>
            <w:rPr>
              <w:rFonts w:eastAsiaTheme="minorEastAsia"/>
              <w:noProof/>
              <w:lang w:eastAsia="en-AU"/>
            </w:rPr>
          </w:pPr>
          <w:hyperlink w:anchor="_Toc39140018" w:history="1">
            <w:r w:rsidR="004736A5" w:rsidRPr="00735094">
              <w:rPr>
                <w:rStyle w:val="Hyperlink"/>
                <w:noProof/>
              </w:rPr>
              <w:t>5.</w:t>
            </w:r>
            <w:r w:rsidR="004736A5">
              <w:rPr>
                <w:rFonts w:eastAsiaTheme="minorEastAsia"/>
                <w:noProof/>
                <w:lang w:eastAsia="en-AU"/>
              </w:rPr>
              <w:tab/>
            </w:r>
            <w:r w:rsidR="004736A5" w:rsidRPr="00735094">
              <w:rPr>
                <w:rStyle w:val="Hyperlink"/>
                <w:noProof/>
              </w:rPr>
              <w:t>Ensuring long-term funding</w:t>
            </w:r>
            <w:r w:rsidR="004736A5">
              <w:rPr>
                <w:noProof/>
                <w:webHidden/>
              </w:rPr>
              <w:tab/>
            </w:r>
            <w:r w:rsidR="004736A5">
              <w:rPr>
                <w:noProof/>
                <w:webHidden/>
              </w:rPr>
              <w:fldChar w:fldCharType="begin"/>
            </w:r>
            <w:r w:rsidR="004736A5">
              <w:rPr>
                <w:noProof/>
                <w:webHidden/>
              </w:rPr>
              <w:instrText xml:space="preserve"> PAGEREF _Toc39140018 \h </w:instrText>
            </w:r>
            <w:r w:rsidR="004736A5">
              <w:rPr>
                <w:noProof/>
                <w:webHidden/>
              </w:rPr>
            </w:r>
            <w:r w:rsidR="004736A5">
              <w:rPr>
                <w:noProof/>
                <w:webHidden/>
              </w:rPr>
              <w:fldChar w:fldCharType="separate"/>
            </w:r>
            <w:r w:rsidR="004736A5">
              <w:rPr>
                <w:noProof/>
                <w:webHidden/>
              </w:rPr>
              <w:t>31</w:t>
            </w:r>
            <w:r w:rsidR="004736A5">
              <w:rPr>
                <w:noProof/>
                <w:webHidden/>
              </w:rPr>
              <w:fldChar w:fldCharType="end"/>
            </w:r>
          </w:hyperlink>
        </w:p>
        <w:p w14:paraId="2B088FDE" w14:textId="65A4B885" w:rsidR="004736A5" w:rsidRDefault="00120ECE">
          <w:pPr>
            <w:pStyle w:val="TOC1"/>
            <w:rPr>
              <w:rFonts w:eastAsiaTheme="minorEastAsia"/>
              <w:noProof/>
              <w:lang w:eastAsia="en-AU"/>
            </w:rPr>
          </w:pPr>
          <w:hyperlink w:anchor="_Toc39140019" w:history="1">
            <w:r w:rsidR="004736A5" w:rsidRPr="00735094">
              <w:rPr>
                <w:rStyle w:val="Hyperlink"/>
                <w:noProof/>
              </w:rPr>
              <w:t>6.</w:t>
            </w:r>
            <w:r w:rsidR="004736A5">
              <w:rPr>
                <w:rFonts w:eastAsiaTheme="minorEastAsia"/>
                <w:noProof/>
                <w:lang w:eastAsia="en-AU"/>
              </w:rPr>
              <w:tab/>
            </w:r>
            <w:r w:rsidR="004736A5" w:rsidRPr="00735094">
              <w:rPr>
                <w:rStyle w:val="Hyperlink"/>
                <w:noProof/>
              </w:rPr>
              <w:t>Measuring progress and impact</w:t>
            </w:r>
            <w:r w:rsidR="004736A5">
              <w:rPr>
                <w:noProof/>
                <w:webHidden/>
              </w:rPr>
              <w:tab/>
            </w:r>
            <w:r w:rsidR="004736A5">
              <w:rPr>
                <w:noProof/>
                <w:webHidden/>
              </w:rPr>
              <w:fldChar w:fldCharType="begin"/>
            </w:r>
            <w:r w:rsidR="004736A5">
              <w:rPr>
                <w:noProof/>
                <w:webHidden/>
              </w:rPr>
              <w:instrText xml:space="preserve"> PAGEREF _Toc39140019 \h </w:instrText>
            </w:r>
            <w:r w:rsidR="004736A5">
              <w:rPr>
                <w:noProof/>
                <w:webHidden/>
              </w:rPr>
            </w:r>
            <w:r w:rsidR="004736A5">
              <w:rPr>
                <w:noProof/>
                <w:webHidden/>
              </w:rPr>
              <w:fldChar w:fldCharType="separate"/>
            </w:r>
            <w:r w:rsidR="004736A5">
              <w:rPr>
                <w:noProof/>
                <w:webHidden/>
              </w:rPr>
              <w:t>32</w:t>
            </w:r>
            <w:r w:rsidR="004736A5">
              <w:rPr>
                <w:noProof/>
                <w:webHidden/>
              </w:rPr>
              <w:fldChar w:fldCharType="end"/>
            </w:r>
          </w:hyperlink>
        </w:p>
        <w:p w14:paraId="028408F3" w14:textId="00249A82" w:rsidR="004736A5" w:rsidRDefault="00120ECE">
          <w:pPr>
            <w:pStyle w:val="TOC1"/>
            <w:rPr>
              <w:rFonts w:eastAsiaTheme="minorEastAsia"/>
              <w:noProof/>
              <w:lang w:eastAsia="en-AU"/>
            </w:rPr>
          </w:pPr>
          <w:hyperlink w:anchor="_Toc39140020" w:history="1">
            <w:r w:rsidR="004736A5" w:rsidRPr="00735094">
              <w:rPr>
                <w:rStyle w:val="Hyperlink"/>
                <w:noProof/>
              </w:rPr>
              <w:t>7.</w:t>
            </w:r>
            <w:r w:rsidR="004736A5">
              <w:rPr>
                <w:rFonts w:eastAsiaTheme="minorEastAsia"/>
                <w:noProof/>
                <w:lang w:eastAsia="en-AU"/>
              </w:rPr>
              <w:tab/>
            </w:r>
            <w:r w:rsidR="004736A5" w:rsidRPr="00735094">
              <w:rPr>
                <w:rStyle w:val="Hyperlink"/>
                <w:noProof/>
              </w:rPr>
              <w:t>Summary and recommendations</w:t>
            </w:r>
            <w:r w:rsidR="004736A5">
              <w:rPr>
                <w:noProof/>
                <w:webHidden/>
              </w:rPr>
              <w:tab/>
            </w:r>
            <w:r w:rsidR="004736A5">
              <w:rPr>
                <w:noProof/>
                <w:webHidden/>
              </w:rPr>
              <w:fldChar w:fldCharType="begin"/>
            </w:r>
            <w:r w:rsidR="004736A5">
              <w:rPr>
                <w:noProof/>
                <w:webHidden/>
              </w:rPr>
              <w:instrText xml:space="preserve"> PAGEREF _Toc39140020 \h </w:instrText>
            </w:r>
            <w:r w:rsidR="004736A5">
              <w:rPr>
                <w:noProof/>
                <w:webHidden/>
              </w:rPr>
            </w:r>
            <w:r w:rsidR="004736A5">
              <w:rPr>
                <w:noProof/>
                <w:webHidden/>
              </w:rPr>
              <w:fldChar w:fldCharType="separate"/>
            </w:r>
            <w:r w:rsidR="004736A5">
              <w:rPr>
                <w:noProof/>
                <w:webHidden/>
              </w:rPr>
              <w:t>35</w:t>
            </w:r>
            <w:r w:rsidR="004736A5">
              <w:rPr>
                <w:noProof/>
                <w:webHidden/>
              </w:rPr>
              <w:fldChar w:fldCharType="end"/>
            </w:r>
          </w:hyperlink>
        </w:p>
        <w:p w14:paraId="1E5808D4" w14:textId="6EA75F1A" w:rsidR="004736A5" w:rsidRDefault="00120ECE" w:rsidP="004736A5">
          <w:pPr>
            <w:pStyle w:val="TOC1"/>
            <w:ind w:left="0" w:firstLine="0"/>
            <w:rPr>
              <w:rFonts w:eastAsiaTheme="minorEastAsia"/>
              <w:noProof/>
              <w:lang w:eastAsia="en-AU"/>
            </w:rPr>
          </w:pPr>
          <w:hyperlink w:anchor="_Toc39140021" w:history="1">
            <w:r w:rsidR="004736A5" w:rsidRPr="00735094">
              <w:rPr>
                <w:rStyle w:val="Hyperlink"/>
                <w:noProof/>
              </w:rPr>
              <w:t>Annex A: The National Food Waste Strategy and the policy context for reducing food waste in Australia</w:t>
            </w:r>
            <w:r w:rsidR="004736A5">
              <w:rPr>
                <w:noProof/>
                <w:webHidden/>
              </w:rPr>
              <w:tab/>
            </w:r>
            <w:r w:rsidR="004736A5">
              <w:rPr>
                <w:noProof/>
                <w:webHidden/>
              </w:rPr>
              <w:fldChar w:fldCharType="begin"/>
            </w:r>
            <w:r w:rsidR="004736A5">
              <w:rPr>
                <w:noProof/>
                <w:webHidden/>
              </w:rPr>
              <w:instrText xml:space="preserve"> PAGEREF _Toc39140021 \h </w:instrText>
            </w:r>
            <w:r w:rsidR="004736A5">
              <w:rPr>
                <w:noProof/>
                <w:webHidden/>
              </w:rPr>
            </w:r>
            <w:r w:rsidR="004736A5">
              <w:rPr>
                <w:noProof/>
                <w:webHidden/>
              </w:rPr>
              <w:fldChar w:fldCharType="separate"/>
            </w:r>
            <w:r w:rsidR="004736A5">
              <w:rPr>
                <w:noProof/>
                <w:webHidden/>
              </w:rPr>
              <w:t>36</w:t>
            </w:r>
            <w:r w:rsidR="004736A5">
              <w:rPr>
                <w:noProof/>
                <w:webHidden/>
              </w:rPr>
              <w:fldChar w:fldCharType="end"/>
            </w:r>
          </w:hyperlink>
        </w:p>
        <w:p w14:paraId="039CB1EF" w14:textId="3257697C" w:rsidR="0093244A" w:rsidRDefault="0093244A">
          <w:r>
            <w:rPr>
              <w:b/>
              <w:bCs/>
              <w:noProof/>
            </w:rPr>
            <w:fldChar w:fldCharType="end"/>
          </w:r>
        </w:p>
      </w:sdtContent>
    </w:sdt>
    <w:p w14:paraId="26470081" w14:textId="77777777" w:rsidR="00684571" w:rsidRDefault="00684571">
      <w:pPr>
        <w:rPr>
          <w:b/>
          <w:bCs/>
          <w:color w:val="2F5496" w:themeColor="accent1" w:themeShade="BF"/>
          <w:sz w:val="32"/>
          <w:szCs w:val="32"/>
        </w:rPr>
      </w:pPr>
      <w:r>
        <w:rPr>
          <w:b/>
          <w:bCs/>
          <w:color w:val="2F5496" w:themeColor="accent1" w:themeShade="BF"/>
          <w:sz w:val="32"/>
          <w:szCs w:val="32"/>
        </w:rPr>
        <w:br w:type="page"/>
      </w:r>
    </w:p>
    <w:p w14:paraId="71162BC2" w14:textId="7EF8B50F" w:rsidR="001C482D" w:rsidRDefault="001C482D">
      <w:pPr>
        <w:rPr>
          <w:b/>
          <w:bCs/>
          <w:color w:val="2F5496" w:themeColor="accent1" w:themeShade="BF"/>
          <w:sz w:val="32"/>
          <w:szCs w:val="32"/>
        </w:rPr>
      </w:pPr>
      <w:r>
        <w:rPr>
          <w:b/>
          <w:bCs/>
          <w:color w:val="2F5496" w:themeColor="accent1" w:themeShade="BF"/>
          <w:sz w:val="32"/>
          <w:szCs w:val="32"/>
        </w:rPr>
        <w:lastRenderedPageBreak/>
        <w:t>List of Figures</w:t>
      </w:r>
    </w:p>
    <w:p w14:paraId="4B25B691" w14:textId="63AAB9A5" w:rsidR="001C482D" w:rsidRPr="001C482D" w:rsidRDefault="001C482D" w:rsidP="001C482D">
      <w:pPr>
        <w:pStyle w:val="TableofFigures"/>
        <w:tabs>
          <w:tab w:val="right" w:leader="dot" w:pos="9016"/>
        </w:tabs>
        <w:spacing w:after="120"/>
        <w:rPr>
          <w:noProof/>
        </w:rPr>
      </w:pPr>
      <w:r>
        <w:rPr>
          <w:b/>
          <w:bCs/>
          <w:color w:val="2F5496" w:themeColor="accent1" w:themeShade="BF"/>
          <w:sz w:val="32"/>
          <w:szCs w:val="32"/>
        </w:rPr>
        <w:fldChar w:fldCharType="begin"/>
      </w:r>
      <w:r>
        <w:rPr>
          <w:b/>
          <w:bCs/>
          <w:color w:val="2F5496" w:themeColor="accent1" w:themeShade="BF"/>
          <w:sz w:val="32"/>
          <w:szCs w:val="32"/>
        </w:rPr>
        <w:instrText xml:space="preserve"> TOC \h \z \c "Figure" </w:instrText>
      </w:r>
      <w:r>
        <w:rPr>
          <w:b/>
          <w:bCs/>
          <w:color w:val="2F5496" w:themeColor="accent1" w:themeShade="BF"/>
          <w:sz w:val="32"/>
          <w:szCs w:val="32"/>
        </w:rPr>
        <w:fldChar w:fldCharType="separate"/>
      </w:r>
      <w:hyperlink w:anchor="_Toc37942995" w:history="1">
        <w:r w:rsidRPr="004653FC">
          <w:rPr>
            <w:rStyle w:val="Hyperlink"/>
            <w:b/>
            <w:bCs/>
            <w:noProof/>
            <w:color w:val="2F5496" w:themeColor="accent1" w:themeShade="BF"/>
          </w:rPr>
          <w:t>Figure 1</w:t>
        </w:r>
        <w:r w:rsidRPr="001C482D">
          <w:rPr>
            <w:rStyle w:val="Hyperlink"/>
            <w:b/>
            <w:bCs/>
            <w:noProof/>
            <w:color w:val="auto"/>
          </w:rPr>
          <w:t>:</w:t>
        </w:r>
        <w:r w:rsidRPr="001C482D">
          <w:rPr>
            <w:rStyle w:val="Hyperlink"/>
            <w:noProof/>
            <w:color w:val="auto"/>
          </w:rPr>
          <w:t xml:space="preserve"> Situational snapshot of food waste in Australia</w:t>
        </w:r>
        <w:r w:rsidRPr="001C482D">
          <w:rPr>
            <w:noProof/>
            <w:webHidden/>
          </w:rPr>
          <w:tab/>
        </w:r>
        <w:r w:rsidRPr="001C482D">
          <w:rPr>
            <w:noProof/>
            <w:webHidden/>
          </w:rPr>
          <w:fldChar w:fldCharType="begin"/>
        </w:r>
        <w:r w:rsidRPr="001C482D">
          <w:rPr>
            <w:noProof/>
            <w:webHidden/>
          </w:rPr>
          <w:instrText xml:space="preserve"> PAGEREF _Toc37942995 \h </w:instrText>
        </w:r>
        <w:r w:rsidRPr="001C482D">
          <w:rPr>
            <w:noProof/>
            <w:webHidden/>
          </w:rPr>
        </w:r>
        <w:r w:rsidRPr="001C482D">
          <w:rPr>
            <w:noProof/>
            <w:webHidden/>
          </w:rPr>
          <w:fldChar w:fldCharType="separate"/>
        </w:r>
        <w:r w:rsidRPr="001C482D">
          <w:rPr>
            <w:noProof/>
            <w:webHidden/>
          </w:rPr>
          <w:t>4</w:t>
        </w:r>
        <w:r w:rsidRPr="001C482D">
          <w:rPr>
            <w:noProof/>
            <w:webHidden/>
          </w:rPr>
          <w:fldChar w:fldCharType="end"/>
        </w:r>
      </w:hyperlink>
    </w:p>
    <w:p w14:paraId="00D9AFAC" w14:textId="2D3BD5DA" w:rsidR="001C482D" w:rsidRPr="004653FC" w:rsidRDefault="00120ECE" w:rsidP="001C482D">
      <w:pPr>
        <w:pStyle w:val="TableofFigures"/>
        <w:tabs>
          <w:tab w:val="right" w:leader="dot" w:pos="9016"/>
        </w:tabs>
        <w:spacing w:after="120"/>
        <w:rPr>
          <w:noProof/>
          <w:color w:val="2F5496" w:themeColor="accent1" w:themeShade="BF"/>
        </w:rPr>
      </w:pPr>
      <w:hyperlink w:anchor="_Toc37942996" w:history="1">
        <w:r w:rsidR="001C482D" w:rsidRPr="004653FC">
          <w:rPr>
            <w:rStyle w:val="Hyperlink"/>
            <w:b/>
            <w:bCs/>
            <w:noProof/>
            <w:color w:val="2F5496" w:themeColor="accent1" w:themeShade="BF"/>
          </w:rPr>
          <w:t>Figure 2</w:t>
        </w:r>
        <w:r w:rsidR="001C482D" w:rsidRPr="004653FC">
          <w:rPr>
            <w:rStyle w:val="Hyperlink"/>
            <w:noProof/>
            <w:color w:val="2F5496" w:themeColor="accent1" w:themeShade="BF"/>
          </w:rPr>
          <w:t xml:space="preserve">: </w:t>
        </w:r>
        <w:r w:rsidR="001C482D" w:rsidRPr="004653FC">
          <w:rPr>
            <w:rStyle w:val="Hyperlink"/>
            <w:noProof/>
            <w:color w:val="auto"/>
          </w:rPr>
          <w:t>Illustration of the concept of the food recovery hierarchy, the tonnages of food and food waste present at each of the levels of the hierarchy in Australia according to the March 2019 Arcadis baseline study and desired 2030 outcomes.</w:t>
        </w:r>
        <w:r w:rsidR="001C482D" w:rsidRPr="004653FC">
          <w:rPr>
            <w:noProof/>
            <w:webHidden/>
          </w:rPr>
          <w:tab/>
        </w:r>
        <w:r w:rsidR="001C482D" w:rsidRPr="004653FC">
          <w:rPr>
            <w:noProof/>
            <w:webHidden/>
          </w:rPr>
          <w:fldChar w:fldCharType="begin"/>
        </w:r>
        <w:r w:rsidR="001C482D" w:rsidRPr="004653FC">
          <w:rPr>
            <w:noProof/>
            <w:webHidden/>
          </w:rPr>
          <w:instrText xml:space="preserve"> PAGEREF _Toc37942996 \h </w:instrText>
        </w:r>
        <w:r w:rsidR="001C482D" w:rsidRPr="004653FC">
          <w:rPr>
            <w:noProof/>
            <w:webHidden/>
          </w:rPr>
        </w:r>
        <w:r w:rsidR="001C482D" w:rsidRPr="004653FC">
          <w:rPr>
            <w:noProof/>
            <w:webHidden/>
          </w:rPr>
          <w:fldChar w:fldCharType="separate"/>
        </w:r>
        <w:r w:rsidR="001C482D" w:rsidRPr="004653FC">
          <w:rPr>
            <w:noProof/>
            <w:webHidden/>
          </w:rPr>
          <w:t>5</w:t>
        </w:r>
        <w:r w:rsidR="001C482D" w:rsidRPr="004653FC">
          <w:rPr>
            <w:noProof/>
            <w:webHidden/>
          </w:rPr>
          <w:fldChar w:fldCharType="end"/>
        </w:r>
      </w:hyperlink>
    </w:p>
    <w:p w14:paraId="3A35088A" w14:textId="1B6228F9" w:rsidR="001C482D" w:rsidRPr="004653FC" w:rsidRDefault="00120ECE" w:rsidP="001C482D">
      <w:pPr>
        <w:pStyle w:val="TableofFigures"/>
        <w:tabs>
          <w:tab w:val="right" w:leader="dot" w:pos="9016"/>
        </w:tabs>
        <w:spacing w:after="120"/>
        <w:rPr>
          <w:noProof/>
          <w:color w:val="2F5496" w:themeColor="accent1" w:themeShade="BF"/>
        </w:rPr>
      </w:pPr>
      <w:hyperlink w:anchor="_Toc37942997" w:history="1">
        <w:r w:rsidR="001C482D" w:rsidRPr="004653FC">
          <w:rPr>
            <w:rStyle w:val="Hyperlink"/>
            <w:b/>
            <w:bCs/>
            <w:noProof/>
            <w:color w:val="2F5496" w:themeColor="accent1" w:themeShade="BF"/>
          </w:rPr>
          <w:t xml:space="preserve">Figure 3: </w:t>
        </w:r>
        <w:r w:rsidR="001C482D" w:rsidRPr="004653FC">
          <w:rPr>
            <w:rStyle w:val="Hyperlink"/>
            <w:noProof/>
            <w:color w:val="auto"/>
          </w:rPr>
          <w:t>the business case for reducing food loss and waste (Champions 12.3 analysis of 1,200 sites, from 200 companies in 17 countries)</w:t>
        </w:r>
        <w:r w:rsidR="001C482D" w:rsidRPr="004653FC">
          <w:rPr>
            <w:noProof/>
            <w:webHidden/>
          </w:rPr>
          <w:tab/>
        </w:r>
        <w:r w:rsidR="001C482D" w:rsidRPr="004653FC">
          <w:rPr>
            <w:noProof/>
            <w:webHidden/>
          </w:rPr>
          <w:fldChar w:fldCharType="begin"/>
        </w:r>
        <w:r w:rsidR="001C482D" w:rsidRPr="004653FC">
          <w:rPr>
            <w:noProof/>
            <w:webHidden/>
          </w:rPr>
          <w:instrText xml:space="preserve"> PAGEREF _Toc37942997 \h </w:instrText>
        </w:r>
        <w:r w:rsidR="001C482D" w:rsidRPr="004653FC">
          <w:rPr>
            <w:noProof/>
            <w:webHidden/>
          </w:rPr>
        </w:r>
        <w:r w:rsidR="001C482D" w:rsidRPr="004653FC">
          <w:rPr>
            <w:noProof/>
            <w:webHidden/>
          </w:rPr>
          <w:fldChar w:fldCharType="separate"/>
        </w:r>
        <w:r w:rsidR="001C482D" w:rsidRPr="004653FC">
          <w:rPr>
            <w:noProof/>
            <w:webHidden/>
          </w:rPr>
          <w:t>7</w:t>
        </w:r>
        <w:r w:rsidR="001C482D" w:rsidRPr="004653FC">
          <w:rPr>
            <w:noProof/>
            <w:webHidden/>
          </w:rPr>
          <w:fldChar w:fldCharType="end"/>
        </w:r>
      </w:hyperlink>
    </w:p>
    <w:p w14:paraId="1F9572AC" w14:textId="5A8F20BE" w:rsidR="001C482D" w:rsidRPr="004653FC" w:rsidRDefault="00120ECE" w:rsidP="001C482D">
      <w:pPr>
        <w:pStyle w:val="TableofFigures"/>
        <w:tabs>
          <w:tab w:val="right" w:leader="dot" w:pos="9016"/>
        </w:tabs>
        <w:spacing w:after="120"/>
        <w:rPr>
          <w:noProof/>
          <w:color w:val="2F5496" w:themeColor="accent1" w:themeShade="BF"/>
        </w:rPr>
      </w:pPr>
      <w:hyperlink w:anchor="_Toc37942998" w:history="1">
        <w:r w:rsidR="001C482D" w:rsidRPr="004653FC">
          <w:rPr>
            <w:rStyle w:val="Hyperlink"/>
            <w:b/>
            <w:bCs/>
            <w:noProof/>
            <w:color w:val="2F5496" w:themeColor="accent1" w:themeShade="BF"/>
          </w:rPr>
          <w:t xml:space="preserve">Figure 4: </w:t>
        </w:r>
        <w:r w:rsidR="001C482D" w:rsidRPr="004653FC">
          <w:rPr>
            <w:rStyle w:val="Hyperlink"/>
            <w:noProof/>
            <w:color w:val="auto"/>
          </w:rPr>
          <w:t>the vision and objectives of the voluntary commitment program</w:t>
        </w:r>
        <w:r w:rsidR="001C482D" w:rsidRPr="004653FC">
          <w:rPr>
            <w:noProof/>
            <w:webHidden/>
          </w:rPr>
          <w:tab/>
        </w:r>
        <w:r w:rsidR="001C482D" w:rsidRPr="004653FC">
          <w:rPr>
            <w:noProof/>
            <w:webHidden/>
          </w:rPr>
          <w:fldChar w:fldCharType="begin"/>
        </w:r>
        <w:r w:rsidR="001C482D" w:rsidRPr="004653FC">
          <w:rPr>
            <w:noProof/>
            <w:webHidden/>
          </w:rPr>
          <w:instrText xml:space="preserve"> PAGEREF _Toc37942998 \h </w:instrText>
        </w:r>
        <w:r w:rsidR="001C482D" w:rsidRPr="004653FC">
          <w:rPr>
            <w:noProof/>
            <w:webHidden/>
          </w:rPr>
        </w:r>
        <w:r w:rsidR="001C482D" w:rsidRPr="004653FC">
          <w:rPr>
            <w:noProof/>
            <w:webHidden/>
          </w:rPr>
          <w:fldChar w:fldCharType="separate"/>
        </w:r>
        <w:r w:rsidR="001C482D" w:rsidRPr="004653FC">
          <w:rPr>
            <w:noProof/>
            <w:webHidden/>
          </w:rPr>
          <w:t>10</w:t>
        </w:r>
        <w:r w:rsidR="001C482D" w:rsidRPr="004653FC">
          <w:rPr>
            <w:noProof/>
            <w:webHidden/>
          </w:rPr>
          <w:fldChar w:fldCharType="end"/>
        </w:r>
      </w:hyperlink>
    </w:p>
    <w:p w14:paraId="435CFBF0" w14:textId="2AAA26E3" w:rsidR="001C482D" w:rsidRPr="004653FC" w:rsidRDefault="00120ECE" w:rsidP="001C482D">
      <w:pPr>
        <w:pStyle w:val="TableofFigures"/>
        <w:tabs>
          <w:tab w:val="right" w:leader="dot" w:pos="9016"/>
        </w:tabs>
        <w:spacing w:after="120"/>
        <w:rPr>
          <w:noProof/>
          <w:color w:val="2F5496" w:themeColor="accent1" w:themeShade="BF"/>
        </w:rPr>
      </w:pPr>
      <w:hyperlink w:anchor="_Toc37942999" w:history="1">
        <w:r w:rsidR="001C482D" w:rsidRPr="004653FC">
          <w:rPr>
            <w:rStyle w:val="Hyperlink"/>
            <w:rFonts w:cstheme="minorHAnsi"/>
            <w:b/>
            <w:bCs/>
            <w:noProof/>
            <w:color w:val="2F5496" w:themeColor="accent1" w:themeShade="BF"/>
          </w:rPr>
          <w:t xml:space="preserve">Figure </w:t>
        </w:r>
        <w:r w:rsidR="001C482D" w:rsidRPr="004653FC">
          <w:rPr>
            <w:rStyle w:val="Hyperlink"/>
            <w:b/>
            <w:bCs/>
            <w:noProof/>
            <w:color w:val="2F5496" w:themeColor="accent1" w:themeShade="BF"/>
          </w:rPr>
          <w:t>5</w:t>
        </w:r>
        <w:r w:rsidR="001C482D" w:rsidRPr="004653FC">
          <w:rPr>
            <w:rStyle w:val="Hyperlink"/>
            <w:rFonts w:cstheme="minorHAnsi"/>
            <w:b/>
            <w:bCs/>
            <w:noProof/>
            <w:color w:val="2F5496" w:themeColor="accent1" w:themeShade="BF"/>
          </w:rPr>
          <w:t>:</w:t>
        </w:r>
        <w:r w:rsidR="001C482D" w:rsidRPr="004653FC">
          <w:rPr>
            <w:rStyle w:val="Hyperlink"/>
            <w:rFonts w:cstheme="minorHAnsi"/>
            <w:noProof/>
            <w:color w:val="2F5496" w:themeColor="accent1" w:themeShade="BF"/>
          </w:rPr>
          <w:t xml:space="preserve"> </w:t>
        </w:r>
        <w:r w:rsidR="001C482D" w:rsidRPr="004653FC">
          <w:rPr>
            <w:rStyle w:val="Hyperlink"/>
            <w:rFonts w:cstheme="minorHAnsi"/>
            <w:noProof/>
            <w:color w:val="auto"/>
          </w:rPr>
          <w:t>summary of the four main components in the voluntary commitment program that signatories are required to participate in and their intended outcomes. It provides the flexibility to allow signatories to focus on activities that generate the most impact in their own organisations and across the food value chain.</w:t>
        </w:r>
        <w:r w:rsidR="001C482D" w:rsidRPr="004653FC">
          <w:rPr>
            <w:noProof/>
            <w:webHidden/>
          </w:rPr>
          <w:tab/>
        </w:r>
        <w:r w:rsidR="001C482D" w:rsidRPr="004653FC">
          <w:rPr>
            <w:noProof/>
            <w:webHidden/>
          </w:rPr>
          <w:fldChar w:fldCharType="begin"/>
        </w:r>
        <w:r w:rsidR="001C482D" w:rsidRPr="004653FC">
          <w:rPr>
            <w:noProof/>
            <w:webHidden/>
          </w:rPr>
          <w:instrText xml:space="preserve"> PAGEREF _Toc37942999 \h </w:instrText>
        </w:r>
        <w:r w:rsidR="001C482D" w:rsidRPr="004653FC">
          <w:rPr>
            <w:noProof/>
            <w:webHidden/>
          </w:rPr>
        </w:r>
        <w:r w:rsidR="001C482D" w:rsidRPr="004653FC">
          <w:rPr>
            <w:noProof/>
            <w:webHidden/>
          </w:rPr>
          <w:fldChar w:fldCharType="separate"/>
        </w:r>
        <w:r w:rsidR="001C482D" w:rsidRPr="004653FC">
          <w:rPr>
            <w:noProof/>
            <w:webHidden/>
          </w:rPr>
          <w:t>11</w:t>
        </w:r>
        <w:r w:rsidR="001C482D" w:rsidRPr="004653FC">
          <w:rPr>
            <w:noProof/>
            <w:webHidden/>
          </w:rPr>
          <w:fldChar w:fldCharType="end"/>
        </w:r>
      </w:hyperlink>
    </w:p>
    <w:p w14:paraId="6139FCA7" w14:textId="77CB9C85" w:rsidR="001C482D" w:rsidRPr="004653FC" w:rsidRDefault="00120ECE" w:rsidP="001C482D">
      <w:pPr>
        <w:pStyle w:val="TableofFigures"/>
        <w:tabs>
          <w:tab w:val="right" w:leader="dot" w:pos="9016"/>
        </w:tabs>
        <w:spacing w:after="120"/>
        <w:rPr>
          <w:noProof/>
          <w:color w:val="2F5496" w:themeColor="accent1" w:themeShade="BF"/>
        </w:rPr>
      </w:pPr>
      <w:hyperlink w:anchor="_Toc37943000" w:history="1">
        <w:r w:rsidR="001C482D" w:rsidRPr="004653FC">
          <w:rPr>
            <w:rStyle w:val="Hyperlink"/>
            <w:b/>
            <w:bCs/>
            <w:noProof/>
            <w:color w:val="2F5496" w:themeColor="accent1" w:themeShade="BF"/>
          </w:rPr>
          <w:t xml:space="preserve">Figure 6: </w:t>
        </w:r>
        <w:r w:rsidR="001C482D" w:rsidRPr="004653FC">
          <w:rPr>
            <w:rStyle w:val="Hyperlink"/>
            <w:noProof/>
            <w:color w:val="auto"/>
          </w:rPr>
          <w:t>indicative activities for program area on embedding new criteria into design buying and sourcing in the voluntary commitment program</w:t>
        </w:r>
        <w:r w:rsidR="001C482D" w:rsidRPr="004653FC">
          <w:rPr>
            <w:noProof/>
            <w:webHidden/>
          </w:rPr>
          <w:tab/>
        </w:r>
        <w:r w:rsidR="001C482D" w:rsidRPr="004653FC">
          <w:rPr>
            <w:noProof/>
            <w:webHidden/>
          </w:rPr>
          <w:fldChar w:fldCharType="begin"/>
        </w:r>
        <w:r w:rsidR="001C482D" w:rsidRPr="004653FC">
          <w:rPr>
            <w:noProof/>
            <w:webHidden/>
          </w:rPr>
          <w:instrText xml:space="preserve"> PAGEREF _Toc37943000 \h </w:instrText>
        </w:r>
        <w:r w:rsidR="001C482D" w:rsidRPr="004653FC">
          <w:rPr>
            <w:noProof/>
            <w:webHidden/>
          </w:rPr>
        </w:r>
        <w:r w:rsidR="001C482D" w:rsidRPr="004653FC">
          <w:rPr>
            <w:noProof/>
            <w:webHidden/>
          </w:rPr>
          <w:fldChar w:fldCharType="separate"/>
        </w:r>
        <w:r w:rsidR="001C482D" w:rsidRPr="004653FC">
          <w:rPr>
            <w:noProof/>
            <w:webHidden/>
          </w:rPr>
          <w:t>12</w:t>
        </w:r>
        <w:r w:rsidR="001C482D" w:rsidRPr="004653FC">
          <w:rPr>
            <w:noProof/>
            <w:webHidden/>
          </w:rPr>
          <w:fldChar w:fldCharType="end"/>
        </w:r>
      </w:hyperlink>
    </w:p>
    <w:p w14:paraId="089E840A" w14:textId="0CC82B81" w:rsidR="001C482D" w:rsidRPr="004653FC" w:rsidRDefault="00120ECE" w:rsidP="001C482D">
      <w:pPr>
        <w:pStyle w:val="TableofFigures"/>
        <w:tabs>
          <w:tab w:val="right" w:leader="dot" w:pos="9016"/>
        </w:tabs>
        <w:spacing w:after="120"/>
        <w:rPr>
          <w:noProof/>
          <w:color w:val="2F5496" w:themeColor="accent1" w:themeShade="BF"/>
        </w:rPr>
      </w:pPr>
      <w:hyperlink w:anchor="_Toc37943001" w:history="1">
        <w:r w:rsidR="001C482D" w:rsidRPr="004653FC">
          <w:rPr>
            <w:rStyle w:val="Hyperlink"/>
            <w:b/>
            <w:bCs/>
            <w:noProof/>
            <w:color w:val="2F5496" w:themeColor="accent1" w:themeShade="BF"/>
          </w:rPr>
          <w:t xml:space="preserve">Figure 7: </w:t>
        </w:r>
        <w:r w:rsidR="001C482D" w:rsidRPr="004653FC">
          <w:rPr>
            <w:rStyle w:val="Hyperlink"/>
            <w:noProof/>
            <w:color w:val="auto"/>
          </w:rPr>
          <w:t>indicative activities for program area on optimising the whole of supply chain to produce more with less in the voluntary commitment program</w:t>
        </w:r>
        <w:r w:rsidR="001C482D" w:rsidRPr="004653FC">
          <w:rPr>
            <w:noProof/>
            <w:webHidden/>
          </w:rPr>
          <w:tab/>
        </w:r>
        <w:r w:rsidR="001C482D" w:rsidRPr="004653FC">
          <w:rPr>
            <w:noProof/>
            <w:webHidden/>
          </w:rPr>
          <w:fldChar w:fldCharType="begin"/>
        </w:r>
        <w:r w:rsidR="001C482D" w:rsidRPr="004653FC">
          <w:rPr>
            <w:noProof/>
            <w:webHidden/>
          </w:rPr>
          <w:instrText xml:space="preserve"> PAGEREF _Toc37943001 \h </w:instrText>
        </w:r>
        <w:r w:rsidR="001C482D" w:rsidRPr="004653FC">
          <w:rPr>
            <w:noProof/>
            <w:webHidden/>
          </w:rPr>
        </w:r>
        <w:r w:rsidR="001C482D" w:rsidRPr="004653FC">
          <w:rPr>
            <w:noProof/>
            <w:webHidden/>
          </w:rPr>
          <w:fldChar w:fldCharType="separate"/>
        </w:r>
        <w:r w:rsidR="001C482D" w:rsidRPr="004653FC">
          <w:rPr>
            <w:noProof/>
            <w:webHidden/>
          </w:rPr>
          <w:t>13</w:t>
        </w:r>
        <w:r w:rsidR="001C482D" w:rsidRPr="004653FC">
          <w:rPr>
            <w:noProof/>
            <w:webHidden/>
          </w:rPr>
          <w:fldChar w:fldCharType="end"/>
        </w:r>
      </w:hyperlink>
    </w:p>
    <w:p w14:paraId="443C204A" w14:textId="390F332D" w:rsidR="001C482D" w:rsidRPr="004653FC" w:rsidRDefault="00120ECE" w:rsidP="001C482D">
      <w:pPr>
        <w:pStyle w:val="TableofFigures"/>
        <w:tabs>
          <w:tab w:val="right" w:leader="dot" w:pos="9016"/>
        </w:tabs>
        <w:spacing w:after="120"/>
        <w:rPr>
          <w:noProof/>
          <w:color w:val="2F5496" w:themeColor="accent1" w:themeShade="BF"/>
        </w:rPr>
      </w:pPr>
      <w:hyperlink w:anchor="_Toc37943002" w:history="1">
        <w:r w:rsidR="001C482D" w:rsidRPr="004653FC">
          <w:rPr>
            <w:rStyle w:val="Hyperlink"/>
            <w:b/>
            <w:bCs/>
            <w:noProof/>
            <w:color w:val="2F5496" w:themeColor="accent1" w:themeShade="BF"/>
          </w:rPr>
          <w:t xml:space="preserve">Figure 8: </w:t>
        </w:r>
        <w:r w:rsidR="001C482D" w:rsidRPr="004653FC">
          <w:rPr>
            <w:rStyle w:val="Hyperlink"/>
            <w:noProof/>
            <w:color w:val="auto"/>
          </w:rPr>
          <w:t>indicative activities for program area on influencing consumer and business behaviour to reduce food waste in the voluntary commitment program</w:t>
        </w:r>
        <w:r w:rsidR="001C482D" w:rsidRPr="004653FC">
          <w:rPr>
            <w:noProof/>
            <w:webHidden/>
          </w:rPr>
          <w:tab/>
        </w:r>
        <w:r w:rsidR="001C482D" w:rsidRPr="004653FC">
          <w:rPr>
            <w:noProof/>
            <w:webHidden/>
          </w:rPr>
          <w:fldChar w:fldCharType="begin"/>
        </w:r>
        <w:r w:rsidR="001C482D" w:rsidRPr="004653FC">
          <w:rPr>
            <w:noProof/>
            <w:webHidden/>
          </w:rPr>
          <w:instrText xml:space="preserve"> PAGEREF _Toc37943002 \h </w:instrText>
        </w:r>
        <w:r w:rsidR="001C482D" w:rsidRPr="004653FC">
          <w:rPr>
            <w:noProof/>
            <w:webHidden/>
          </w:rPr>
        </w:r>
        <w:r w:rsidR="001C482D" w:rsidRPr="004653FC">
          <w:rPr>
            <w:noProof/>
            <w:webHidden/>
          </w:rPr>
          <w:fldChar w:fldCharType="separate"/>
        </w:r>
        <w:r w:rsidR="001C482D" w:rsidRPr="004653FC">
          <w:rPr>
            <w:noProof/>
            <w:webHidden/>
          </w:rPr>
          <w:t>14</w:t>
        </w:r>
        <w:r w:rsidR="001C482D" w:rsidRPr="004653FC">
          <w:rPr>
            <w:noProof/>
            <w:webHidden/>
          </w:rPr>
          <w:fldChar w:fldCharType="end"/>
        </w:r>
      </w:hyperlink>
    </w:p>
    <w:p w14:paraId="51AF9A9D" w14:textId="5EB2AEB0" w:rsidR="001C482D" w:rsidRPr="004653FC" w:rsidRDefault="00120ECE" w:rsidP="001C482D">
      <w:pPr>
        <w:pStyle w:val="TableofFigures"/>
        <w:tabs>
          <w:tab w:val="right" w:leader="dot" w:pos="9016"/>
        </w:tabs>
        <w:spacing w:after="120"/>
        <w:rPr>
          <w:noProof/>
          <w:color w:val="2F5496" w:themeColor="accent1" w:themeShade="BF"/>
        </w:rPr>
      </w:pPr>
      <w:hyperlink w:anchor="_Toc37943003" w:history="1">
        <w:r w:rsidR="001C482D" w:rsidRPr="004653FC">
          <w:rPr>
            <w:rStyle w:val="Hyperlink"/>
            <w:b/>
            <w:bCs/>
            <w:noProof/>
            <w:color w:val="2F5496" w:themeColor="accent1" w:themeShade="BF"/>
          </w:rPr>
          <w:t>Figure 9:</w:t>
        </w:r>
        <w:r w:rsidR="001C482D" w:rsidRPr="004653FC">
          <w:rPr>
            <w:rStyle w:val="Hyperlink"/>
            <w:b/>
            <w:bCs/>
            <w:noProof/>
            <w:color w:val="auto"/>
          </w:rPr>
          <w:t xml:space="preserve"> </w:t>
        </w:r>
        <w:r w:rsidR="001C482D" w:rsidRPr="004653FC">
          <w:rPr>
            <w:rStyle w:val="Hyperlink"/>
            <w:noProof/>
            <w:color w:val="auto"/>
          </w:rPr>
          <w:t>indicative activities for program area on finding innovative ways to make the best use of waste and surplus food in the voluntary commitment program</w:t>
        </w:r>
        <w:r w:rsidR="001C482D" w:rsidRPr="004653FC">
          <w:rPr>
            <w:noProof/>
            <w:webHidden/>
          </w:rPr>
          <w:tab/>
        </w:r>
        <w:r w:rsidR="001C482D" w:rsidRPr="004653FC">
          <w:rPr>
            <w:noProof/>
            <w:webHidden/>
          </w:rPr>
          <w:fldChar w:fldCharType="begin"/>
        </w:r>
        <w:r w:rsidR="001C482D" w:rsidRPr="004653FC">
          <w:rPr>
            <w:noProof/>
            <w:webHidden/>
          </w:rPr>
          <w:instrText xml:space="preserve"> PAGEREF _Toc37943003 \h </w:instrText>
        </w:r>
        <w:r w:rsidR="001C482D" w:rsidRPr="004653FC">
          <w:rPr>
            <w:noProof/>
            <w:webHidden/>
          </w:rPr>
        </w:r>
        <w:r w:rsidR="001C482D" w:rsidRPr="004653FC">
          <w:rPr>
            <w:noProof/>
            <w:webHidden/>
          </w:rPr>
          <w:fldChar w:fldCharType="separate"/>
        </w:r>
        <w:r w:rsidR="001C482D" w:rsidRPr="004653FC">
          <w:rPr>
            <w:noProof/>
            <w:webHidden/>
          </w:rPr>
          <w:t>15</w:t>
        </w:r>
        <w:r w:rsidR="001C482D" w:rsidRPr="004653FC">
          <w:rPr>
            <w:noProof/>
            <w:webHidden/>
          </w:rPr>
          <w:fldChar w:fldCharType="end"/>
        </w:r>
      </w:hyperlink>
    </w:p>
    <w:p w14:paraId="58CB49CF" w14:textId="4DAC416D" w:rsidR="001C482D" w:rsidRPr="004653FC" w:rsidRDefault="00120ECE" w:rsidP="001C482D">
      <w:pPr>
        <w:pStyle w:val="TableofFigures"/>
        <w:tabs>
          <w:tab w:val="right" w:leader="dot" w:pos="9016"/>
        </w:tabs>
        <w:spacing w:after="120"/>
        <w:rPr>
          <w:noProof/>
          <w:color w:val="2F5496" w:themeColor="accent1" w:themeShade="BF"/>
        </w:rPr>
      </w:pPr>
      <w:hyperlink w:anchor="_Toc37943004" w:history="1">
        <w:r w:rsidR="001C482D" w:rsidRPr="004653FC">
          <w:rPr>
            <w:rStyle w:val="Hyperlink"/>
            <w:rFonts w:cstheme="minorHAnsi"/>
            <w:b/>
            <w:bCs/>
            <w:noProof/>
            <w:color w:val="2F5496" w:themeColor="accent1" w:themeShade="BF"/>
          </w:rPr>
          <w:t xml:space="preserve">Figure </w:t>
        </w:r>
        <w:r w:rsidR="001C482D" w:rsidRPr="004653FC">
          <w:rPr>
            <w:rStyle w:val="Hyperlink"/>
            <w:b/>
            <w:bCs/>
            <w:noProof/>
            <w:color w:val="2F5496" w:themeColor="accent1" w:themeShade="BF"/>
          </w:rPr>
          <w:t>10</w:t>
        </w:r>
        <w:r w:rsidR="001C482D" w:rsidRPr="004653FC">
          <w:rPr>
            <w:rStyle w:val="Hyperlink"/>
            <w:rFonts w:cstheme="minorHAnsi"/>
            <w:noProof/>
            <w:color w:val="2F5496" w:themeColor="accent1" w:themeShade="BF"/>
          </w:rPr>
          <w:t xml:space="preserve">: </w:t>
        </w:r>
        <w:r w:rsidR="001C482D" w:rsidRPr="004653FC">
          <w:rPr>
            <w:rStyle w:val="Hyperlink"/>
            <w:rFonts w:cstheme="minorHAnsi"/>
            <w:noProof/>
            <w:color w:val="auto"/>
          </w:rPr>
          <w:t>the ‘give and take’ of the voluntary commitment program, with illustrative examples of potential signatory’s commitments and the support that organisations joining the voluntary commitment program can expect to receive</w:t>
        </w:r>
        <w:r w:rsidR="001C482D" w:rsidRPr="004653FC">
          <w:rPr>
            <w:noProof/>
            <w:webHidden/>
          </w:rPr>
          <w:tab/>
        </w:r>
        <w:r w:rsidR="001C482D" w:rsidRPr="004653FC">
          <w:rPr>
            <w:noProof/>
            <w:webHidden/>
          </w:rPr>
          <w:fldChar w:fldCharType="begin"/>
        </w:r>
        <w:r w:rsidR="001C482D" w:rsidRPr="004653FC">
          <w:rPr>
            <w:noProof/>
            <w:webHidden/>
          </w:rPr>
          <w:instrText xml:space="preserve"> PAGEREF _Toc37943004 \h </w:instrText>
        </w:r>
        <w:r w:rsidR="001C482D" w:rsidRPr="004653FC">
          <w:rPr>
            <w:noProof/>
            <w:webHidden/>
          </w:rPr>
        </w:r>
        <w:r w:rsidR="001C482D" w:rsidRPr="004653FC">
          <w:rPr>
            <w:noProof/>
            <w:webHidden/>
          </w:rPr>
          <w:fldChar w:fldCharType="separate"/>
        </w:r>
        <w:r w:rsidR="001C482D" w:rsidRPr="004653FC">
          <w:rPr>
            <w:noProof/>
            <w:webHidden/>
          </w:rPr>
          <w:t>21</w:t>
        </w:r>
        <w:r w:rsidR="001C482D" w:rsidRPr="004653FC">
          <w:rPr>
            <w:noProof/>
            <w:webHidden/>
          </w:rPr>
          <w:fldChar w:fldCharType="end"/>
        </w:r>
      </w:hyperlink>
    </w:p>
    <w:p w14:paraId="09DB5CB3" w14:textId="7C5849B4" w:rsidR="001C482D" w:rsidRPr="004653FC" w:rsidRDefault="00120ECE" w:rsidP="001C482D">
      <w:pPr>
        <w:pStyle w:val="TableofFigures"/>
        <w:tabs>
          <w:tab w:val="right" w:leader="dot" w:pos="9016"/>
        </w:tabs>
        <w:spacing w:after="120"/>
        <w:rPr>
          <w:noProof/>
          <w:color w:val="2F5496" w:themeColor="accent1" w:themeShade="BF"/>
        </w:rPr>
      </w:pPr>
      <w:hyperlink w:anchor="_Toc37943005" w:history="1">
        <w:r w:rsidR="001C482D" w:rsidRPr="004653FC">
          <w:rPr>
            <w:rStyle w:val="Hyperlink"/>
            <w:b/>
            <w:bCs/>
            <w:noProof/>
            <w:color w:val="2F5496" w:themeColor="accent1" w:themeShade="BF"/>
          </w:rPr>
          <w:t xml:space="preserve">Figure </w:t>
        </w:r>
        <w:r w:rsidR="001C482D" w:rsidRPr="004653FC">
          <w:rPr>
            <w:rStyle w:val="Hyperlink"/>
            <w:b/>
            <w:bCs/>
            <w:noProof/>
            <w:color w:val="2F5496" w:themeColor="accent1" w:themeShade="BF"/>
            <w:u w:val="none"/>
          </w:rPr>
          <w:t>11</w:t>
        </w:r>
        <w:r w:rsidR="001C482D" w:rsidRPr="004653FC">
          <w:rPr>
            <w:rStyle w:val="Hyperlink"/>
            <w:noProof/>
            <w:color w:val="2F5496" w:themeColor="accent1" w:themeShade="BF"/>
          </w:rPr>
          <w:t xml:space="preserve">: </w:t>
        </w:r>
        <w:r w:rsidR="001C482D" w:rsidRPr="004653FC">
          <w:rPr>
            <w:rStyle w:val="Hyperlink"/>
            <w:noProof/>
            <w:color w:val="auto"/>
          </w:rPr>
          <w:t>Five key steps to developing a voluntary commitment program to reduce food waste, with process step checklists and milestones (EU REFRESH Project 2019)</w:t>
        </w:r>
        <w:r w:rsidR="001C482D" w:rsidRPr="004653FC">
          <w:rPr>
            <w:noProof/>
            <w:webHidden/>
          </w:rPr>
          <w:tab/>
        </w:r>
        <w:r w:rsidR="001C482D" w:rsidRPr="004653FC">
          <w:rPr>
            <w:noProof/>
            <w:webHidden/>
          </w:rPr>
          <w:fldChar w:fldCharType="begin"/>
        </w:r>
        <w:r w:rsidR="001C482D" w:rsidRPr="004653FC">
          <w:rPr>
            <w:noProof/>
            <w:webHidden/>
          </w:rPr>
          <w:instrText xml:space="preserve"> PAGEREF _Toc37943005 \h </w:instrText>
        </w:r>
        <w:r w:rsidR="001C482D" w:rsidRPr="004653FC">
          <w:rPr>
            <w:noProof/>
            <w:webHidden/>
          </w:rPr>
        </w:r>
        <w:r w:rsidR="001C482D" w:rsidRPr="004653FC">
          <w:rPr>
            <w:noProof/>
            <w:webHidden/>
          </w:rPr>
          <w:fldChar w:fldCharType="separate"/>
        </w:r>
        <w:r w:rsidR="001C482D" w:rsidRPr="004653FC">
          <w:rPr>
            <w:noProof/>
            <w:webHidden/>
          </w:rPr>
          <w:t>22</w:t>
        </w:r>
        <w:r w:rsidR="001C482D" w:rsidRPr="004653FC">
          <w:rPr>
            <w:noProof/>
            <w:webHidden/>
          </w:rPr>
          <w:fldChar w:fldCharType="end"/>
        </w:r>
      </w:hyperlink>
    </w:p>
    <w:p w14:paraId="3F7FF1FB" w14:textId="458740FB" w:rsidR="001C482D" w:rsidRPr="004653FC" w:rsidRDefault="00120ECE" w:rsidP="001C482D">
      <w:pPr>
        <w:pStyle w:val="TableofFigures"/>
        <w:tabs>
          <w:tab w:val="right" w:leader="dot" w:pos="9016"/>
        </w:tabs>
        <w:spacing w:after="120"/>
        <w:rPr>
          <w:noProof/>
          <w:color w:val="2F5496" w:themeColor="accent1" w:themeShade="BF"/>
        </w:rPr>
      </w:pPr>
      <w:hyperlink w:anchor="_Toc37943006" w:history="1">
        <w:r w:rsidR="001C482D" w:rsidRPr="004653FC">
          <w:rPr>
            <w:rStyle w:val="Hyperlink"/>
            <w:b/>
            <w:bCs/>
            <w:noProof/>
            <w:color w:val="2F5496" w:themeColor="accent1" w:themeShade="BF"/>
          </w:rPr>
          <w:t>Figure 12</w:t>
        </w:r>
        <w:r w:rsidR="001C482D" w:rsidRPr="004653FC">
          <w:rPr>
            <w:rStyle w:val="Hyperlink"/>
            <w:noProof/>
            <w:color w:val="2F5496" w:themeColor="accent1" w:themeShade="BF"/>
          </w:rPr>
          <w:t xml:space="preserve">: </w:t>
        </w:r>
        <w:r w:rsidR="001C482D" w:rsidRPr="004653FC">
          <w:rPr>
            <w:rStyle w:val="Hyperlink"/>
            <w:noProof/>
            <w:color w:val="auto"/>
          </w:rPr>
          <w:t>illustrative example of the governance structure for a voluntary commitment program</w:t>
        </w:r>
        <w:r w:rsidR="001C482D" w:rsidRPr="004653FC">
          <w:rPr>
            <w:noProof/>
            <w:webHidden/>
          </w:rPr>
          <w:tab/>
        </w:r>
        <w:r w:rsidR="001C482D" w:rsidRPr="004653FC">
          <w:rPr>
            <w:noProof/>
            <w:webHidden/>
          </w:rPr>
          <w:fldChar w:fldCharType="begin"/>
        </w:r>
        <w:r w:rsidR="001C482D" w:rsidRPr="004653FC">
          <w:rPr>
            <w:noProof/>
            <w:webHidden/>
          </w:rPr>
          <w:instrText xml:space="preserve"> PAGEREF _Toc37943006 \h </w:instrText>
        </w:r>
        <w:r w:rsidR="001C482D" w:rsidRPr="004653FC">
          <w:rPr>
            <w:noProof/>
            <w:webHidden/>
          </w:rPr>
        </w:r>
        <w:r w:rsidR="001C482D" w:rsidRPr="004653FC">
          <w:rPr>
            <w:noProof/>
            <w:webHidden/>
          </w:rPr>
          <w:fldChar w:fldCharType="separate"/>
        </w:r>
        <w:r w:rsidR="001C482D" w:rsidRPr="004653FC">
          <w:rPr>
            <w:noProof/>
            <w:webHidden/>
          </w:rPr>
          <w:t>23</w:t>
        </w:r>
        <w:r w:rsidR="001C482D" w:rsidRPr="004653FC">
          <w:rPr>
            <w:noProof/>
            <w:webHidden/>
          </w:rPr>
          <w:fldChar w:fldCharType="end"/>
        </w:r>
      </w:hyperlink>
    </w:p>
    <w:p w14:paraId="2A72F171" w14:textId="1A668F3B" w:rsidR="001C482D" w:rsidRPr="004653FC" w:rsidRDefault="00120ECE" w:rsidP="001C482D">
      <w:pPr>
        <w:pStyle w:val="TableofFigures"/>
        <w:tabs>
          <w:tab w:val="right" w:leader="dot" w:pos="9016"/>
        </w:tabs>
        <w:spacing w:after="120"/>
        <w:rPr>
          <w:noProof/>
          <w:color w:val="2F5496" w:themeColor="accent1" w:themeShade="BF"/>
        </w:rPr>
      </w:pPr>
      <w:hyperlink w:anchor="_Toc37943007" w:history="1">
        <w:r w:rsidR="001C482D" w:rsidRPr="004653FC">
          <w:rPr>
            <w:rStyle w:val="Hyperlink"/>
            <w:b/>
            <w:bCs/>
            <w:noProof/>
            <w:color w:val="2F5496" w:themeColor="accent1" w:themeShade="BF"/>
          </w:rPr>
          <w:t>Figure 13</w:t>
        </w:r>
        <w:r w:rsidR="001C482D" w:rsidRPr="004653FC">
          <w:rPr>
            <w:rStyle w:val="Hyperlink"/>
            <w:noProof/>
            <w:color w:val="2F5496" w:themeColor="accent1" w:themeShade="BF"/>
          </w:rPr>
          <w:t xml:space="preserve">: </w:t>
        </w:r>
        <w:r w:rsidR="001C482D" w:rsidRPr="004653FC">
          <w:rPr>
            <w:rStyle w:val="Hyperlink"/>
            <w:noProof/>
            <w:color w:val="auto"/>
          </w:rPr>
          <w:t xml:space="preserve"> indicative development and launch timeline for a voluntary commitment program to reduce food waste (subject to implementation funding)</w:t>
        </w:r>
        <w:r w:rsidR="001C482D" w:rsidRPr="004653FC">
          <w:rPr>
            <w:noProof/>
            <w:webHidden/>
          </w:rPr>
          <w:tab/>
        </w:r>
        <w:r w:rsidR="001C482D" w:rsidRPr="004653FC">
          <w:rPr>
            <w:noProof/>
            <w:webHidden/>
          </w:rPr>
          <w:fldChar w:fldCharType="begin"/>
        </w:r>
        <w:r w:rsidR="001C482D" w:rsidRPr="004653FC">
          <w:rPr>
            <w:noProof/>
            <w:webHidden/>
          </w:rPr>
          <w:instrText xml:space="preserve"> PAGEREF _Toc37943007 \h </w:instrText>
        </w:r>
        <w:r w:rsidR="001C482D" w:rsidRPr="004653FC">
          <w:rPr>
            <w:noProof/>
            <w:webHidden/>
          </w:rPr>
        </w:r>
        <w:r w:rsidR="001C482D" w:rsidRPr="004653FC">
          <w:rPr>
            <w:noProof/>
            <w:webHidden/>
          </w:rPr>
          <w:fldChar w:fldCharType="separate"/>
        </w:r>
        <w:r w:rsidR="001C482D" w:rsidRPr="004653FC">
          <w:rPr>
            <w:noProof/>
            <w:webHidden/>
          </w:rPr>
          <w:t>24</w:t>
        </w:r>
        <w:r w:rsidR="001C482D" w:rsidRPr="004653FC">
          <w:rPr>
            <w:noProof/>
            <w:webHidden/>
          </w:rPr>
          <w:fldChar w:fldCharType="end"/>
        </w:r>
      </w:hyperlink>
    </w:p>
    <w:p w14:paraId="16A54BED" w14:textId="3D054F6C" w:rsidR="001C482D" w:rsidRPr="004653FC" w:rsidRDefault="00120ECE" w:rsidP="001C482D">
      <w:pPr>
        <w:pStyle w:val="TableofFigures"/>
        <w:tabs>
          <w:tab w:val="right" w:leader="dot" w:pos="9016"/>
        </w:tabs>
        <w:spacing w:after="120"/>
        <w:rPr>
          <w:noProof/>
          <w:color w:val="2F5496" w:themeColor="accent1" w:themeShade="BF"/>
        </w:rPr>
      </w:pPr>
      <w:hyperlink w:anchor="_Toc37943008" w:history="1">
        <w:r w:rsidR="001C482D" w:rsidRPr="004653FC">
          <w:rPr>
            <w:rStyle w:val="Hyperlink"/>
            <w:b/>
            <w:bCs/>
            <w:noProof/>
            <w:color w:val="2F5496" w:themeColor="accent1" w:themeShade="BF"/>
          </w:rPr>
          <w:t>Figure 14</w:t>
        </w:r>
        <w:r w:rsidR="001C482D" w:rsidRPr="004653FC">
          <w:rPr>
            <w:rStyle w:val="Hyperlink"/>
            <w:noProof/>
            <w:color w:val="2F5496" w:themeColor="accent1" w:themeShade="BF"/>
          </w:rPr>
          <w:t xml:space="preserve">: </w:t>
        </w:r>
        <w:r w:rsidR="001C482D" w:rsidRPr="004653FC">
          <w:rPr>
            <w:rStyle w:val="Hyperlink"/>
            <w:noProof/>
            <w:color w:val="auto"/>
          </w:rPr>
          <w:t>the three main models for voluntary commitment reporting and proposed metrics for reporting</w:t>
        </w:r>
        <w:r w:rsidR="001C482D" w:rsidRPr="004653FC">
          <w:rPr>
            <w:noProof/>
            <w:webHidden/>
          </w:rPr>
          <w:tab/>
        </w:r>
        <w:r w:rsidR="001C482D" w:rsidRPr="004653FC">
          <w:rPr>
            <w:noProof/>
            <w:webHidden/>
          </w:rPr>
          <w:fldChar w:fldCharType="begin"/>
        </w:r>
        <w:r w:rsidR="001C482D" w:rsidRPr="004653FC">
          <w:rPr>
            <w:noProof/>
            <w:webHidden/>
          </w:rPr>
          <w:instrText xml:space="preserve"> PAGEREF _Toc37943008 \h </w:instrText>
        </w:r>
        <w:r w:rsidR="001C482D" w:rsidRPr="004653FC">
          <w:rPr>
            <w:noProof/>
            <w:webHidden/>
          </w:rPr>
        </w:r>
        <w:r w:rsidR="001C482D" w:rsidRPr="004653FC">
          <w:rPr>
            <w:noProof/>
            <w:webHidden/>
          </w:rPr>
          <w:fldChar w:fldCharType="separate"/>
        </w:r>
        <w:r w:rsidR="001C482D" w:rsidRPr="004653FC">
          <w:rPr>
            <w:noProof/>
            <w:webHidden/>
          </w:rPr>
          <w:t>33</w:t>
        </w:r>
        <w:r w:rsidR="001C482D" w:rsidRPr="004653FC">
          <w:rPr>
            <w:noProof/>
            <w:webHidden/>
          </w:rPr>
          <w:fldChar w:fldCharType="end"/>
        </w:r>
      </w:hyperlink>
    </w:p>
    <w:p w14:paraId="5E5E8EB3" w14:textId="55C876FC" w:rsidR="001C482D" w:rsidRPr="004653FC" w:rsidRDefault="00120ECE" w:rsidP="001C482D">
      <w:pPr>
        <w:pStyle w:val="TableofFigures"/>
        <w:tabs>
          <w:tab w:val="right" w:leader="dot" w:pos="9016"/>
        </w:tabs>
        <w:spacing w:after="120"/>
        <w:rPr>
          <w:noProof/>
          <w:color w:val="2F5496" w:themeColor="accent1" w:themeShade="BF"/>
        </w:rPr>
      </w:pPr>
      <w:hyperlink w:anchor="_Toc37943009" w:history="1">
        <w:r w:rsidR="001C482D" w:rsidRPr="004653FC">
          <w:rPr>
            <w:rStyle w:val="Hyperlink"/>
            <w:b/>
            <w:bCs/>
            <w:noProof/>
            <w:color w:val="2F5496" w:themeColor="accent1" w:themeShade="BF"/>
          </w:rPr>
          <w:t>Figure 15:</w:t>
        </w:r>
        <w:r w:rsidR="001C482D" w:rsidRPr="004653FC">
          <w:rPr>
            <w:rStyle w:val="Hyperlink"/>
            <w:b/>
            <w:bCs/>
            <w:noProof/>
            <w:color w:val="auto"/>
          </w:rPr>
          <w:t xml:space="preserve"> </w:t>
        </w:r>
        <w:r w:rsidR="001C482D" w:rsidRPr="004653FC">
          <w:rPr>
            <w:rStyle w:val="Hyperlink"/>
            <w:noProof/>
            <w:color w:val="auto"/>
          </w:rPr>
          <w:t>surplus food and food waste destinations that contribute to the delivery of UN SDG Target 12.3 (colour-coded in green), from Champions 12.3: Guidance on interpreting Sustainable Development Goal Target 12.3 (September 2017)</w:t>
        </w:r>
        <w:r w:rsidR="001C482D" w:rsidRPr="004653FC">
          <w:rPr>
            <w:noProof/>
            <w:webHidden/>
          </w:rPr>
          <w:tab/>
        </w:r>
        <w:r w:rsidR="001C482D" w:rsidRPr="004653FC">
          <w:rPr>
            <w:noProof/>
            <w:webHidden/>
          </w:rPr>
          <w:fldChar w:fldCharType="begin"/>
        </w:r>
        <w:r w:rsidR="001C482D" w:rsidRPr="004653FC">
          <w:rPr>
            <w:noProof/>
            <w:webHidden/>
          </w:rPr>
          <w:instrText xml:space="preserve"> PAGEREF _Toc37943009 \h </w:instrText>
        </w:r>
        <w:r w:rsidR="001C482D" w:rsidRPr="004653FC">
          <w:rPr>
            <w:noProof/>
            <w:webHidden/>
          </w:rPr>
        </w:r>
        <w:r w:rsidR="001C482D" w:rsidRPr="004653FC">
          <w:rPr>
            <w:noProof/>
            <w:webHidden/>
          </w:rPr>
          <w:fldChar w:fldCharType="separate"/>
        </w:r>
        <w:r w:rsidR="001C482D" w:rsidRPr="004653FC">
          <w:rPr>
            <w:noProof/>
            <w:webHidden/>
          </w:rPr>
          <w:t>37</w:t>
        </w:r>
        <w:r w:rsidR="001C482D" w:rsidRPr="004653FC">
          <w:rPr>
            <w:noProof/>
            <w:webHidden/>
          </w:rPr>
          <w:fldChar w:fldCharType="end"/>
        </w:r>
      </w:hyperlink>
    </w:p>
    <w:p w14:paraId="3D866796" w14:textId="77777777" w:rsidR="003331B9" w:rsidRDefault="001C482D" w:rsidP="001C482D">
      <w:pPr>
        <w:spacing w:after="120"/>
        <w:rPr>
          <w:b/>
          <w:bCs/>
          <w:color w:val="2F5496" w:themeColor="accent1" w:themeShade="BF"/>
          <w:sz w:val="32"/>
          <w:szCs w:val="32"/>
        </w:rPr>
      </w:pPr>
      <w:r>
        <w:rPr>
          <w:b/>
          <w:bCs/>
          <w:color w:val="2F5496" w:themeColor="accent1" w:themeShade="BF"/>
          <w:sz w:val="32"/>
          <w:szCs w:val="32"/>
        </w:rPr>
        <w:fldChar w:fldCharType="end"/>
      </w:r>
    </w:p>
    <w:p w14:paraId="28429B96" w14:textId="17128BB5" w:rsidR="00244648" w:rsidRDefault="00244648" w:rsidP="001C482D">
      <w:pPr>
        <w:spacing w:after="120"/>
        <w:rPr>
          <w:b/>
          <w:bCs/>
          <w:color w:val="2F5496" w:themeColor="accent1" w:themeShade="BF"/>
          <w:sz w:val="32"/>
          <w:szCs w:val="32"/>
        </w:rPr>
      </w:pPr>
      <w:r>
        <w:rPr>
          <w:b/>
          <w:bCs/>
          <w:color w:val="2F5496" w:themeColor="accent1" w:themeShade="BF"/>
          <w:sz w:val="32"/>
          <w:szCs w:val="32"/>
        </w:rPr>
        <w:br w:type="page"/>
      </w:r>
    </w:p>
    <w:p w14:paraId="149CF2C7" w14:textId="0774D601" w:rsidR="00C62BA7" w:rsidRPr="00DC44D8" w:rsidRDefault="00C62BA7" w:rsidP="0039274C">
      <w:pPr>
        <w:spacing w:after="120"/>
        <w:jc w:val="center"/>
        <w:rPr>
          <w:b/>
          <w:bCs/>
          <w:color w:val="2F5496" w:themeColor="accent1" w:themeShade="BF"/>
          <w:sz w:val="32"/>
          <w:szCs w:val="32"/>
        </w:rPr>
      </w:pPr>
      <w:r w:rsidRPr="00DC44D8">
        <w:rPr>
          <w:b/>
          <w:bCs/>
          <w:color w:val="2F5496" w:themeColor="accent1" w:themeShade="BF"/>
          <w:sz w:val="32"/>
          <w:szCs w:val="32"/>
        </w:rPr>
        <w:lastRenderedPageBreak/>
        <w:t>Establishing a Voluntary Commitment Program:</w:t>
      </w:r>
    </w:p>
    <w:p w14:paraId="641A7FA7" w14:textId="65FB737F" w:rsidR="001D3B17" w:rsidRPr="00DC44D8" w:rsidRDefault="00C62BA7" w:rsidP="006B5B86">
      <w:pPr>
        <w:spacing w:after="120"/>
        <w:jc w:val="center"/>
        <w:rPr>
          <w:b/>
          <w:bCs/>
          <w:color w:val="2F5496" w:themeColor="accent1" w:themeShade="BF"/>
          <w:sz w:val="32"/>
          <w:szCs w:val="32"/>
        </w:rPr>
      </w:pPr>
      <w:r w:rsidRPr="00DC44D8">
        <w:rPr>
          <w:b/>
          <w:bCs/>
          <w:color w:val="2F5496" w:themeColor="accent1" w:themeShade="BF"/>
          <w:sz w:val="32"/>
          <w:szCs w:val="32"/>
        </w:rPr>
        <w:t>Working collaboratively to halve food waste in Australia</w:t>
      </w:r>
    </w:p>
    <w:p w14:paraId="7A8AB9E8" w14:textId="77777777" w:rsidR="004C3988" w:rsidRPr="00082681" w:rsidRDefault="004C3988" w:rsidP="004C3988">
      <w:pPr>
        <w:spacing w:after="0"/>
        <w:jc w:val="center"/>
        <w:rPr>
          <w:b/>
          <w:bCs/>
          <w:color w:val="2F5496" w:themeColor="accent1" w:themeShade="BF"/>
          <w:sz w:val="28"/>
          <w:szCs w:val="28"/>
        </w:rPr>
      </w:pPr>
    </w:p>
    <w:p w14:paraId="5F905D0A" w14:textId="1E833683" w:rsidR="00906E34" w:rsidRPr="00DB5FB3" w:rsidRDefault="008F5077" w:rsidP="002074EE">
      <w:pPr>
        <w:pStyle w:val="Heading1"/>
      </w:pPr>
      <w:bookmarkStart w:id="2" w:name="_Toc39140000"/>
      <w:r w:rsidRPr="00DB5FB3">
        <w:t>Background and introduction</w:t>
      </w:r>
      <w:bookmarkEnd w:id="2"/>
    </w:p>
    <w:p w14:paraId="365B59E0" w14:textId="4B962F4B" w:rsidR="00F30AE9" w:rsidRPr="00214F8E" w:rsidRDefault="00906E34" w:rsidP="000C0AF3">
      <w:pPr>
        <w:pStyle w:val="Heading2"/>
        <w:rPr>
          <w:rStyle w:val="BookTitle"/>
        </w:rPr>
      </w:pPr>
      <w:bookmarkStart w:id="3" w:name="_Toc39140001"/>
      <w:r w:rsidRPr="002074EE">
        <w:t>Introduction</w:t>
      </w:r>
      <w:bookmarkEnd w:id="3"/>
    </w:p>
    <w:p w14:paraId="2F044388" w14:textId="571F9AEA" w:rsidR="00F30AE9" w:rsidRPr="00F30AE9" w:rsidRDefault="00F30AE9" w:rsidP="006B5B86">
      <w:pPr>
        <w:spacing w:after="0"/>
        <w:jc w:val="both"/>
        <w:rPr>
          <w:color w:val="000000" w:themeColor="text1"/>
          <w:sz w:val="24"/>
          <w:szCs w:val="24"/>
        </w:rPr>
      </w:pPr>
      <w:r w:rsidRPr="00F30AE9">
        <w:rPr>
          <w:color w:val="000000" w:themeColor="text1"/>
          <w:sz w:val="24"/>
          <w:szCs w:val="24"/>
        </w:rPr>
        <w:t xml:space="preserve">This paper provides the technical and policy context for tackling food waste and the role and potential effectiveness of a voluntary commitment program in </w:t>
      </w:r>
      <w:r w:rsidR="00191094">
        <w:rPr>
          <w:color w:val="000000" w:themeColor="text1"/>
          <w:sz w:val="24"/>
          <w:szCs w:val="24"/>
        </w:rPr>
        <w:t xml:space="preserve">helping to </w:t>
      </w:r>
      <w:r w:rsidRPr="00F30AE9">
        <w:rPr>
          <w:color w:val="000000" w:themeColor="text1"/>
          <w:sz w:val="24"/>
          <w:szCs w:val="24"/>
        </w:rPr>
        <w:t xml:space="preserve">deliver a halving of food waste in Australia by 2030. It starts by summarising the </w:t>
      </w:r>
      <w:r w:rsidR="006B5B86" w:rsidRPr="00F30AE9">
        <w:rPr>
          <w:color w:val="000000" w:themeColor="text1"/>
          <w:sz w:val="24"/>
          <w:szCs w:val="24"/>
        </w:rPr>
        <w:t xml:space="preserve">nature and </w:t>
      </w:r>
      <w:r w:rsidRPr="00F30AE9">
        <w:rPr>
          <w:color w:val="000000" w:themeColor="text1"/>
          <w:sz w:val="24"/>
          <w:szCs w:val="24"/>
        </w:rPr>
        <w:t>scale of food waste</w:t>
      </w:r>
      <w:r w:rsidR="006B5B86">
        <w:rPr>
          <w:color w:val="000000" w:themeColor="text1"/>
          <w:sz w:val="24"/>
          <w:szCs w:val="24"/>
        </w:rPr>
        <w:t xml:space="preserve"> </w:t>
      </w:r>
      <w:r w:rsidR="00F45FFB">
        <w:rPr>
          <w:color w:val="000000" w:themeColor="text1"/>
          <w:sz w:val="24"/>
          <w:szCs w:val="24"/>
        </w:rPr>
        <w:t xml:space="preserve">both </w:t>
      </w:r>
      <w:r w:rsidRPr="00F30AE9">
        <w:rPr>
          <w:color w:val="000000" w:themeColor="text1"/>
          <w:sz w:val="24"/>
          <w:szCs w:val="24"/>
        </w:rPr>
        <w:t>globally and in Australia</w:t>
      </w:r>
      <w:r w:rsidR="006B5B86">
        <w:rPr>
          <w:color w:val="000000" w:themeColor="text1"/>
          <w:sz w:val="24"/>
          <w:szCs w:val="24"/>
        </w:rPr>
        <w:t>;</w:t>
      </w:r>
      <w:r w:rsidRPr="00F30AE9">
        <w:rPr>
          <w:color w:val="000000" w:themeColor="text1"/>
          <w:sz w:val="24"/>
          <w:szCs w:val="24"/>
        </w:rPr>
        <w:t xml:space="preserve"> and moves on to the policy and business case for preventing food waste, before describing the components of the proposed voluntary commitment program and a range of indicative activities that could take place under it. The paper concludes by highlighting what a future governance entity would need to do to establish the </w:t>
      </w:r>
      <w:r w:rsidR="006B5B86">
        <w:rPr>
          <w:color w:val="000000" w:themeColor="text1"/>
          <w:sz w:val="24"/>
          <w:szCs w:val="24"/>
        </w:rPr>
        <w:t xml:space="preserve">voluntary commitment </w:t>
      </w:r>
      <w:r w:rsidRPr="00F30AE9">
        <w:rPr>
          <w:color w:val="000000" w:themeColor="text1"/>
          <w:sz w:val="24"/>
          <w:szCs w:val="24"/>
        </w:rPr>
        <w:t>program, recruit signatories to it and measure progress over time.</w:t>
      </w:r>
    </w:p>
    <w:p w14:paraId="62FFDE23" w14:textId="77777777" w:rsidR="00F30AE9" w:rsidRPr="00F30AE9" w:rsidRDefault="00F30AE9" w:rsidP="00F30AE9">
      <w:pPr>
        <w:spacing w:after="0"/>
        <w:rPr>
          <w:b/>
          <w:bCs/>
          <w:color w:val="2F5496" w:themeColor="accent1" w:themeShade="BF"/>
          <w:sz w:val="28"/>
          <w:szCs w:val="28"/>
        </w:rPr>
      </w:pPr>
    </w:p>
    <w:p w14:paraId="7A882EDC" w14:textId="557AB8EA" w:rsidR="00F30AE9" w:rsidRPr="000C0AF3" w:rsidRDefault="00E91417" w:rsidP="00C32E70">
      <w:pPr>
        <w:pStyle w:val="Heading2"/>
        <w:rPr>
          <w:rStyle w:val="BookTitle"/>
          <w:rFonts w:ascii="Calibri" w:hAnsi="Calibri"/>
          <w:b/>
          <w:bCs w:val="0"/>
          <w:iCs w:val="0"/>
          <w:spacing w:val="0"/>
        </w:rPr>
      </w:pPr>
      <w:bookmarkStart w:id="4" w:name="_Toc39140002"/>
      <w:r w:rsidRPr="000C0AF3">
        <w:t>Global</w:t>
      </w:r>
      <w:r w:rsidRPr="000C0AF3">
        <w:rPr>
          <w:rStyle w:val="BookTitle"/>
          <w:rFonts w:ascii="Calibri" w:hAnsi="Calibri"/>
          <w:b/>
          <w:bCs w:val="0"/>
          <w:iCs w:val="0"/>
          <w:spacing w:val="0"/>
        </w:rPr>
        <w:t xml:space="preserve"> </w:t>
      </w:r>
      <w:r w:rsidRPr="000C0AF3">
        <w:t>food waste and its impacts</w:t>
      </w:r>
      <w:bookmarkEnd w:id="4"/>
    </w:p>
    <w:p w14:paraId="1CA25B1D" w14:textId="77777777" w:rsidR="00F30AE9" w:rsidRDefault="00F30AE9" w:rsidP="00F30AE9">
      <w:pPr>
        <w:jc w:val="both"/>
        <w:rPr>
          <w:sz w:val="24"/>
          <w:szCs w:val="24"/>
        </w:rPr>
      </w:pPr>
      <w:r w:rsidRPr="006E7369">
        <w:rPr>
          <w:sz w:val="24"/>
          <w:szCs w:val="24"/>
        </w:rPr>
        <w:t>The scale of global food waste and it</w:t>
      </w:r>
      <w:r>
        <w:rPr>
          <w:sz w:val="24"/>
          <w:szCs w:val="24"/>
        </w:rPr>
        <w:t>s</w:t>
      </w:r>
      <w:r w:rsidRPr="006E7369">
        <w:rPr>
          <w:sz w:val="24"/>
          <w:szCs w:val="24"/>
        </w:rPr>
        <w:t xml:space="preserve"> impact</w:t>
      </w:r>
      <w:r>
        <w:rPr>
          <w:sz w:val="24"/>
          <w:szCs w:val="24"/>
        </w:rPr>
        <w:t>s</w:t>
      </w:r>
      <w:r w:rsidRPr="006E7369">
        <w:rPr>
          <w:sz w:val="24"/>
          <w:szCs w:val="24"/>
        </w:rPr>
        <w:t xml:space="preserve"> </w:t>
      </w:r>
      <w:r>
        <w:rPr>
          <w:sz w:val="24"/>
          <w:szCs w:val="24"/>
        </w:rPr>
        <w:t>on the global economy, society and the environment</w:t>
      </w:r>
      <w:r w:rsidRPr="006E7369">
        <w:rPr>
          <w:sz w:val="24"/>
          <w:szCs w:val="24"/>
        </w:rPr>
        <w:t xml:space="preserve"> are immense.</w:t>
      </w:r>
      <w:r>
        <w:rPr>
          <w:sz w:val="24"/>
          <w:szCs w:val="24"/>
        </w:rPr>
        <w:t xml:space="preserve"> One way of illustrating this is to imagine global food waste as a country in its own right. </w:t>
      </w:r>
    </w:p>
    <w:p w14:paraId="1B8E365D" w14:textId="77777777" w:rsidR="00F30AE9" w:rsidRDefault="00F30AE9" w:rsidP="00F30AE9">
      <w:pPr>
        <w:spacing w:after="0"/>
        <w:jc w:val="both"/>
        <w:rPr>
          <w:sz w:val="24"/>
          <w:szCs w:val="24"/>
          <w:lang w:val="en-GB"/>
        </w:rPr>
      </w:pPr>
      <w:r>
        <w:rPr>
          <w:sz w:val="24"/>
          <w:szCs w:val="24"/>
        </w:rPr>
        <w:t xml:space="preserve">If global food waste was a country it would </w:t>
      </w:r>
      <w:r w:rsidRPr="000073F7">
        <w:rPr>
          <w:sz w:val="24"/>
          <w:szCs w:val="24"/>
          <w:lang w:val="en-GB"/>
        </w:rPr>
        <w:t>consume</w:t>
      </w:r>
      <w:r>
        <w:rPr>
          <w:rStyle w:val="FootnoteReference"/>
          <w:sz w:val="24"/>
          <w:szCs w:val="24"/>
          <w:lang w:val="en-GB"/>
        </w:rPr>
        <w:footnoteReference w:id="1"/>
      </w:r>
      <w:r w:rsidRPr="000073F7">
        <w:rPr>
          <w:sz w:val="24"/>
          <w:szCs w:val="24"/>
          <w:lang w:val="en-GB"/>
        </w:rPr>
        <w:t xml:space="preserve">: </w:t>
      </w:r>
    </w:p>
    <w:p w14:paraId="39C8448F" w14:textId="77777777" w:rsidR="00F30AE9" w:rsidRPr="008D582C" w:rsidRDefault="00F30AE9" w:rsidP="00F2143E">
      <w:pPr>
        <w:pStyle w:val="ListParagraph"/>
        <w:numPr>
          <w:ilvl w:val="0"/>
          <w:numId w:val="22"/>
        </w:numPr>
        <w:spacing w:after="80"/>
        <w:ind w:left="284" w:hanging="284"/>
        <w:jc w:val="both"/>
        <w:rPr>
          <w:sz w:val="24"/>
          <w:szCs w:val="24"/>
        </w:rPr>
      </w:pPr>
      <w:r w:rsidRPr="008D582C">
        <w:rPr>
          <w:b/>
          <w:bCs/>
          <w:color w:val="2F5496" w:themeColor="accent1" w:themeShade="BF"/>
          <w:sz w:val="24"/>
          <w:szCs w:val="24"/>
          <w:lang w:val="en-GB"/>
        </w:rPr>
        <w:t>32%</w:t>
      </w:r>
      <w:r w:rsidRPr="008D582C">
        <w:rPr>
          <w:sz w:val="24"/>
          <w:szCs w:val="24"/>
          <w:lang w:val="en-GB"/>
        </w:rPr>
        <w:t xml:space="preserve"> of global food supply by weight, at a cost of circa </w:t>
      </w:r>
      <w:r w:rsidRPr="008D582C">
        <w:rPr>
          <w:b/>
          <w:bCs/>
          <w:color w:val="2F5496" w:themeColor="accent1" w:themeShade="BF"/>
          <w:sz w:val="24"/>
          <w:szCs w:val="24"/>
          <w:lang w:val="en-GB"/>
        </w:rPr>
        <w:t>A$1.8 trillion</w:t>
      </w:r>
      <w:r w:rsidRPr="008D582C">
        <w:rPr>
          <w:color w:val="2F5496" w:themeColor="accent1" w:themeShade="BF"/>
          <w:sz w:val="24"/>
          <w:szCs w:val="24"/>
          <w:lang w:val="en-GB"/>
        </w:rPr>
        <w:t xml:space="preserve"> </w:t>
      </w:r>
      <w:r w:rsidRPr="008D582C">
        <w:rPr>
          <w:sz w:val="24"/>
          <w:szCs w:val="24"/>
          <w:lang w:val="en-GB"/>
        </w:rPr>
        <w:t>a year</w:t>
      </w:r>
      <w:r w:rsidRPr="008D582C">
        <w:rPr>
          <w:sz w:val="24"/>
          <w:szCs w:val="24"/>
          <w:vertAlign w:val="superscript"/>
          <w:lang w:val="en-GB"/>
        </w:rPr>
        <w:t>1</w:t>
      </w:r>
    </w:p>
    <w:p w14:paraId="52FAF352" w14:textId="77777777" w:rsidR="00F30AE9" w:rsidRPr="008D582C" w:rsidRDefault="00F30AE9" w:rsidP="00F2143E">
      <w:pPr>
        <w:pStyle w:val="ListParagraph"/>
        <w:numPr>
          <w:ilvl w:val="0"/>
          <w:numId w:val="22"/>
        </w:numPr>
        <w:spacing w:after="80"/>
        <w:ind w:left="284" w:hanging="284"/>
        <w:jc w:val="both"/>
        <w:rPr>
          <w:sz w:val="24"/>
          <w:szCs w:val="24"/>
          <w:lang w:val="en-GB"/>
        </w:rPr>
      </w:pPr>
      <w:r w:rsidRPr="008D582C">
        <w:rPr>
          <w:b/>
          <w:bCs/>
          <w:color w:val="2F5496" w:themeColor="accent1" w:themeShade="BF"/>
          <w:sz w:val="24"/>
          <w:szCs w:val="24"/>
          <w:lang w:val="en-GB"/>
        </w:rPr>
        <w:t>25%</w:t>
      </w:r>
      <w:r w:rsidRPr="008D582C">
        <w:rPr>
          <w:color w:val="2F5496" w:themeColor="accent1" w:themeShade="BF"/>
          <w:sz w:val="24"/>
          <w:szCs w:val="24"/>
          <w:lang w:val="en-GB"/>
        </w:rPr>
        <w:t xml:space="preserve"> </w:t>
      </w:r>
      <w:r w:rsidRPr="008D582C">
        <w:rPr>
          <w:sz w:val="24"/>
          <w:szCs w:val="24"/>
          <w:lang w:val="en-GB"/>
        </w:rPr>
        <w:t>of all water used in agriculture</w:t>
      </w:r>
      <w:r w:rsidRPr="008D582C">
        <w:rPr>
          <w:sz w:val="24"/>
          <w:szCs w:val="24"/>
          <w:vertAlign w:val="superscript"/>
          <w:lang w:val="en-GB"/>
        </w:rPr>
        <w:t>1</w:t>
      </w:r>
    </w:p>
    <w:p w14:paraId="005574AC" w14:textId="77777777" w:rsidR="00F30AE9" w:rsidRPr="008D582C" w:rsidRDefault="00F30AE9" w:rsidP="00F2143E">
      <w:pPr>
        <w:pStyle w:val="ListParagraph"/>
        <w:numPr>
          <w:ilvl w:val="0"/>
          <w:numId w:val="22"/>
        </w:numPr>
        <w:spacing w:after="80"/>
        <w:ind w:left="284" w:hanging="284"/>
        <w:jc w:val="both"/>
        <w:rPr>
          <w:sz w:val="24"/>
          <w:szCs w:val="24"/>
        </w:rPr>
      </w:pPr>
      <w:r w:rsidRPr="008D582C">
        <w:rPr>
          <w:b/>
          <w:bCs/>
          <w:color w:val="2F5496" w:themeColor="accent1" w:themeShade="BF"/>
          <w:sz w:val="24"/>
          <w:szCs w:val="24"/>
          <w:lang w:val="en-GB"/>
        </w:rPr>
        <w:t xml:space="preserve">23% </w:t>
      </w:r>
      <w:r w:rsidRPr="008D582C">
        <w:rPr>
          <w:sz w:val="24"/>
          <w:szCs w:val="24"/>
          <w:lang w:val="en-GB"/>
        </w:rPr>
        <w:t>of all of the fertiliser used on Earth</w:t>
      </w:r>
      <w:r w:rsidRPr="008D582C">
        <w:rPr>
          <w:sz w:val="24"/>
          <w:szCs w:val="24"/>
          <w:vertAlign w:val="superscript"/>
          <w:lang w:val="en-GB"/>
        </w:rPr>
        <w:t>3</w:t>
      </w:r>
    </w:p>
    <w:p w14:paraId="6969A2D4" w14:textId="62C41E77" w:rsidR="00F30AE9" w:rsidRPr="008D582C" w:rsidRDefault="00F30AE9" w:rsidP="00F2143E">
      <w:pPr>
        <w:pStyle w:val="ListParagraph"/>
        <w:numPr>
          <w:ilvl w:val="0"/>
          <w:numId w:val="22"/>
        </w:numPr>
        <w:spacing w:after="80"/>
        <w:ind w:left="284" w:hanging="284"/>
        <w:jc w:val="both"/>
        <w:rPr>
          <w:sz w:val="24"/>
          <w:szCs w:val="24"/>
        </w:rPr>
      </w:pPr>
      <w:r w:rsidRPr="008D582C">
        <w:rPr>
          <w:b/>
          <w:bCs/>
          <w:color w:val="2F5496" w:themeColor="accent1" w:themeShade="BF"/>
          <w:sz w:val="24"/>
          <w:szCs w:val="24"/>
          <w:lang w:val="en-GB"/>
        </w:rPr>
        <w:t xml:space="preserve">1 in 4 </w:t>
      </w:r>
      <w:r w:rsidRPr="008D582C">
        <w:rPr>
          <w:sz w:val="24"/>
          <w:szCs w:val="24"/>
          <w:lang w:val="en-GB"/>
        </w:rPr>
        <w:t>of all food calories available on the planet</w:t>
      </w:r>
      <w:r w:rsidR="00120ECE">
        <w:rPr>
          <w:sz w:val="24"/>
          <w:szCs w:val="24"/>
          <w:lang w:val="en-GB"/>
        </w:rPr>
        <w:t>.</w:t>
      </w:r>
      <w:r w:rsidRPr="008D582C">
        <w:rPr>
          <w:sz w:val="24"/>
          <w:szCs w:val="24"/>
          <w:vertAlign w:val="superscript"/>
          <w:lang w:val="en-GB"/>
        </w:rPr>
        <w:t>2</w:t>
      </w:r>
    </w:p>
    <w:p w14:paraId="14988FA3" w14:textId="77777777" w:rsidR="00F30AE9" w:rsidRPr="000073F7" w:rsidRDefault="00F30AE9" w:rsidP="00F30AE9">
      <w:pPr>
        <w:spacing w:after="80"/>
        <w:jc w:val="both"/>
        <w:rPr>
          <w:sz w:val="24"/>
          <w:szCs w:val="24"/>
        </w:rPr>
      </w:pPr>
      <w:r w:rsidRPr="000073F7">
        <w:rPr>
          <w:sz w:val="24"/>
          <w:szCs w:val="24"/>
          <w:lang w:val="en-GB"/>
        </w:rPr>
        <w:t xml:space="preserve">And it would be: </w:t>
      </w:r>
    </w:p>
    <w:p w14:paraId="3BCB224D" w14:textId="18D1B810" w:rsidR="00F30AE9" w:rsidRPr="008D582C" w:rsidRDefault="00F30AE9" w:rsidP="00F2143E">
      <w:pPr>
        <w:pStyle w:val="ListParagraph"/>
        <w:numPr>
          <w:ilvl w:val="0"/>
          <w:numId w:val="21"/>
        </w:numPr>
        <w:spacing w:after="80"/>
        <w:ind w:left="284" w:hanging="284"/>
        <w:jc w:val="both"/>
        <w:rPr>
          <w:sz w:val="24"/>
          <w:szCs w:val="24"/>
        </w:rPr>
      </w:pPr>
      <w:r w:rsidRPr="008D582C">
        <w:rPr>
          <w:b/>
          <w:bCs/>
          <w:color w:val="2F5496" w:themeColor="accent1" w:themeShade="BF"/>
          <w:sz w:val="24"/>
          <w:szCs w:val="24"/>
          <w:lang w:val="en-GB"/>
        </w:rPr>
        <w:t>The world’s third largest carbon emitter</w:t>
      </w:r>
      <w:r w:rsidRPr="008D582C">
        <w:rPr>
          <w:color w:val="2F5496" w:themeColor="accent1" w:themeShade="BF"/>
          <w:sz w:val="24"/>
          <w:szCs w:val="24"/>
          <w:lang w:val="en-GB"/>
        </w:rPr>
        <w:t xml:space="preserve"> </w:t>
      </w:r>
      <w:r w:rsidRPr="008D582C">
        <w:rPr>
          <w:sz w:val="24"/>
          <w:szCs w:val="24"/>
          <w:lang w:val="en-GB"/>
        </w:rPr>
        <w:t>after the USA and China (generating 8% of total global greenhouse gas emissions)</w:t>
      </w:r>
      <w:r w:rsidRPr="008D582C">
        <w:rPr>
          <w:sz w:val="24"/>
          <w:szCs w:val="24"/>
          <w:vertAlign w:val="superscript"/>
          <w:lang w:val="en-GB"/>
        </w:rPr>
        <w:t>3</w:t>
      </w:r>
    </w:p>
    <w:p w14:paraId="7AEFC5C0" w14:textId="77777777" w:rsidR="00F30AE9" w:rsidRPr="00F30AE9" w:rsidRDefault="00F30AE9" w:rsidP="00F2143E">
      <w:pPr>
        <w:pStyle w:val="ListParagraph"/>
        <w:numPr>
          <w:ilvl w:val="0"/>
          <w:numId w:val="21"/>
        </w:numPr>
        <w:spacing w:after="80"/>
        <w:ind w:left="284" w:hanging="284"/>
        <w:jc w:val="both"/>
        <w:rPr>
          <w:sz w:val="24"/>
          <w:szCs w:val="24"/>
        </w:rPr>
      </w:pPr>
      <w:r w:rsidRPr="008D582C">
        <w:rPr>
          <w:sz w:val="24"/>
          <w:szCs w:val="24"/>
          <w:lang w:val="en-GB"/>
        </w:rPr>
        <w:t xml:space="preserve">Utilising an area of cropland the size of </w:t>
      </w:r>
      <w:r w:rsidRPr="008D582C">
        <w:rPr>
          <w:b/>
          <w:bCs/>
          <w:color w:val="2F5496" w:themeColor="accent1" w:themeShade="BF"/>
          <w:sz w:val="24"/>
          <w:szCs w:val="24"/>
          <w:lang w:val="en-GB"/>
        </w:rPr>
        <w:t>China</w:t>
      </w:r>
      <w:r w:rsidRPr="008D582C">
        <w:rPr>
          <w:sz w:val="24"/>
          <w:szCs w:val="24"/>
          <w:vertAlign w:val="superscript"/>
          <w:lang w:val="en-GB"/>
        </w:rPr>
        <w:t>1</w:t>
      </w:r>
      <w:r w:rsidRPr="008D582C">
        <w:rPr>
          <w:color w:val="2F5496" w:themeColor="accent1" w:themeShade="BF"/>
          <w:sz w:val="24"/>
          <w:szCs w:val="24"/>
          <w:lang w:val="en-GB"/>
        </w:rPr>
        <w:t xml:space="preserve"> </w:t>
      </w:r>
      <w:r w:rsidRPr="008D582C">
        <w:rPr>
          <w:sz w:val="24"/>
          <w:szCs w:val="24"/>
          <w:lang w:val="en-GB"/>
        </w:rPr>
        <w:t>(</w:t>
      </w:r>
      <w:r>
        <w:rPr>
          <w:sz w:val="24"/>
          <w:szCs w:val="24"/>
          <w:lang w:val="en-GB"/>
        </w:rPr>
        <w:t xml:space="preserve">noting that all of the land in </w:t>
      </w:r>
      <w:r w:rsidRPr="008D582C">
        <w:rPr>
          <w:sz w:val="24"/>
          <w:szCs w:val="24"/>
          <w:lang w:val="en-GB"/>
        </w:rPr>
        <w:t xml:space="preserve">Australia </w:t>
      </w:r>
      <w:r>
        <w:rPr>
          <w:sz w:val="24"/>
          <w:szCs w:val="24"/>
          <w:lang w:val="en-GB"/>
        </w:rPr>
        <w:t>only represents</w:t>
      </w:r>
      <w:r w:rsidRPr="008D582C">
        <w:rPr>
          <w:sz w:val="24"/>
          <w:szCs w:val="24"/>
          <w:lang w:val="en-GB"/>
        </w:rPr>
        <w:t xml:space="preserve"> 82% of China’s landmass). </w:t>
      </w:r>
    </w:p>
    <w:p w14:paraId="6014C0BF" w14:textId="77777777" w:rsidR="00F30AE9" w:rsidRPr="00F30AE9" w:rsidRDefault="00F30AE9" w:rsidP="00F30AE9">
      <w:pPr>
        <w:spacing w:after="0"/>
        <w:rPr>
          <w:b/>
          <w:bCs/>
          <w:color w:val="2F5496" w:themeColor="accent1" w:themeShade="BF"/>
          <w:sz w:val="28"/>
          <w:szCs w:val="28"/>
        </w:rPr>
      </w:pPr>
    </w:p>
    <w:p w14:paraId="2032898C" w14:textId="4DD3908E" w:rsidR="00F30AE9" w:rsidRPr="000C0AF3" w:rsidRDefault="00E91417" w:rsidP="00C32E70">
      <w:pPr>
        <w:pStyle w:val="Heading2"/>
        <w:rPr>
          <w:rStyle w:val="BookTitle"/>
        </w:rPr>
      </w:pPr>
      <w:bookmarkStart w:id="5" w:name="_Toc39140003"/>
      <w:r w:rsidRPr="000C0AF3">
        <w:t>Food</w:t>
      </w:r>
      <w:r w:rsidRPr="000C0AF3">
        <w:rPr>
          <w:rStyle w:val="BookTitle"/>
        </w:rPr>
        <w:t xml:space="preserve"> </w:t>
      </w:r>
      <w:r w:rsidRPr="000C0AF3">
        <w:rPr>
          <w:rStyle w:val="BookTitle"/>
          <w:b/>
          <w:bCs w:val="0"/>
        </w:rPr>
        <w:t>waste in Australia</w:t>
      </w:r>
      <w:r w:rsidR="00ED6439" w:rsidRPr="000C0AF3">
        <w:rPr>
          <w:rStyle w:val="BookTitle"/>
          <w:b/>
          <w:bCs w:val="0"/>
        </w:rPr>
        <w:t xml:space="preserve"> and its impacts</w:t>
      </w:r>
      <w:r w:rsidRPr="000C0AF3">
        <w:rPr>
          <w:rStyle w:val="BookTitle"/>
          <w:b/>
          <w:bCs w:val="0"/>
        </w:rPr>
        <w:t>:</w:t>
      </w:r>
      <w:bookmarkEnd w:id="5"/>
    </w:p>
    <w:p w14:paraId="47C19D78" w14:textId="408F08D1" w:rsidR="00F30AE9" w:rsidRPr="00F30AE9" w:rsidRDefault="00F30AE9" w:rsidP="00F30AE9">
      <w:pPr>
        <w:jc w:val="both"/>
        <w:rPr>
          <w:sz w:val="24"/>
          <w:szCs w:val="24"/>
        </w:rPr>
      </w:pPr>
      <w:r w:rsidRPr="00F30AE9">
        <w:rPr>
          <w:sz w:val="24"/>
          <w:szCs w:val="24"/>
        </w:rPr>
        <w:t xml:space="preserve">According to the </w:t>
      </w:r>
      <w:hyperlink r:id="rId16" w:history="1">
        <w:r w:rsidRPr="00F30AE9">
          <w:rPr>
            <w:rStyle w:val="Hyperlink"/>
            <w:sz w:val="24"/>
            <w:szCs w:val="24"/>
          </w:rPr>
          <w:t>National Food Waste Strategy Baseline – Final Assessment Report</w:t>
        </w:r>
      </w:hyperlink>
      <w:r w:rsidRPr="00F30AE9">
        <w:rPr>
          <w:sz w:val="24"/>
          <w:szCs w:val="24"/>
        </w:rPr>
        <w:t xml:space="preserve">, published by Arcadis in March 2019, Australians generate almost 300 kilograms of food waste per capita every year. This resulted in a total of 7.30 million tonnes of food waste in 2016-2017 across </w:t>
      </w:r>
      <w:r w:rsidRPr="00F30AE9">
        <w:rPr>
          <w:sz w:val="24"/>
          <w:szCs w:val="24"/>
        </w:rPr>
        <w:lastRenderedPageBreak/>
        <w:t xml:space="preserve">the entire production and consumption chain. An additional 0.05 million tonnes of surplus food was donated to food rescue and relief organisations and 3.93 million tonnes of food was sent to feed animals. </w:t>
      </w:r>
    </w:p>
    <w:p w14:paraId="69C2F2A9" w14:textId="4A520CF2" w:rsidR="00F30AE9" w:rsidRPr="00F30AE9" w:rsidRDefault="00F30AE9" w:rsidP="00F30AE9">
      <w:pPr>
        <w:jc w:val="both"/>
        <w:rPr>
          <w:sz w:val="24"/>
          <w:szCs w:val="24"/>
        </w:rPr>
      </w:pPr>
      <w:r w:rsidRPr="00F30AE9">
        <w:rPr>
          <w:sz w:val="24"/>
          <w:szCs w:val="24"/>
        </w:rPr>
        <w:t>The estimated cost of food waste to the Australian economy is $20-25 billion, including the $2,200 to $3,800 per year that the average household spends on food that then becomes waste. The environmental cost of food waste in Australia is also high, with an estimated 7Mt of carbon dioxide equivalent (CO</w:t>
      </w:r>
      <w:r w:rsidRPr="00F30AE9">
        <w:rPr>
          <w:sz w:val="24"/>
          <w:szCs w:val="24"/>
          <w:vertAlign w:val="subscript"/>
        </w:rPr>
        <w:t>2</w:t>
      </w:r>
      <w:r w:rsidRPr="00F30AE9">
        <w:rPr>
          <w:sz w:val="24"/>
          <w:szCs w:val="24"/>
        </w:rPr>
        <w:t>e) emissions a year resulting from food waste in the cold food chain and 7.6Mt of CO</w:t>
      </w:r>
      <w:r w:rsidRPr="00F30AE9">
        <w:rPr>
          <w:sz w:val="24"/>
          <w:szCs w:val="24"/>
          <w:vertAlign w:val="subscript"/>
        </w:rPr>
        <w:t>2</w:t>
      </w:r>
      <w:r w:rsidRPr="00F30AE9">
        <w:rPr>
          <w:sz w:val="24"/>
          <w:szCs w:val="24"/>
        </w:rPr>
        <w:t>e emissions a year from decaying food in landfill alone</w:t>
      </w:r>
      <w:r>
        <w:rPr>
          <w:rStyle w:val="FootnoteReference"/>
          <w:sz w:val="24"/>
          <w:szCs w:val="24"/>
        </w:rPr>
        <w:footnoteReference w:id="2"/>
      </w:r>
      <w:r w:rsidRPr="00F30AE9">
        <w:rPr>
          <w:sz w:val="24"/>
          <w:szCs w:val="24"/>
          <w:vertAlign w:val="subscript"/>
        </w:rPr>
        <w:t>’</w:t>
      </w:r>
      <w:r>
        <w:rPr>
          <w:rStyle w:val="FootnoteReference"/>
          <w:sz w:val="24"/>
          <w:szCs w:val="24"/>
        </w:rPr>
        <w:footnoteReference w:id="3"/>
      </w:r>
      <w:r w:rsidRPr="00F30AE9">
        <w:rPr>
          <w:sz w:val="24"/>
          <w:szCs w:val="24"/>
        </w:rPr>
        <w:t>, suggesting that greenhouse gas emissions from food waste in Australia account for 5% or more of national greenhouse gas emissions. Whilst some studies suggest that the amount of water required to irrigate vegetables alone is 475 litres per person per day</w:t>
      </w:r>
      <w:r>
        <w:rPr>
          <w:rStyle w:val="FootnoteReference"/>
          <w:sz w:val="24"/>
          <w:szCs w:val="24"/>
        </w:rPr>
        <w:footnoteReference w:id="4"/>
      </w:r>
      <w:r w:rsidRPr="00F30AE9">
        <w:rPr>
          <w:sz w:val="24"/>
          <w:szCs w:val="24"/>
        </w:rPr>
        <w:t xml:space="preserve">.  </w:t>
      </w:r>
    </w:p>
    <w:p w14:paraId="76E43713" w14:textId="1DE24AF3" w:rsidR="00F30AE9" w:rsidRPr="00F30AE9" w:rsidRDefault="00F30AE9" w:rsidP="00F30AE9">
      <w:pPr>
        <w:spacing w:after="120"/>
        <w:jc w:val="both"/>
        <w:rPr>
          <w:sz w:val="24"/>
          <w:szCs w:val="24"/>
        </w:rPr>
      </w:pPr>
      <w:r w:rsidRPr="00F30AE9">
        <w:rPr>
          <w:sz w:val="24"/>
          <w:szCs w:val="24"/>
        </w:rPr>
        <w:t xml:space="preserve">As can be seen from the situational snapshot of food waste in Australia in </w:t>
      </w:r>
      <w:r w:rsidR="00AB24D6">
        <w:rPr>
          <w:b/>
          <w:bCs/>
          <w:color w:val="2F5496" w:themeColor="accent1" w:themeShade="BF"/>
          <w:sz w:val="24"/>
          <w:szCs w:val="24"/>
        </w:rPr>
        <w:fldChar w:fldCharType="begin"/>
      </w:r>
      <w:r w:rsidR="00AB24D6" w:rsidRPr="00AB24D6">
        <w:rPr>
          <w:sz w:val="24"/>
          <w:szCs w:val="24"/>
        </w:rPr>
        <w:instrText xml:space="preserve"> REF _Ref37934091 \h </w:instrText>
      </w:r>
      <w:r w:rsidR="00AB24D6" w:rsidRPr="00AB24D6">
        <w:rPr>
          <w:b/>
          <w:bCs/>
          <w:color w:val="2F5496" w:themeColor="accent1" w:themeShade="BF"/>
          <w:sz w:val="24"/>
          <w:szCs w:val="24"/>
        </w:rPr>
        <w:instrText xml:space="preserve"> \* MERGEFORMAT </w:instrText>
      </w:r>
      <w:r w:rsidR="00AB24D6">
        <w:rPr>
          <w:b/>
          <w:bCs/>
          <w:color w:val="2F5496" w:themeColor="accent1" w:themeShade="BF"/>
          <w:sz w:val="24"/>
          <w:szCs w:val="24"/>
        </w:rPr>
      </w:r>
      <w:r w:rsidR="00AB24D6">
        <w:rPr>
          <w:b/>
          <w:bCs/>
          <w:color w:val="2F5496" w:themeColor="accent1" w:themeShade="BF"/>
          <w:sz w:val="24"/>
          <w:szCs w:val="24"/>
        </w:rPr>
        <w:fldChar w:fldCharType="separate"/>
      </w:r>
      <w:r w:rsidR="00AB24D6" w:rsidRPr="00AB24D6">
        <w:rPr>
          <w:b/>
          <w:bCs/>
          <w:color w:val="2F5496" w:themeColor="accent1" w:themeShade="BF"/>
          <w:sz w:val="24"/>
          <w:szCs w:val="24"/>
        </w:rPr>
        <w:t xml:space="preserve">Figure </w:t>
      </w:r>
      <w:r w:rsidR="00AB24D6" w:rsidRPr="00AB24D6">
        <w:rPr>
          <w:b/>
          <w:bCs/>
          <w:noProof/>
          <w:color w:val="2F5496" w:themeColor="accent1" w:themeShade="BF"/>
          <w:sz w:val="24"/>
          <w:szCs w:val="24"/>
        </w:rPr>
        <w:t>1</w:t>
      </w:r>
      <w:r w:rsidR="00AB24D6">
        <w:rPr>
          <w:b/>
          <w:bCs/>
          <w:color w:val="2F5496" w:themeColor="accent1" w:themeShade="BF"/>
          <w:sz w:val="24"/>
          <w:szCs w:val="24"/>
        </w:rPr>
        <w:fldChar w:fldCharType="end"/>
      </w:r>
      <w:r w:rsidRPr="00F30AE9">
        <w:rPr>
          <w:color w:val="2F5496" w:themeColor="accent1" w:themeShade="BF"/>
          <w:sz w:val="24"/>
          <w:szCs w:val="24"/>
        </w:rPr>
        <w:t xml:space="preserve"> </w:t>
      </w:r>
      <w:r w:rsidRPr="00F30AE9">
        <w:rPr>
          <w:sz w:val="24"/>
          <w:szCs w:val="24"/>
        </w:rPr>
        <w:t>below, households (34%) and primary production (31%) were responsible for two thirds and food manufacturing for another quarter (24%) of the total food waste. Whilst retail, hospitality and food service and institutional sectors are responsible for a relatively small proportion of wasted food at 3%, 4% and 3% respectively, their ability to influence food waste in both the upstream and downstream food value chain make them uniquely placed to play a major role in the fight against food waste. So, any action or initiatives in Australia to reduce food waste need to cover the entire food production and consumption chain.</w:t>
      </w:r>
    </w:p>
    <w:p w14:paraId="485D897A" w14:textId="77777777" w:rsidR="00F30AE9" w:rsidRPr="00F30AE9" w:rsidRDefault="00F30AE9" w:rsidP="00F30AE9">
      <w:pPr>
        <w:spacing w:after="0"/>
        <w:rPr>
          <w:b/>
          <w:bCs/>
          <w:color w:val="2F5496" w:themeColor="accent1" w:themeShade="BF"/>
          <w:sz w:val="28"/>
          <w:szCs w:val="28"/>
        </w:rPr>
      </w:pPr>
    </w:p>
    <w:p w14:paraId="007F1A9B" w14:textId="49B42D16" w:rsidR="00F30AE9" w:rsidRPr="000C0AF3" w:rsidRDefault="00F30AE9" w:rsidP="000C0AF3">
      <w:pPr>
        <w:pStyle w:val="Heading2"/>
        <w:rPr>
          <w:rStyle w:val="BookTitle"/>
          <w:b/>
          <w:bCs w:val="0"/>
        </w:rPr>
      </w:pPr>
      <w:bookmarkStart w:id="6" w:name="_Toc39140004"/>
      <w:r w:rsidRPr="000C0AF3">
        <w:rPr>
          <w:rStyle w:val="BookTitle"/>
          <w:b/>
          <w:bCs w:val="0"/>
        </w:rPr>
        <w:t>Reframing the food waste opportunity</w:t>
      </w:r>
      <w:bookmarkEnd w:id="6"/>
    </w:p>
    <w:p w14:paraId="272C56F2" w14:textId="72879560" w:rsidR="00F30AE9" w:rsidRDefault="00F30AE9" w:rsidP="00F30AE9">
      <w:pPr>
        <w:jc w:val="both"/>
        <w:rPr>
          <w:sz w:val="24"/>
          <w:szCs w:val="24"/>
        </w:rPr>
      </w:pPr>
      <w:r>
        <w:rPr>
          <w:sz w:val="24"/>
          <w:szCs w:val="24"/>
        </w:rPr>
        <w:t xml:space="preserve">Tackling food waste in all of its forms is one of the biggest challenges facing society and the food production and consumption system today. Reducing food waste provides a significant opportunity to improve food chain trust, agility and resilience, farm productivity and food availability, particularly in times of uncertainty, high demand and supply volatility, and environmental change (e.g. where floods, droughts and ongoing water scarcity, bushfires and lost soil health create new supply risks). Providing good practical advice, hints and tips that help Australian families to better manage the food they grow or buy can save them money and </w:t>
      </w:r>
      <w:r w:rsidR="00BA1CC2">
        <w:rPr>
          <w:sz w:val="24"/>
          <w:szCs w:val="24"/>
        </w:rPr>
        <w:t xml:space="preserve">help them to </w:t>
      </w:r>
      <w:r>
        <w:rPr>
          <w:sz w:val="24"/>
          <w:szCs w:val="24"/>
        </w:rPr>
        <w:t xml:space="preserve">stay healthy. Whilst, greater food availability and the channelling of surplus food to those in need can also reduce food stress and insecurity. And finally, identifying new product or co-product opportunities that arise from </w:t>
      </w:r>
      <w:r w:rsidR="00BA1CC2">
        <w:rPr>
          <w:sz w:val="24"/>
          <w:szCs w:val="24"/>
        </w:rPr>
        <w:t xml:space="preserve">surplus </w:t>
      </w:r>
      <w:r>
        <w:rPr>
          <w:sz w:val="24"/>
          <w:szCs w:val="24"/>
        </w:rPr>
        <w:t>food or the utilisation of materials in food waste streams can unlock new value in the food supply chain, creating new business opportunities and jobs.</w:t>
      </w:r>
    </w:p>
    <w:p w14:paraId="7CFFE848" w14:textId="77777777" w:rsidR="00F30AE9" w:rsidRDefault="00F30AE9" w:rsidP="00671D11">
      <w:pPr>
        <w:jc w:val="both"/>
        <w:rPr>
          <w:sz w:val="24"/>
          <w:szCs w:val="24"/>
        </w:rPr>
      </w:pPr>
    </w:p>
    <w:p w14:paraId="41CBB05C" w14:textId="1AE04B66" w:rsidR="000E5D15" w:rsidRPr="00AB24D6" w:rsidRDefault="000E5D15" w:rsidP="00AB24D6">
      <w:pPr>
        <w:keepNext/>
        <w:jc w:val="both"/>
      </w:pPr>
      <w:bookmarkStart w:id="7" w:name="_Ref37934091"/>
      <w:bookmarkStart w:id="8" w:name="_Toc37942995"/>
      <w:r w:rsidRPr="00A54F38">
        <w:rPr>
          <w:b/>
          <w:bCs/>
          <w:color w:val="2F5496" w:themeColor="accent1" w:themeShade="BF"/>
          <w:sz w:val="20"/>
          <w:szCs w:val="20"/>
        </w:rPr>
        <w:t xml:space="preserve">Figure </w:t>
      </w:r>
      <w:r w:rsidR="00AB24D6" w:rsidRPr="00AB24D6">
        <w:rPr>
          <w:b/>
          <w:bCs/>
          <w:color w:val="2F5496" w:themeColor="accent1" w:themeShade="BF"/>
        </w:rPr>
        <w:fldChar w:fldCharType="begin"/>
      </w:r>
      <w:r w:rsidR="00AB24D6" w:rsidRPr="00AB24D6">
        <w:rPr>
          <w:b/>
          <w:bCs/>
          <w:color w:val="2F5496" w:themeColor="accent1" w:themeShade="BF"/>
        </w:rPr>
        <w:instrText xml:space="preserve"> SEQ Figure \* ARABIC </w:instrText>
      </w:r>
      <w:r w:rsidR="00AB24D6" w:rsidRPr="00AB24D6">
        <w:rPr>
          <w:b/>
          <w:bCs/>
          <w:color w:val="2F5496" w:themeColor="accent1" w:themeShade="BF"/>
        </w:rPr>
        <w:fldChar w:fldCharType="separate"/>
      </w:r>
      <w:r w:rsidR="00FE6444">
        <w:rPr>
          <w:b/>
          <w:bCs/>
          <w:noProof/>
          <w:color w:val="2F5496" w:themeColor="accent1" w:themeShade="BF"/>
        </w:rPr>
        <w:t>1</w:t>
      </w:r>
      <w:r w:rsidR="00AB24D6" w:rsidRPr="00AB24D6">
        <w:rPr>
          <w:b/>
          <w:bCs/>
          <w:color w:val="2F5496" w:themeColor="accent1" w:themeShade="BF"/>
        </w:rPr>
        <w:fldChar w:fldCharType="end"/>
      </w:r>
      <w:bookmarkEnd w:id="7"/>
      <w:r w:rsidRPr="00A54F38">
        <w:rPr>
          <w:b/>
          <w:bCs/>
          <w:color w:val="2F5496" w:themeColor="accent1" w:themeShade="BF"/>
          <w:sz w:val="20"/>
          <w:szCs w:val="20"/>
        </w:rPr>
        <w:t>:</w:t>
      </w:r>
      <w:r w:rsidRPr="00A54F38">
        <w:rPr>
          <w:sz w:val="20"/>
          <w:szCs w:val="20"/>
        </w:rPr>
        <w:t xml:space="preserve"> </w:t>
      </w:r>
      <w:r>
        <w:rPr>
          <w:sz w:val="20"/>
          <w:szCs w:val="20"/>
        </w:rPr>
        <w:t>Situational snapshot of f</w:t>
      </w:r>
      <w:r w:rsidRPr="00A54F38">
        <w:rPr>
          <w:sz w:val="20"/>
          <w:szCs w:val="20"/>
        </w:rPr>
        <w:t xml:space="preserve">ood waste in Australia </w:t>
      </w:r>
      <w:bookmarkEnd w:id="8"/>
    </w:p>
    <w:p w14:paraId="062F374A" w14:textId="3A3A2E2A" w:rsidR="005708A3" w:rsidRPr="005708A3" w:rsidRDefault="000E5D15" w:rsidP="005708A3">
      <w:pPr>
        <w:tabs>
          <w:tab w:val="left" w:pos="930"/>
        </w:tabs>
        <w:spacing w:before="120" w:after="120"/>
        <w:rPr>
          <w:b/>
          <w:bCs/>
          <w:color w:val="2F5496" w:themeColor="accent1" w:themeShade="BF"/>
        </w:rPr>
      </w:pPr>
      <w:r w:rsidRPr="00147608">
        <w:rPr>
          <w:b/>
          <w:bCs/>
          <w:noProof/>
          <w:color w:val="2F5496" w:themeColor="accent1" w:themeShade="BF"/>
        </w:rPr>
        <w:drawing>
          <wp:inline distT="0" distB="0" distL="0" distR="0" wp14:anchorId="43C76C82" wp14:editId="092455CF">
            <wp:extent cx="5755229" cy="78581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1137" cy="7866192"/>
                    </a:xfrm>
                    <a:prstGeom prst="rect">
                      <a:avLst/>
                    </a:prstGeom>
                    <a:noFill/>
                    <a:ln>
                      <a:noFill/>
                    </a:ln>
                  </pic:spPr>
                </pic:pic>
              </a:graphicData>
            </a:graphic>
          </wp:inline>
        </w:drawing>
      </w:r>
      <w:r w:rsidR="005708A3" w:rsidRPr="00BA1CC2">
        <w:rPr>
          <w:b/>
          <w:bCs/>
          <w:color w:val="2F5496" w:themeColor="accent1" w:themeShade="BF"/>
          <w:sz w:val="20"/>
          <w:szCs w:val="20"/>
        </w:rPr>
        <w:t>Source</w:t>
      </w:r>
      <w:r w:rsidR="005708A3">
        <w:rPr>
          <w:sz w:val="20"/>
          <w:szCs w:val="20"/>
        </w:rPr>
        <w:t>: A roadmap for reducing Australia’s food waste by half by 2030 (FIAL</w:t>
      </w:r>
      <w:r w:rsidR="005708A3" w:rsidRPr="00A54F38">
        <w:rPr>
          <w:sz w:val="20"/>
          <w:szCs w:val="20"/>
        </w:rPr>
        <w:t xml:space="preserve">, </w:t>
      </w:r>
      <w:r w:rsidR="005708A3">
        <w:rPr>
          <w:sz w:val="20"/>
          <w:szCs w:val="20"/>
        </w:rPr>
        <w:t>January</w:t>
      </w:r>
      <w:r w:rsidR="005708A3" w:rsidRPr="00A54F38">
        <w:rPr>
          <w:sz w:val="20"/>
          <w:szCs w:val="20"/>
        </w:rPr>
        <w:t xml:space="preserve"> 20</w:t>
      </w:r>
      <w:r w:rsidR="005708A3">
        <w:rPr>
          <w:sz w:val="20"/>
          <w:szCs w:val="20"/>
        </w:rPr>
        <w:t>20</w:t>
      </w:r>
      <w:r w:rsidR="005708A3" w:rsidRPr="00A54F38">
        <w:rPr>
          <w:sz w:val="20"/>
          <w:szCs w:val="20"/>
        </w:rPr>
        <w:t>)</w:t>
      </w:r>
    </w:p>
    <w:p w14:paraId="768ADCA6" w14:textId="77777777" w:rsidR="007C2931" w:rsidRDefault="007C2931" w:rsidP="00671D11">
      <w:pPr>
        <w:jc w:val="both"/>
        <w:rPr>
          <w:b/>
          <w:bCs/>
          <w:color w:val="2F5496" w:themeColor="accent1" w:themeShade="BF"/>
          <w:sz w:val="24"/>
          <w:szCs w:val="24"/>
        </w:rPr>
      </w:pPr>
    </w:p>
    <w:p w14:paraId="19E23BC4" w14:textId="061E4EF8" w:rsidR="00981DB8" w:rsidRPr="004C5FFC" w:rsidRDefault="00AB24D6" w:rsidP="00671D11">
      <w:pPr>
        <w:jc w:val="both"/>
      </w:pPr>
      <w:r w:rsidRPr="00AB24D6">
        <w:rPr>
          <w:b/>
          <w:bCs/>
          <w:color w:val="2F5496" w:themeColor="accent1" w:themeShade="BF"/>
          <w:sz w:val="24"/>
          <w:szCs w:val="24"/>
        </w:rPr>
        <w:fldChar w:fldCharType="begin"/>
      </w:r>
      <w:r w:rsidRPr="00AB24D6">
        <w:rPr>
          <w:sz w:val="24"/>
          <w:szCs w:val="24"/>
        </w:rPr>
        <w:instrText xml:space="preserve"> REF _Ref37934189 \h </w:instrText>
      </w:r>
      <w:r>
        <w:rPr>
          <w:b/>
          <w:bCs/>
          <w:color w:val="2F5496" w:themeColor="accent1" w:themeShade="BF"/>
          <w:sz w:val="24"/>
          <w:szCs w:val="24"/>
        </w:rPr>
        <w:instrText xml:space="preserve"> \* MERGEFORMAT </w:instrText>
      </w:r>
      <w:r w:rsidRPr="00AB24D6">
        <w:rPr>
          <w:b/>
          <w:bCs/>
          <w:color w:val="2F5496" w:themeColor="accent1" w:themeShade="BF"/>
          <w:sz w:val="24"/>
          <w:szCs w:val="24"/>
        </w:rPr>
      </w:r>
      <w:r w:rsidRPr="00AB24D6">
        <w:rPr>
          <w:b/>
          <w:bCs/>
          <w:color w:val="2F5496" w:themeColor="accent1" w:themeShade="BF"/>
          <w:sz w:val="24"/>
          <w:szCs w:val="24"/>
        </w:rPr>
        <w:fldChar w:fldCharType="separate"/>
      </w:r>
      <w:r w:rsidRPr="00AB24D6">
        <w:rPr>
          <w:b/>
          <w:bCs/>
          <w:color w:val="2F5496" w:themeColor="accent1" w:themeShade="BF"/>
          <w:sz w:val="24"/>
          <w:szCs w:val="24"/>
        </w:rPr>
        <w:t xml:space="preserve">Figure </w:t>
      </w:r>
      <w:r w:rsidRPr="00AB24D6">
        <w:rPr>
          <w:b/>
          <w:bCs/>
          <w:noProof/>
          <w:color w:val="2F5496" w:themeColor="accent1" w:themeShade="BF"/>
          <w:sz w:val="24"/>
          <w:szCs w:val="24"/>
        </w:rPr>
        <w:t>2</w:t>
      </w:r>
      <w:r w:rsidRPr="00AB24D6">
        <w:rPr>
          <w:b/>
          <w:bCs/>
          <w:color w:val="2F5496" w:themeColor="accent1" w:themeShade="BF"/>
          <w:sz w:val="24"/>
          <w:szCs w:val="24"/>
        </w:rPr>
        <w:fldChar w:fldCharType="end"/>
      </w:r>
      <w:r>
        <w:rPr>
          <w:b/>
          <w:bCs/>
          <w:color w:val="2F5496" w:themeColor="accent1" w:themeShade="BF"/>
          <w:sz w:val="24"/>
          <w:szCs w:val="24"/>
        </w:rPr>
        <w:t xml:space="preserve"> </w:t>
      </w:r>
      <w:r w:rsidR="00631912">
        <w:rPr>
          <w:sz w:val="24"/>
          <w:szCs w:val="24"/>
        </w:rPr>
        <w:t>below</w:t>
      </w:r>
      <w:r w:rsidR="00981DB8">
        <w:rPr>
          <w:sz w:val="24"/>
          <w:szCs w:val="24"/>
        </w:rPr>
        <w:t xml:space="preserve"> illustrates the concept of the food recovery </w:t>
      </w:r>
      <w:r w:rsidR="001D6DD6">
        <w:rPr>
          <w:sz w:val="24"/>
          <w:szCs w:val="24"/>
        </w:rPr>
        <w:t>hierarchy</w:t>
      </w:r>
      <w:r w:rsidR="00981DB8">
        <w:rPr>
          <w:sz w:val="24"/>
          <w:szCs w:val="24"/>
        </w:rPr>
        <w:t xml:space="preserve"> and identifies how much food and food waste arises at each level of the </w:t>
      </w:r>
      <w:r w:rsidR="001D6DD6">
        <w:rPr>
          <w:sz w:val="24"/>
          <w:szCs w:val="24"/>
        </w:rPr>
        <w:t>hierarchy</w:t>
      </w:r>
      <w:r w:rsidR="00981DB8">
        <w:rPr>
          <w:sz w:val="24"/>
          <w:szCs w:val="24"/>
        </w:rPr>
        <w:t xml:space="preserve"> according to the Arcadis baseline study.</w:t>
      </w:r>
      <w:r w:rsidR="004C5FFC">
        <w:rPr>
          <w:sz w:val="24"/>
          <w:szCs w:val="24"/>
        </w:rPr>
        <w:t xml:space="preserve"> As can be seen from </w:t>
      </w:r>
      <w:r w:rsidRPr="00AB24D6">
        <w:rPr>
          <w:b/>
          <w:bCs/>
          <w:color w:val="2F5496" w:themeColor="accent1" w:themeShade="BF"/>
          <w:sz w:val="24"/>
          <w:szCs w:val="24"/>
        </w:rPr>
        <w:fldChar w:fldCharType="begin"/>
      </w:r>
      <w:r w:rsidRPr="00AB24D6">
        <w:rPr>
          <w:sz w:val="24"/>
          <w:szCs w:val="24"/>
        </w:rPr>
        <w:instrText xml:space="preserve"> REF _Ref37934189 \h </w:instrText>
      </w:r>
      <w:r>
        <w:rPr>
          <w:b/>
          <w:bCs/>
          <w:color w:val="2F5496" w:themeColor="accent1" w:themeShade="BF"/>
          <w:sz w:val="24"/>
          <w:szCs w:val="24"/>
        </w:rPr>
        <w:instrText xml:space="preserve"> \* MERGEFORMAT </w:instrText>
      </w:r>
      <w:r w:rsidRPr="00AB24D6">
        <w:rPr>
          <w:b/>
          <w:bCs/>
          <w:color w:val="2F5496" w:themeColor="accent1" w:themeShade="BF"/>
          <w:sz w:val="24"/>
          <w:szCs w:val="24"/>
        </w:rPr>
      </w:r>
      <w:r w:rsidRPr="00AB24D6">
        <w:rPr>
          <w:b/>
          <w:bCs/>
          <w:color w:val="2F5496" w:themeColor="accent1" w:themeShade="BF"/>
          <w:sz w:val="24"/>
          <w:szCs w:val="24"/>
        </w:rPr>
        <w:fldChar w:fldCharType="separate"/>
      </w:r>
      <w:r w:rsidRPr="00AB24D6">
        <w:rPr>
          <w:b/>
          <w:bCs/>
          <w:color w:val="2F5496" w:themeColor="accent1" w:themeShade="BF"/>
          <w:sz w:val="24"/>
          <w:szCs w:val="24"/>
        </w:rPr>
        <w:t xml:space="preserve">Figure </w:t>
      </w:r>
      <w:r w:rsidRPr="00AB24D6">
        <w:rPr>
          <w:b/>
          <w:bCs/>
          <w:noProof/>
          <w:color w:val="2F5496" w:themeColor="accent1" w:themeShade="BF"/>
          <w:sz w:val="24"/>
          <w:szCs w:val="24"/>
        </w:rPr>
        <w:t>2</w:t>
      </w:r>
      <w:r w:rsidRPr="00AB24D6">
        <w:rPr>
          <w:b/>
          <w:bCs/>
          <w:color w:val="2F5496" w:themeColor="accent1" w:themeShade="BF"/>
          <w:sz w:val="24"/>
          <w:szCs w:val="24"/>
        </w:rPr>
        <w:fldChar w:fldCharType="end"/>
      </w:r>
      <w:r w:rsidR="004C5FFC">
        <w:rPr>
          <w:sz w:val="24"/>
          <w:szCs w:val="24"/>
        </w:rPr>
        <w:t>,</w:t>
      </w:r>
      <w:r w:rsidR="004C5FFC" w:rsidRPr="00671D11">
        <w:rPr>
          <w:sz w:val="24"/>
          <w:szCs w:val="24"/>
        </w:rPr>
        <w:t xml:space="preserve"> </w:t>
      </w:r>
      <w:r w:rsidR="004C5FFC">
        <w:rPr>
          <w:sz w:val="24"/>
          <w:szCs w:val="24"/>
        </w:rPr>
        <w:t>a</w:t>
      </w:r>
      <w:r w:rsidR="004C5FFC" w:rsidRPr="00852BEF">
        <w:rPr>
          <w:sz w:val="24"/>
          <w:szCs w:val="24"/>
          <w:lang w:val="en-GB"/>
        </w:rPr>
        <w:t xml:space="preserve"> significant re-balancing of effort </w:t>
      </w:r>
      <w:r w:rsidR="004C5FFC">
        <w:rPr>
          <w:sz w:val="24"/>
          <w:szCs w:val="24"/>
          <w:lang w:val="en-GB"/>
        </w:rPr>
        <w:t xml:space="preserve">is going to be </w:t>
      </w:r>
      <w:r w:rsidR="004C5FFC" w:rsidRPr="00852BEF">
        <w:rPr>
          <w:sz w:val="24"/>
          <w:szCs w:val="24"/>
          <w:lang w:val="en-GB"/>
        </w:rPr>
        <w:t>required</w:t>
      </w:r>
      <w:r w:rsidR="004C5FFC">
        <w:rPr>
          <w:sz w:val="24"/>
          <w:szCs w:val="24"/>
          <w:lang w:val="en-GB"/>
        </w:rPr>
        <w:t xml:space="preserve"> in order to provide</w:t>
      </w:r>
      <w:r w:rsidR="004C5FFC" w:rsidRPr="00852BEF">
        <w:rPr>
          <w:sz w:val="24"/>
          <w:szCs w:val="24"/>
          <w:lang w:val="en-GB"/>
        </w:rPr>
        <w:t xml:space="preserve"> a stronger focus on activities that will deliver the </w:t>
      </w:r>
      <w:r w:rsidR="004C5FFC">
        <w:rPr>
          <w:sz w:val="24"/>
          <w:szCs w:val="24"/>
          <w:lang w:val="en-GB"/>
        </w:rPr>
        <w:t xml:space="preserve">national 50% reduction </w:t>
      </w:r>
      <w:r w:rsidR="004C5FFC" w:rsidRPr="00852BEF">
        <w:rPr>
          <w:sz w:val="24"/>
          <w:szCs w:val="24"/>
          <w:lang w:val="en-GB"/>
        </w:rPr>
        <w:t>target: food waste prevention, reuse and high value waste valorisation</w:t>
      </w:r>
      <w:r w:rsidR="00310600">
        <w:rPr>
          <w:sz w:val="24"/>
          <w:szCs w:val="24"/>
          <w:lang w:val="en-GB"/>
        </w:rPr>
        <w:t>.</w:t>
      </w:r>
    </w:p>
    <w:p w14:paraId="7C7932BE" w14:textId="031B0790" w:rsidR="002C304E" w:rsidRDefault="000F73EC" w:rsidP="00852BEF">
      <w:pPr>
        <w:jc w:val="both"/>
        <w:rPr>
          <w:sz w:val="24"/>
          <w:szCs w:val="24"/>
        </w:rPr>
      </w:pPr>
      <w:r w:rsidRPr="00E4292D">
        <w:rPr>
          <w:sz w:val="24"/>
          <w:szCs w:val="24"/>
        </w:rPr>
        <w:t xml:space="preserve">Information on the Australian Government’s </w:t>
      </w:r>
      <w:hyperlink r:id="rId18" w:history="1">
        <w:r w:rsidRPr="00FB5542">
          <w:rPr>
            <w:rStyle w:val="Hyperlink"/>
            <w:sz w:val="24"/>
            <w:szCs w:val="24"/>
          </w:rPr>
          <w:t>National Food Waste Strategy</w:t>
        </w:r>
      </w:hyperlink>
      <w:r w:rsidRPr="00FB5542">
        <w:rPr>
          <w:sz w:val="24"/>
          <w:szCs w:val="24"/>
        </w:rPr>
        <w:t xml:space="preserve">, committing to halve food loss </w:t>
      </w:r>
      <w:r w:rsidRPr="00FB5542">
        <w:rPr>
          <w:sz w:val="24"/>
          <w:szCs w:val="24"/>
          <w:u w:val="single"/>
        </w:rPr>
        <w:t>and</w:t>
      </w:r>
      <w:r w:rsidRPr="00FB5542">
        <w:rPr>
          <w:sz w:val="24"/>
          <w:szCs w:val="24"/>
        </w:rPr>
        <w:t xml:space="preserve"> waste </w:t>
      </w:r>
      <w:r w:rsidR="00224017" w:rsidRPr="00FB5542">
        <w:rPr>
          <w:sz w:val="24"/>
          <w:szCs w:val="24"/>
        </w:rPr>
        <w:t xml:space="preserve">in Australia </w:t>
      </w:r>
      <w:r w:rsidRPr="00FB5542">
        <w:rPr>
          <w:sz w:val="24"/>
          <w:szCs w:val="24"/>
        </w:rPr>
        <w:t>by 2030</w:t>
      </w:r>
      <w:r w:rsidR="00224017" w:rsidRPr="00FB5542">
        <w:rPr>
          <w:sz w:val="24"/>
          <w:szCs w:val="24"/>
        </w:rPr>
        <w:t xml:space="preserve"> </w:t>
      </w:r>
      <w:r w:rsidRPr="00E4292D">
        <w:rPr>
          <w:sz w:val="24"/>
          <w:szCs w:val="24"/>
        </w:rPr>
        <w:t>and other relevant policy documents, including the definition of food waste</w:t>
      </w:r>
      <w:r w:rsidR="00224017" w:rsidRPr="00E4292D">
        <w:rPr>
          <w:sz w:val="24"/>
          <w:szCs w:val="24"/>
        </w:rPr>
        <w:t xml:space="preserve"> and the activities that count towards the achievement of this target can be found in </w:t>
      </w:r>
      <w:r w:rsidR="00224017" w:rsidRPr="00E4292D">
        <w:rPr>
          <w:b/>
          <w:bCs/>
          <w:color w:val="2F5496" w:themeColor="accent1" w:themeShade="BF"/>
          <w:sz w:val="24"/>
          <w:szCs w:val="24"/>
        </w:rPr>
        <w:t>Annex A</w:t>
      </w:r>
      <w:r w:rsidR="00224017" w:rsidRPr="00E4292D">
        <w:rPr>
          <w:sz w:val="24"/>
          <w:szCs w:val="24"/>
        </w:rPr>
        <w:t>.</w:t>
      </w:r>
    </w:p>
    <w:p w14:paraId="3EFDD363" w14:textId="10877DFB" w:rsidR="00B34486" w:rsidRPr="00AB24D6" w:rsidRDefault="00B34486" w:rsidP="00AB24D6">
      <w:pPr>
        <w:keepNext/>
        <w:jc w:val="both"/>
      </w:pPr>
      <w:bookmarkStart w:id="9" w:name="_Ref37934189"/>
      <w:bookmarkStart w:id="10" w:name="_Toc37942996"/>
      <w:r w:rsidRPr="00AB24D6">
        <w:rPr>
          <w:b/>
          <w:bCs/>
          <w:color w:val="2F5496" w:themeColor="accent1" w:themeShade="BF"/>
          <w:sz w:val="20"/>
          <w:szCs w:val="20"/>
        </w:rPr>
        <w:t xml:space="preserve">Figure </w:t>
      </w:r>
      <w:r w:rsidR="00AB24D6" w:rsidRPr="00AB24D6">
        <w:rPr>
          <w:b/>
          <w:bCs/>
          <w:color w:val="2F5496" w:themeColor="accent1" w:themeShade="BF"/>
          <w:sz w:val="20"/>
          <w:szCs w:val="20"/>
        </w:rPr>
        <w:fldChar w:fldCharType="begin"/>
      </w:r>
      <w:r w:rsidR="00AB24D6" w:rsidRPr="00AB24D6">
        <w:rPr>
          <w:b/>
          <w:bCs/>
          <w:color w:val="2F5496" w:themeColor="accent1" w:themeShade="BF"/>
          <w:sz w:val="20"/>
          <w:szCs w:val="20"/>
        </w:rPr>
        <w:instrText xml:space="preserve"> SEQ Figure \* ARABIC </w:instrText>
      </w:r>
      <w:r w:rsidR="00AB24D6" w:rsidRPr="00AB24D6">
        <w:rPr>
          <w:b/>
          <w:bCs/>
          <w:color w:val="2F5496" w:themeColor="accent1" w:themeShade="BF"/>
          <w:sz w:val="20"/>
          <w:szCs w:val="20"/>
        </w:rPr>
        <w:fldChar w:fldCharType="separate"/>
      </w:r>
      <w:r w:rsidR="00FE6444">
        <w:rPr>
          <w:b/>
          <w:bCs/>
          <w:noProof/>
          <w:color w:val="2F5496" w:themeColor="accent1" w:themeShade="BF"/>
          <w:sz w:val="20"/>
          <w:szCs w:val="20"/>
        </w:rPr>
        <w:t>2</w:t>
      </w:r>
      <w:r w:rsidR="00AB24D6" w:rsidRPr="00AB24D6">
        <w:rPr>
          <w:b/>
          <w:bCs/>
          <w:color w:val="2F5496" w:themeColor="accent1" w:themeShade="BF"/>
          <w:sz w:val="20"/>
          <w:szCs w:val="20"/>
        </w:rPr>
        <w:fldChar w:fldCharType="end"/>
      </w:r>
      <w:bookmarkEnd w:id="9"/>
      <w:r w:rsidRPr="00A54F38">
        <w:rPr>
          <w:sz w:val="20"/>
          <w:szCs w:val="20"/>
        </w:rPr>
        <w:t>: Illustration of the concept of the food recovery hierarchy, the tonnages of food and food waste present at each of the levels of the hierarchy in Australia according to the March 2019 Arcadis baseline study and desired 2030 outcomes.</w:t>
      </w:r>
      <w:bookmarkEnd w:id="10"/>
    </w:p>
    <w:p w14:paraId="087DAA31" w14:textId="77777777" w:rsidR="00B34486" w:rsidRDefault="00B34486" w:rsidP="00852BEF">
      <w:pPr>
        <w:jc w:val="both"/>
        <w:rPr>
          <w:sz w:val="24"/>
          <w:szCs w:val="24"/>
        </w:rPr>
      </w:pPr>
      <w:r>
        <w:rPr>
          <w:noProof/>
          <w:sz w:val="24"/>
          <w:szCs w:val="24"/>
        </w:rPr>
        <w:drawing>
          <wp:inline distT="0" distB="0" distL="0" distR="0" wp14:anchorId="5850DAFC" wp14:editId="3BF83A4A">
            <wp:extent cx="5705636" cy="21907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28843" cy="2199660"/>
                    </a:xfrm>
                    <a:prstGeom prst="rect">
                      <a:avLst/>
                    </a:prstGeom>
                    <a:noFill/>
                  </pic:spPr>
                </pic:pic>
              </a:graphicData>
            </a:graphic>
          </wp:inline>
        </w:drawing>
      </w:r>
    </w:p>
    <w:p w14:paraId="16FAE34B" w14:textId="77777777" w:rsidR="007801F9" w:rsidRDefault="007801F9" w:rsidP="00B34486">
      <w:pPr>
        <w:rPr>
          <w:b/>
          <w:bCs/>
          <w:color w:val="2F5496" w:themeColor="accent1" w:themeShade="BF"/>
          <w:sz w:val="18"/>
          <w:szCs w:val="18"/>
        </w:rPr>
      </w:pPr>
    </w:p>
    <w:p w14:paraId="57F6D42B" w14:textId="58A0416D" w:rsidR="00B34486" w:rsidRPr="003461C2" w:rsidRDefault="00B34486" w:rsidP="00B34486">
      <w:pPr>
        <w:rPr>
          <w:b/>
          <w:bCs/>
          <w:color w:val="2F5496" w:themeColor="accent1" w:themeShade="BF"/>
          <w:sz w:val="18"/>
          <w:szCs w:val="18"/>
        </w:rPr>
      </w:pPr>
      <w:r w:rsidRPr="003461C2">
        <w:rPr>
          <w:b/>
          <w:bCs/>
          <w:color w:val="2F5496" w:themeColor="accent1" w:themeShade="BF"/>
          <w:sz w:val="18"/>
          <w:szCs w:val="18"/>
        </w:rPr>
        <w:t>Key to Figure 2 - Definitions: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405"/>
      </w:tblGrid>
      <w:tr w:rsidR="00B34486" w:rsidRPr="003461C2" w14:paraId="135088A5" w14:textId="77777777" w:rsidTr="004C7AC7">
        <w:tc>
          <w:tcPr>
            <w:tcW w:w="6974" w:type="dxa"/>
          </w:tcPr>
          <w:p w14:paraId="33366291" w14:textId="77777777" w:rsidR="00B34486" w:rsidRPr="003461C2" w:rsidRDefault="00B34486" w:rsidP="004C7AC7">
            <w:pPr>
              <w:spacing w:after="120"/>
              <w:rPr>
                <w:sz w:val="18"/>
                <w:szCs w:val="18"/>
              </w:rPr>
            </w:pPr>
            <w:r w:rsidRPr="003461C2">
              <w:rPr>
                <w:b/>
                <w:bCs/>
                <w:color w:val="2F5496" w:themeColor="accent1" w:themeShade="BF"/>
                <w:sz w:val="18"/>
                <w:szCs w:val="18"/>
              </w:rPr>
              <w:t>Prevention:</w:t>
            </w:r>
            <w:r w:rsidRPr="003461C2">
              <w:rPr>
                <w:color w:val="2F5496" w:themeColor="accent1" w:themeShade="BF"/>
                <w:sz w:val="18"/>
                <w:szCs w:val="18"/>
              </w:rPr>
              <w:t xml:space="preserve"> </w:t>
            </w:r>
            <w:r w:rsidRPr="003461C2">
              <w:rPr>
                <w:sz w:val="18"/>
                <w:szCs w:val="18"/>
              </w:rPr>
              <w:t xml:space="preserve">means </w:t>
            </w:r>
            <w:r>
              <w:rPr>
                <w:sz w:val="18"/>
                <w:szCs w:val="18"/>
              </w:rPr>
              <w:t xml:space="preserve">the </w:t>
            </w:r>
            <w:r w:rsidRPr="003461C2">
              <w:rPr>
                <w:sz w:val="18"/>
                <w:szCs w:val="18"/>
              </w:rPr>
              <w:t>elimination of - or reduction</w:t>
            </w:r>
            <w:r>
              <w:rPr>
                <w:sz w:val="18"/>
                <w:szCs w:val="18"/>
              </w:rPr>
              <w:t>s</w:t>
            </w:r>
            <w:r w:rsidRPr="003461C2">
              <w:rPr>
                <w:sz w:val="18"/>
                <w:szCs w:val="18"/>
              </w:rPr>
              <w:t xml:space="preserve"> in - food waste</w:t>
            </w:r>
          </w:p>
        </w:tc>
        <w:tc>
          <w:tcPr>
            <w:tcW w:w="6974" w:type="dxa"/>
          </w:tcPr>
          <w:p w14:paraId="48703290" w14:textId="77777777" w:rsidR="00B34486" w:rsidRPr="003461C2" w:rsidRDefault="00B34486" w:rsidP="004C7AC7">
            <w:pPr>
              <w:spacing w:after="120"/>
              <w:rPr>
                <w:sz w:val="18"/>
                <w:szCs w:val="18"/>
              </w:rPr>
            </w:pPr>
            <w:r w:rsidRPr="003461C2">
              <w:rPr>
                <w:b/>
                <w:bCs/>
                <w:color w:val="2F5496" w:themeColor="accent1" w:themeShade="BF"/>
                <w:sz w:val="18"/>
                <w:szCs w:val="18"/>
              </w:rPr>
              <w:t>Reuse:</w:t>
            </w:r>
            <w:r w:rsidRPr="003461C2">
              <w:rPr>
                <w:color w:val="2F5496" w:themeColor="accent1" w:themeShade="BF"/>
                <w:sz w:val="18"/>
                <w:szCs w:val="18"/>
              </w:rPr>
              <w:t xml:space="preserve"> </w:t>
            </w:r>
            <w:r w:rsidRPr="003461C2">
              <w:rPr>
                <w:sz w:val="18"/>
                <w:szCs w:val="18"/>
              </w:rPr>
              <w:t xml:space="preserve">includes donation </w:t>
            </w:r>
            <w:r>
              <w:rPr>
                <w:sz w:val="18"/>
                <w:szCs w:val="18"/>
              </w:rPr>
              <w:t xml:space="preserve">of safe, surplus food </w:t>
            </w:r>
            <w:r w:rsidRPr="003461C2">
              <w:rPr>
                <w:sz w:val="18"/>
                <w:szCs w:val="18"/>
              </w:rPr>
              <w:t xml:space="preserve">to food rescue </w:t>
            </w:r>
            <w:r>
              <w:rPr>
                <w:sz w:val="18"/>
                <w:szCs w:val="18"/>
              </w:rPr>
              <w:t>&amp;</w:t>
            </w:r>
            <w:r w:rsidRPr="003461C2">
              <w:rPr>
                <w:sz w:val="18"/>
                <w:szCs w:val="18"/>
              </w:rPr>
              <w:t xml:space="preserve"> relief </w:t>
            </w:r>
            <w:r>
              <w:rPr>
                <w:sz w:val="18"/>
                <w:szCs w:val="18"/>
              </w:rPr>
              <w:t xml:space="preserve">organisations </w:t>
            </w:r>
            <w:r w:rsidRPr="003461C2">
              <w:rPr>
                <w:sz w:val="18"/>
                <w:szCs w:val="18"/>
              </w:rPr>
              <w:t>and food sent to feed animals</w:t>
            </w:r>
          </w:p>
        </w:tc>
      </w:tr>
      <w:tr w:rsidR="00B34486" w:rsidRPr="003461C2" w14:paraId="3F0ED264" w14:textId="77777777" w:rsidTr="004C7AC7">
        <w:tc>
          <w:tcPr>
            <w:tcW w:w="6974" w:type="dxa"/>
          </w:tcPr>
          <w:p w14:paraId="1396DC9D" w14:textId="77777777" w:rsidR="00B34486" w:rsidRPr="003461C2" w:rsidRDefault="00B34486" w:rsidP="004C7AC7">
            <w:pPr>
              <w:spacing w:after="120"/>
              <w:rPr>
                <w:sz w:val="18"/>
                <w:szCs w:val="18"/>
              </w:rPr>
            </w:pPr>
            <w:r w:rsidRPr="003461C2">
              <w:rPr>
                <w:b/>
                <w:bCs/>
                <w:color w:val="2F5496" w:themeColor="accent1" w:themeShade="BF"/>
                <w:sz w:val="18"/>
                <w:szCs w:val="18"/>
              </w:rPr>
              <w:t>Recycling:</w:t>
            </w:r>
            <w:r w:rsidRPr="003461C2">
              <w:rPr>
                <w:color w:val="2F5496" w:themeColor="accent1" w:themeShade="BF"/>
                <w:sz w:val="18"/>
                <w:szCs w:val="18"/>
              </w:rPr>
              <w:t xml:space="preserve"> </w:t>
            </w:r>
            <w:r w:rsidRPr="003461C2">
              <w:rPr>
                <w:sz w:val="18"/>
                <w:szCs w:val="18"/>
              </w:rPr>
              <w:t>includes co-product development (unlocking value from food waste streams – e.g. bio-refining, biomaterials), co-digestion/anaerobic digestion</w:t>
            </w:r>
            <w:r>
              <w:rPr>
                <w:sz w:val="18"/>
                <w:szCs w:val="18"/>
              </w:rPr>
              <w:t xml:space="preserve"> and aerobic </w:t>
            </w:r>
            <w:r w:rsidRPr="003461C2">
              <w:rPr>
                <w:sz w:val="18"/>
                <w:szCs w:val="18"/>
              </w:rPr>
              <w:t>composting</w:t>
            </w:r>
          </w:p>
        </w:tc>
        <w:tc>
          <w:tcPr>
            <w:tcW w:w="6974" w:type="dxa"/>
          </w:tcPr>
          <w:p w14:paraId="1D9A2F21" w14:textId="77777777" w:rsidR="00B34486" w:rsidRPr="003461C2" w:rsidRDefault="00B34486" w:rsidP="004C7AC7">
            <w:pPr>
              <w:spacing w:after="120"/>
              <w:rPr>
                <w:sz w:val="18"/>
                <w:szCs w:val="18"/>
              </w:rPr>
            </w:pPr>
            <w:r w:rsidRPr="003461C2">
              <w:rPr>
                <w:b/>
                <w:bCs/>
                <w:color w:val="2F5496" w:themeColor="accent1" w:themeShade="BF"/>
                <w:sz w:val="18"/>
                <w:szCs w:val="18"/>
              </w:rPr>
              <w:t>Recovery:</w:t>
            </w:r>
            <w:r w:rsidRPr="003461C2">
              <w:rPr>
                <w:color w:val="2F5496" w:themeColor="accent1" w:themeShade="BF"/>
                <w:sz w:val="18"/>
                <w:szCs w:val="18"/>
              </w:rPr>
              <w:t xml:space="preserve"> </w:t>
            </w:r>
            <w:r w:rsidRPr="003461C2">
              <w:rPr>
                <w:sz w:val="18"/>
                <w:szCs w:val="18"/>
              </w:rPr>
              <w:t xml:space="preserve">the </w:t>
            </w:r>
            <w:r>
              <w:rPr>
                <w:sz w:val="18"/>
                <w:szCs w:val="18"/>
              </w:rPr>
              <w:t>controlled combustion of food waste (waste to energy), other recovery – e.g. land application, or where food is not harvested or ploughed back into the land</w:t>
            </w:r>
          </w:p>
        </w:tc>
      </w:tr>
      <w:tr w:rsidR="00B34486" w:rsidRPr="003461C2" w14:paraId="24CD3415" w14:textId="77777777" w:rsidTr="004C7AC7">
        <w:tc>
          <w:tcPr>
            <w:tcW w:w="6974" w:type="dxa"/>
          </w:tcPr>
          <w:p w14:paraId="36AA1228" w14:textId="77777777" w:rsidR="00B34486" w:rsidRPr="003461C2" w:rsidRDefault="00B34486" w:rsidP="004C7AC7">
            <w:pPr>
              <w:spacing w:after="120"/>
              <w:rPr>
                <w:sz w:val="18"/>
                <w:szCs w:val="18"/>
              </w:rPr>
            </w:pPr>
            <w:r w:rsidRPr="003461C2">
              <w:rPr>
                <w:b/>
                <w:bCs/>
                <w:color w:val="2F5496" w:themeColor="accent1" w:themeShade="BF"/>
                <w:sz w:val="18"/>
                <w:szCs w:val="18"/>
              </w:rPr>
              <w:t>Disposal:</w:t>
            </w:r>
            <w:r w:rsidRPr="003461C2">
              <w:rPr>
                <w:color w:val="2F5496" w:themeColor="accent1" w:themeShade="BF"/>
                <w:sz w:val="18"/>
                <w:szCs w:val="18"/>
              </w:rPr>
              <w:t xml:space="preserve"> </w:t>
            </w:r>
            <w:r>
              <w:rPr>
                <w:sz w:val="18"/>
                <w:szCs w:val="18"/>
              </w:rPr>
              <w:t>landfilling of food waste, sewer or wastewater treatment, other disposal methods</w:t>
            </w:r>
          </w:p>
        </w:tc>
        <w:tc>
          <w:tcPr>
            <w:tcW w:w="6974" w:type="dxa"/>
          </w:tcPr>
          <w:p w14:paraId="35875B7A" w14:textId="77777777" w:rsidR="00B34486" w:rsidRPr="003461C2" w:rsidRDefault="00B34486" w:rsidP="004C7AC7">
            <w:pPr>
              <w:spacing w:after="120"/>
              <w:rPr>
                <w:sz w:val="18"/>
                <w:szCs w:val="18"/>
              </w:rPr>
            </w:pPr>
          </w:p>
        </w:tc>
      </w:tr>
    </w:tbl>
    <w:p w14:paraId="631444B5" w14:textId="6FA783F1" w:rsidR="0086221B" w:rsidRDefault="0086221B" w:rsidP="00852BEF">
      <w:pPr>
        <w:jc w:val="both"/>
        <w:rPr>
          <w:sz w:val="24"/>
          <w:szCs w:val="24"/>
        </w:rPr>
      </w:pPr>
      <w:r>
        <w:rPr>
          <w:sz w:val="24"/>
          <w:szCs w:val="24"/>
        </w:rPr>
        <w:br w:type="page"/>
      </w:r>
    </w:p>
    <w:p w14:paraId="3C1DE7AD" w14:textId="56DD7686" w:rsidR="00EA2E11" w:rsidRPr="00DB5FB3" w:rsidRDefault="00EA2E11" w:rsidP="00DB5FB3">
      <w:pPr>
        <w:pStyle w:val="Heading1"/>
        <w:rPr>
          <w:rStyle w:val="Strong"/>
          <w:b/>
          <w:bCs w:val="0"/>
        </w:rPr>
      </w:pPr>
      <w:bookmarkStart w:id="11" w:name="_Toc39140005"/>
      <w:r w:rsidRPr="00DB5FB3">
        <w:rPr>
          <w:rStyle w:val="Strong"/>
          <w:b/>
          <w:bCs w:val="0"/>
        </w:rPr>
        <w:lastRenderedPageBreak/>
        <w:t>What is the business case for reducing food waste?</w:t>
      </w:r>
      <w:bookmarkEnd w:id="11"/>
    </w:p>
    <w:p w14:paraId="14DD063C" w14:textId="2F25D528" w:rsidR="00903904" w:rsidRPr="00903904" w:rsidRDefault="00903904" w:rsidP="00BA1CC2">
      <w:pPr>
        <w:spacing w:after="240"/>
        <w:jc w:val="both"/>
        <w:rPr>
          <w:sz w:val="24"/>
          <w:szCs w:val="24"/>
        </w:rPr>
      </w:pPr>
      <w:r w:rsidRPr="00903904">
        <w:rPr>
          <w:sz w:val="24"/>
          <w:szCs w:val="24"/>
        </w:rPr>
        <w:t xml:space="preserve">The business case for reducing food waste is multifaceted and compelling. </w:t>
      </w:r>
      <w:r w:rsidR="00AB24D6" w:rsidRPr="00AB24D6">
        <w:rPr>
          <w:b/>
          <w:bCs/>
          <w:color w:val="2F5496" w:themeColor="accent1" w:themeShade="BF"/>
          <w:sz w:val="24"/>
          <w:szCs w:val="24"/>
        </w:rPr>
        <w:fldChar w:fldCharType="begin"/>
      </w:r>
      <w:r w:rsidR="00AB24D6" w:rsidRPr="00AB24D6">
        <w:rPr>
          <w:b/>
          <w:bCs/>
          <w:color w:val="2F5496" w:themeColor="accent1" w:themeShade="BF"/>
          <w:sz w:val="24"/>
          <w:szCs w:val="24"/>
        </w:rPr>
        <w:instrText xml:space="preserve"> REF _Ref37934372 \h  \* MERGEFORMAT </w:instrText>
      </w:r>
      <w:r w:rsidR="00AB24D6" w:rsidRPr="00AB24D6">
        <w:rPr>
          <w:b/>
          <w:bCs/>
          <w:color w:val="2F5496" w:themeColor="accent1" w:themeShade="BF"/>
          <w:sz w:val="24"/>
          <w:szCs w:val="24"/>
        </w:rPr>
      </w:r>
      <w:r w:rsidR="00AB24D6" w:rsidRPr="00AB24D6">
        <w:rPr>
          <w:b/>
          <w:bCs/>
          <w:color w:val="2F5496" w:themeColor="accent1" w:themeShade="BF"/>
          <w:sz w:val="24"/>
          <w:szCs w:val="24"/>
        </w:rPr>
        <w:fldChar w:fldCharType="separate"/>
      </w:r>
      <w:r w:rsidR="00AB24D6" w:rsidRPr="00AB24D6">
        <w:rPr>
          <w:b/>
          <w:bCs/>
          <w:color w:val="2F5496" w:themeColor="accent1" w:themeShade="BF"/>
          <w:sz w:val="24"/>
          <w:szCs w:val="24"/>
        </w:rPr>
        <w:t xml:space="preserve">Table </w:t>
      </w:r>
      <w:r w:rsidR="00AB24D6" w:rsidRPr="00AB24D6">
        <w:rPr>
          <w:b/>
          <w:bCs/>
          <w:noProof/>
          <w:color w:val="2F5496" w:themeColor="accent1" w:themeShade="BF"/>
          <w:sz w:val="24"/>
          <w:szCs w:val="24"/>
        </w:rPr>
        <w:t>1</w:t>
      </w:r>
      <w:r w:rsidR="00AB24D6" w:rsidRPr="00AB24D6">
        <w:rPr>
          <w:b/>
          <w:bCs/>
          <w:color w:val="2F5496" w:themeColor="accent1" w:themeShade="BF"/>
          <w:sz w:val="24"/>
          <w:szCs w:val="24"/>
        </w:rPr>
        <w:fldChar w:fldCharType="end"/>
      </w:r>
      <w:r w:rsidRPr="00AB24D6">
        <w:rPr>
          <w:color w:val="2F5496" w:themeColor="accent1" w:themeShade="BF"/>
          <w:sz w:val="24"/>
          <w:szCs w:val="24"/>
        </w:rPr>
        <w:t xml:space="preserve"> </w:t>
      </w:r>
      <w:r w:rsidRPr="00903904">
        <w:rPr>
          <w:sz w:val="24"/>
          <w:szCs w:val="24"/>
        </w:rPr>
        <w:t xml:space="preserve">below summarises the business benefits of reducing food waste, with significant opportunities to: </w:t>
      </w:r>
    </w:p>
    <w:tbl>
      <w:tblPr>
        <w:tblStyle w:val="TableGrid"/>
        <w:tblW w:w="0" w:type="auto"/>
        <w:tblLook w:val="04A0" w:firstRow="1" w:lastRow="0" w:firstColumn="1" w:lastColumn="0" w:noHBand="0" w:noVBand="1"/>
      </w:tblPr>
      <w:tblGrid>
        <w:gridCol w:w="3539"/>
        <w:gridCol w:w="5477"/>
      </w:tblGrid>
      <w:tr w:rsidR="002B4882" w:rsidRPr="00D83FDE" w14:paraId="3376BA7E" w14:textId="77777777" w:rsidTr="00906E34">
        <w:tc>
          <w:tcPr>
            <w:tcW w:w="3539" w:type="dxa"/>
            <w:shd w:val="clear" w:color="auto" w:fill="2F5496" w:themeFill="accent1" w:themeFillShade="BF"/>
          </w:tcPr>
          <w:p w14:paraId="675E17B5" w14:textId="77777777" w:rsidR="002B4882" w:rsidRPr="00D83FDE" w:rsidRDefault="002B4882" w:rsidP="00906E34">
            <w:pPr>
              <w:spacing w:after="80"/>
              <w:rPr>
                <w:color w:val="FFFFFF" w:themeColor="background1"/>
              </w:rPr>
            </w:pPr>
            <w:r w:rsidRPr="00D83FDE">
              <w:rPr>
                <w:color w:val="FFFFFF" w:themeColor="background1"/>
              </w:rPr>
              <w:t>Improve business performance</w:t>
            </w:r>
          </w:p>
        </w:tc>
        <w:tc>
          <w:tcPr>
            <w:tcW w:w="5477" w:type="dxa"/>
          </w:tcPr>
          <w:p w14:paraId="1FC06887" w14:textId="77777777" w:rsidR="002B4882" w:rsidRPr="00D83FDE" w:rsidRDefault="002B4882" w:rsidP="00906E34">
            <w:pPr>
              <w:spacing w:after="80"/>
              <w:jc w:val="both"/>
            </w:pPr>
            <w:r w:rsidRPr="00D83FDE">
              <w:t>By reducing direct operating and value chain costs</w:t>
            </w:r>
          </w:p>
        </w:tc>
      </w:tr>
      <w:tr w:rsidR="002B4882" w:rsidRPr="00D83FDE" w14:paraId="65FD9D96" w14:textId="77777777" w:rsidTr="00906E34">
        <w:tc>
          <w:tcPr>
            <w:tcW w:w="3539" w:type="dxa"/>
            <w:shd w:val="clear" w:color="auto" w:fill="2F5496" w:themeFill="accent1" w:themeFillShade="BF"/>
          </w:tcPr>
          <w:p w14:paraId="6CDD3722" w14:textId="77777777" w:rsidR="002B4882" w:rsidRPr="00D83FDE" w:rsidRDefault="002B4882" w:rsidP="00906E34">
            <w:pPr>
              <w:spacing w:after="80"/>
              <w:rPr>
                <w:color w:val="FFFFFF" w:themeColor="background1"/>
              </w:rPr>
            </w:pPr>
            <w:r w:rsidRPr="00D83FDE">
              <w:rPr>
                <w:color w:val="FFFFFF" w:themeColor="background1"/>
              </w:rPr>
              <w:t>Improve business and value chain resilience</w:t>
            </w:r>
          </w:p>
        </w:tc>
        <w:tc>
          <w:tcPr>
            <w:tcW w:w="5477" w:type="dxa"/>
          </w:tcPr>
          <w:p w14:paraId="7D98F880" w14:textId="77777777" w:rsidR="002B4882" w:rsidRPr="00D83FDE" w:rsidRDefault="002B4882" w:rsidP="00906E34">
            <w:pPr>
              <w:spacing w:after="80"/>
              <w:jc w:val="both"/>
            </w:pPr>
            <w:r w:rsidRPr="00D83FDE">
              <w:t>By responding to an increasingly resource constrained world where:</w:t>
            </w:r>
          </w:p>
          <w:p w14:paraId="70824F17" w14:textId="77777777" w:rsidR="002B4882" w:rsidRPr="00D83FDE" w:rsidRDefault="002B4882" w:rsidP="00F2143E">
            <w:pPr>
              <w:pStyle w:val="ListParagraph"/>
              <w:numPr>
                <w:ilvl w:val="0"/>
                <w:numId w:val="23"/>
              </w:numPr>
              <w:spacing w:after="80"/>
              <w:ind w:left="343" w:hanging="284"/>
              <w:jc w:val="both"/>
            </w:pPr>
            <w:r w:rsidRPr="00D83FDE">
              <w:t>Raw material prices are higher</w:t>
            </w:r>
            <w:r>
              <w:t>.</w:t>
            </w:r>
          </w:p>
          <w:p w14:paraId="52212AA7" w14:textId="77777777" w:rsidR="002B4882" w:rsidRPr="00D83FDE" w:rsidRDefault="002B4882" w:rsidP="00F2143E">
            <w:pPr>
              <w:pStyle w:val="ListParagraph"/>
              <w:numPr>
                <w:ilvl w:val="0"/>
                <w:numId w:val="23"/>
              </w:numPr>
              <w:spacing w:after="80"/>
              <w:ind w:left="343" w:hanging="284"/>
              <w:jc w:val="both"/>
            </w:pPr>
            <w:r w:rsidRPr="00D83FDE">
              <w:t>Food price volatility is a fact of life</w:t>
            </w:r>
            <w:r>
              <w:t>.</w:t>
            </w:r>
            <w:r w:rsidRPr="00D83FDE">
              <w:t xml:space="preserve">  </w:t>
            </w:r>
          </w:p>
          <w:p w14:paraId="5D6E27E6" w14:textId="77777777" w:rsidR="002B4882" w:rsidRPr="00D83FDE" w:rsidRDefault="002B4882" w:rsidP="00F2143E">
            <w:pPr>
              <w:pStyle w:val="ListParagraph"/>
              <w:numPr>
                <w:ilvl w:val="0"/>
                <w:numId w:val="23"/>
              </w:numPr>
              <w:spacing w:after="80"/>
              <w:ind w:left="343" w:hanging="284"/>
              <w:jc w:val="both"/>
            </w:pPr>
            <w:r w:rsidRPr="00D83FDE">
              <w:t>International demand and competition for good quality, safe food is growing</w:t>
            </w:r>
            <w:r>
              <w:t>.</w:t>
            </w:r>
          </w:p>
        </w:tc>
      </w:tr>
      <w:tr w:rsidR="002B4882" w:rsidRPr="00D83FDE" w14:paraId="34BEC9A0" w14:textId="77777777" w:rsidTr="00906E34">
        <w:tc>
          <w:tcPr>
            <w:tcW w:w="3539" w:type="dxa"/>
            <w:shd w:val="clear" w:color="auto" w:fill="2F5496" w:themeFill="accent1" w:themeFillShade="BF"/>
          </w:tcPr>
          <w:p w14:paraId="4D936712" w14:textId="77777777" w:rsidR="002B4882" w:rsidRPr="00D83FDE" w:rsidRDefault="002B4882" w:rsidP="00906E34">
            <w:pPr>
              <w:spacing w:after="80"/>
              <w:rPr>
                <w:color w:val="FFFFFF" w:themeColor="background1"/>
              </w:rPr>
            </w:pPr>
            <w:r w:rsidRPr="00D83FDE">
              <w:rPr>
                <w:color w:val="FFFFFF" w:themeColor="background1"/>
              </w:rPr>
              <w:t xml:space="preserve">Utilise food loss and waste as a new innovation platform for Australian companies </w:t>
            </w:r>
          </w:p>
        </w:tc>
        <w:tc>
          <w:tcPr>
            <w:tcW w:w="5477" w:type="dxa"/>
          </w:tcPr>
          <w:p w14:paraId="2AE606BD" w14:textId="77777777" w:rsidR="002B4882" w:rsidRPr="00D83FDE" w:rsidRDefault="002B4882" w:rsidP="00906E34">
            <w:pPr>
              <w:spacing w:after="80"/>
              <w:jc w:val="both"/>
            </w:pPr>
            <w:r w:rsidRPr="00D83FDE">
              <w:t xml:space="preserve">By realising: </w:t>
            </w:r>
          </w:p>
          <w:p w14:paraId="559D5B66" w14:textId="77777777" w:rsidR="002B4882" w:rsidRPr="00D83FDE" w:rsidRDefault="002B4882" w:rsidP="00F2143E">
            <w:pPr>
              <w:pStyle w:val="ListParagraph"/>
              <w:numPr>
                <w:ilvl w:val="0"/>
                <w:numId w:val="24"/>
              </w:numPr>
              <w:spacing w:after="80"/>
              <w:ind w:left="343" w:hanging="284"/>
              <w:jc w:val="both"/>
            </w:pPr>
            <w:r w:rsidRPr="00D83FDE">
              <w:t>New product development and lean manufacturing opportunities</w:t>
            </w:r>
            <w:r>
              <w:t>.</w:t>
            </w:r>
          </w:p>
          <w:p w14:paraId="10C830A0" w14:textId="77777777" w:rsidR="002B4882" w:rsidRPr="00D83FDE" w:rsidRDefault="002B4882" w:rsidP="00F2143E">
            <w:pPr>
              <w:pStyle w:val="ListParagraph"/>
              <w:numPr>
                <w:ilvl w:val="0"/>
                <w:numId w:val="24"/>
              </w:numPr>
              <w:spacing w:after="80"/>
              <w:ind w:left="343" w:hanging="284"/>
              <w:jc w:val="both"/>
            </w:pPr>
            <w:r w:rsidRPr="00D83FDE">
              <w:t>Packaging innovation and logistics efficiencies</w:t>
            </w:r>
            <w:r>
              <w:t>.</w:t>
            </w:r>
          </w:p>
          <w:p w14:paraId="6AFE120F" w14:textId="77777777" w:rsidR="002B4882" w:rsidRPr="00D83FDE" w:rsidRDefault="002B4882" w:rsidP="00F2143E">
            <w:pPr>
              <w:pStyle w:val="ListParagraph"/>
              <w:numPr>
                <w:ilvl w:val="0"/>
                <w:numId w:val="24"/>
              </w:numPr>
              <w:spacing w:after="80"/>
              <w:ind w:left="343" w:hanging="284"/>
              <w:jc w:val="both"/>
            </w:pPr>
            <w:r w:rsidRPr="00D83FDE">
              <w:t>Opportunities for new resource and waste management infrastructure development</w:t>
            </w:r>
            <w:r>
              <w:t>.</w:t>
            </w:r>
            <w:r w:rsidRPr="00D83FDE">
              <w:t xml:space="preserve"> </w:t>
            </w:r>
          </w:p>
          <w:p w14:paraId="3007C289" w14:textId="77777777" w:rsidR="002B4882" w:rsidRPr="00D83FDE" w:rsidRDefault="002B4882" w:rsidP="00F2143E">
            <w:pPr>
              <w:pStyle w:val="ListParagraph"/>
              <w:numPr>
                <w:ilvl w:val="0"/>
                <w:numId w:val="24"/>
              </w:numPr>
              <w:spacing w:after="80"/>
              <w:ind w:left="343" w:hanging="284"/>
              <w:jc w:val="both"/>
            </w:pPr>
            <w:r w:rsidRPr="00D83FDE">
              <w:t>Waste valorisation activities and developing new, high value co-products</w:t>
            </w:r>
            <w:r>
              <w:t>.</w:t>
            </w:r>
            <w:r w:rsidRPr="00D83FDE">
              <w:t xml:space="preserve"> </w:t>
            </w:r>
          </w:p>
        </w:tc>
      </w:tr>
      <w:tr w:rsidR="002B4882" w:rsidRPr="00D83FDE" w14:paraId="338234FC" w14:textId="77777777" w:rsidTr="00906E34">
        <w:tc>
          <w:tcPr>
            <w:tcW w:w="3539" w:type="dxa"/>
            <w:shd w:val="clear" w:color="auto" w:fill="2F5496" w:themeFill="accent1" w:themeFillShade="BF"/>
          </w:tcPr>
          <w:p w14:paraId="1649E063" w14:textId="77777777" w:rsidR="002B4882" w:rsidRPr="00D83FDE" w:rsidRDefault="002B4882" w:rsidP="00906E34">
            <w:pPr>
              <w:spacing w:after="80"/>
              <w:rPr>
                <w:color w:val="FFFFFF" w:themeColor="background1"/>
              </w:rPr>
            </w:pPr>
            <w:r w:rsidRPr="00D83FDE">
              <w:rPr>
                <w:color w:val="FFFFFF" w:themeColor="background1"/>
              </w:rPr>
              <w:t>Deliver more competitive and sustainable food products</w:t>
            </w:r>
          </w:p>
        </w:tc>
        <w:tc>
          <w:tcPr>
            <w:tcW w:w="5477" w:type="dxa"/>
          </w:tcPr>
          <w:p w14:paraId="2B31E09A" w14:textId="77777777" w:rsidR="002B4882" w:rsidRPr="00D83FDE" w:rsidRDefault="002B4882" w:rsidP="00906E34">
            <w:pPr>
              <w:spacing w:after="80"/>
              <w:jc w:val="both"/>
            </w:pPr>
            <w:r w:rsidRPr="00D83FDE">
              <w:t>By reducing the costs and environmental impacts associated with food loss and waste; and tapping into a growing consumer market for sustainable products.</w:t>
            </w:r>
          </w:p>
        </w:tc>
      </w:tr>
      <w:tr w:rsidR="002B4882" w:rsidRPr="00D83FDE" w14:paraId="697D1568" w14:textId="77777777" w:rsidTr="00906E34">
        <w:tc>
          <w:tcPr>
            <w:tcW w:w="3539" w:type="dxa"/>
            <w:shd w:val="clear" w:color="auto" w:fill="2F5496" w:themeFill="accent1" w:themeFillShade="BF"/>
          </w:tcPr>
          <w:p w14:paraId="25377480" w14:textId="77777777" w:rsidR="002B4882" w:rsidRPr="00D83FDE" w:rsidRDefault="002B4882" w:rsidP="00906E34">
            <w:pPr>
              <w:spacing w:after="80"/>
              <w:rPr>
                <w:color w:val="FFFFFF" w:themeColor="background1"/>
              </w:rPr>
            </w:pPr>
            <w:r w:rsidRPr="00D83FDE">
              <w:rPr>
                <w:color w:val="FFFFFF" w:themeColor="background1"/>
              </w:rPr>
              <w:t>Develop better relationships along the food value chain</w:t>
            </w:r>
          </w:p>
        </w:tc>
        <w:tc>
          <w:tcPr>
            <w:tcW w:w="5477" w:type="dxa"/>
          </w:tcPr>
          <w:p w14:paraId="5B7D1AE1" w14:textId="77777777" w:rsidR="002B4882" w:rsidRPr="00D83FDE" w:rsidRDefault="002B4882" w:rsidP="00906E34">
            <w:pPr>
              <w:spacing w:after="80"/>
              <w:jc w:val="both"/>
            </w:pPr>
            <w:r w:rsidRPr="00D83FDE">
              <w:t>With and between primary producers, key supply partners and customers/consumers.</w:t>
            </w:r>
          </w:p>
        </w:tc>
      </w:tr>
      <w:tr w:rsidR="002B4882" w:rsidRPr="00D83FDE" w14:paraId="04587DD4" w14:textId="77777777" w:rsidTr="00906E34">
        <w:tc>
          <w:tcPr>
            <w:tcW w:w="3539" w:type="dxa"/>
            <w:shd w:val="clear" w:color="auto" w:fill="2F5496" w:themeFill="accent1" w:themeFillShade="BF"/>
          </w:tcPr>
          <w:p w14:paraId="7EAB37A8" w14:textId="77777777" w:rsidR="002B4882" w:rsidRPr="00D83FDE" w:rsidRDefault="002B4882" w:rsidP="00906E34">
            <w:pPr>
              <w:spacing w:after="80"/>
              <w:rPr>
                <w:color w:val="FFFFFF" w:themeColor="background1"/>
              </w:rPr>
            </w:pPr>
            <w:r w:rsidRPr="00D83FDE">
              <w:rPr>
                <w:color w:val="FFFFFF" w:themeColor="background1"/>
              </w:rPr>
              <w:t>Deliver societal and community health and nutritional benefits</w:t>
            </w:r>
          </w:p>
        </w:tc>
        <w:tc>
          <w:tcPr>
            <w:tcW w:w="5477" w:type="dxa"/>
          </w:tcPr>
          <w:p w14:paraId="0983120F" w14:textId="77777777" w:rsidR="002B4882" w:rsidRPr="00D83FDE" w:rsidRDefault="002B4882" w:rsidP="00906E34">
            <w:pPr>
              <w:spacing w:after="80"/>
              <w:jc w:val="both"/>
            </w:pPr>
            <w:r w:rsidRPr="00D83FDE">
              <w:t>By donating surplus food to the five million Australians that experienced food insecurity in the last 12 months</w:t>
            </w:r>
            <w:r w:rsidRPr="00D83FDE">
              <w:rPr>
                <w:rStyle w:val="FootnoteReference"/>
              </w:rPr>
              <w:footnoteReference w:id="5"/>
            </w:r>
            <w:r w:rsidRPr="00D83FDE">
              <w:t>.</w:t>
            </w:r>
          </w:p>
        </w:tc>
      </w:tr>
      <w:tr w:rsidR="002B4882" w:rsidRPr="00D83FDE" w14:paraId="486B96A9" w14:textId="77777777" w:rsidTr="00906E34">
        <w:tc>
          <w:tcPr>
            <w:tcW w:w="3539" w:type="dxa"/>
            <w:shd w:val="clear" w:color="auto" w:fill="2F5496" w:themeFill="accent1" w:themeFillShade="BF"/>
          </w:tcPr>
          <w:p w14:paraId="51DFE038" w14:textId="77777777" w:rsidR="002B4882" w:rsidRPr="00D83FDE" w:rsidRDefault="002B4882" w:rsidP="00906E34">
            <w:pPr>
              <w:spacing w:after="80"/>
              <w:rPr>
                <w:color w:val="FFFFFF" w:themeColor="background1"/>
              </w:rPr>
            </w:pPr>
            <w:r w:rsidRPr="00D83FDE">
              <w:rPr>
                <w:color w:val="FFFFFF" w:themeColor="background1"/>
              </w:rPr>
              <w:t>Facilitate delivery of related policy objectives</w:t>
            </w:r>
          </w:p>
        </w:tc>
        <w:tc>
          <w:tcPr>
            <w:tcW w:w="5477" w:type="dxa"/>
          </w:tcPr>
          <w:p w14:paraId="14A992A6" w14:textId="77777777" w:rsidR="002B4882" w:rsidRPr="00D83FDE" w:rsidRDefault="002B4882" w:rsidP="00906E34">
            <w:pPr>
              <w:spacing w:after="80"/>
              <w:jc w:val="both"/>
            </w:pPr>
            <w:r w:rsidRPr="00D83FDE">
              <w:t>By reducing greenhouse gas emissions, improving water stewardship and soil health, etc.</w:t>
            </w:r>
          </w:p>
        </w:tc>
      </w:tr>
      <w:tr w:rsidR="002B4882" w:rsidRPr="00D83FDE" w14:paraId="0611CD3F" w14:textId="77777777" w:rsidTr="00906E34">
        <w:tc>
          <w:tcPr>
            <w:tcW w:w="3539" w:type="dxa"/>
            <w:shd w:val="clear" w:color="auto" w:fill="2F5496" w:themeFill="accent1" w:themeFillShade="BF"/>
          </w:tcPr>
          <w:p w14:paraId="627FBF9D" w14:textId="77777777" w:rsidR="002B4882" w:rsidRPr="00D83FDE" w:rsidRDefault="002B4882" w:rsidP="00906E34">
            <w:pPr>
              <w:spacing w:after="80"/>
              <w:rPr>
                <w:color w:val="FFFFFF" w:themeColor="background1"/>
              </w:rPr>
            </w:pPr>
            <w:r w:rsidRPr="00D83FDE">
              <w:rPr>
                <w:color w:val="FFFFFF" w:themeColor="background1"/>
              </w:rPr>
              <w:t>Enhance corporate reputation</w:t>
            </w:r>
          </w:p>
        </w:tc>
        <w:tc>
          <w:tcPr>
            <w:tcW w:w="5477" w:type="dxa"/>
          </w:tcPr>
          <w:p w14:paraId="59E6CB4A" w14:textId="77777777" w:rsidR="002B4882" w:rsidRPr="00D83FDE" w:rsidRDefault="002B4882" w:rsidP="00906E34">
            <w:pPr>
              <w:spacing w:after="80"/>
              <w:jc w:val="both"/>
            </w:pPr>
            <w:r w:rsidRPr="00D83FDE">
              <w:t>By expanding customer/consumer experience, loyalty and access to higher value food products.</w:t>
            </w:r>
          </w:p>
        </w:tc>
      </w:tr>
    </w:tbl>
    <w:p w14:paraId="73FBAAEC" w14:textId="5429CF2C" w:rsidR="002B4882" w:rsidRPr="00AB24D6" w:rsidRDefault="00AB24D6" w:rsidP="00AB24D6">
      <w:pPr>
        <w:pStyle w:val="Caption"/>
        <w:keepNext/>
        <w:spacing w:before="120"/>
        <w:jc w:val="both"/>
      </w:pPr>
      <w:bookmarkStart w:id="12" w:name="_Ref37934372"/>
      <w:r w:rsidRPr="00AB24D6">
        <w:rPr>
          <w:b/>
          <w:bCs/>
          <w:i w:val="0"/>
          <w:iCs w:val="0"/>
          <w:color w:val="2F5496" w:themeColor="accent1" w:themeShade="BF"/>
          <w:sz w:val="20"/>
          <w:szCs w:val="20"/>
        </w:rPr>
        <w:t xml:space="preserve">Table </w:t>
      </w:r>
      <w:r w:rsidRPr="00AB24D6">
        <w:rPr>
          <w:b/>
          <w:bCs/>
          <w:i w:val="0"/>
          <w:iCs w:val="0"/>
          <w:color w:val="2F5496" w:themeColor="accent1" w:themeShade="BF"/>
          <w:sz w:val="20"/>
          <w:szCs w:val="20"/>
        </w:rPr>
        <w:fldChar w:fldCharType="begin"/>
      </w:r>
      <w:r w:rsidRPr="00AB24D6">
        <w:rPr>
          <w:b/>
          <w:bCs/>
          <w:i w:val="0"/>
          <w:iCs w:val="0"/>
          <w:color w:val="2F5496" w:themeColor="accent1" w:themeShade="BF"/>
          <w:sz w:val="20"/>
          <w:szCs w:val="20"/>
        </w:rPr>
        <w:instrText xml:space="preserve"> SEQ Table \* ARABIC </w:instrText>
      </w:r>
      <w:r w:rsidRPr="00AB24D6">
        <w:rPr>
          <w:b/>
          <w:bCs/>
          <w:i w:val="0"/>
          <w:iCs w:val="0"/>
          <w:color w:val="2F5496" w:themeColor="accent1" w:themeShade="BF"/>
          <w:sz w:val="20"/>
          <w:szCs w:val="20"/>
        </w:rPr>
        <w:fldChar w:fldCharType="separate"/>
      </w:r>
      <w:r w:rsidR="0076147C">
        <w:rPr>
          <w:b/>
          <w:bCs/>
          <w:i w:val="0"/>
          <w:iCs w:val="0"/>
          <w:noProof/>
          <w:color w:val="2F5496" w:themeColor="accent1" w:themeShade="BF"/>
          <w:sz w:val="20"/>
          <w:szCs w:val="20"/>
        </w:rPr>
        <w:t>1</w:t>
      </w:r>
      <w:r w:rsidRPr="00AB24D6">
        <w:rPr>
          <w:b/>
          <w:bCs/>
          <w:i w:val="0"/>
          <w:iCs w:val="0"/>
          <w:color w:val="2F5496" w:themeColor="accent1" w:themeShade="BF"/>
          <w:sz w:val="20"/>
          <w:szCs w:val="20"/>
        </w:rPr>
        <w:fldChar w:fldCharType="end"/>
      </w:r>
      <w:bookmarkEnd w:id="12"/>
      <w:r w:rsidR="002B4882" w:rsidRPr="00AB24D6">
        <w:rPr>
          <w:i w:val="0"/>
          <w:iCs w:val="0"/>
          <w:sz w:val="20"/>
          <w:szCs w:val="20"/>
        </w:rPr>
        <w:t>: summary of some of the business benefits associated with reducing food waste</w:t>
      </w:r>
    </w:p>
    <w:p w14:paraId="08B6C988" w14:textId="77777777" w:rsidR="002B4882" w:rsidRDefault="002B4882" w:rsidP="00EA2E11">
      <w:pPr>
        <w:spacing w:after="80"/>
        <w:jc w:val="both"/>
        <w:rPr>
          <w:sz w:val="24"/>
          <w:szCs w:val="24"/>
        </w:rPr>
      </w:pPr>
    </w:p>
    <w:p w14:paraId="20B4100F" w14:textId="48C783A5" w:rsidR="008D582C" w:rsidRPr="008D582C" w:rsidRDefault="00AB24D6" w:rsidP="008D582C">
      <w:pPr>
        <w:jc w:val="both"/>
        <w:rPr>
          <w:sz w:val="24"/>
          <w:szCs w:val="24"/>
        </w:rPr>
      </w:pPr>
      <w:r w:rsidRPr="00AB24D6">
        <w:rPr>
          <w:b/>
          <w:bCs/>
          <w:color w:val="2F5496" w:themeColor="accent1" w:themeShade="BF"/>
          <w:sz w:val="24"/>
          <w:szCs w:val="24"/>
        </w:rPr>
        <w:fldChar w:fldCharType="begin"/>
      </w:r>
      <w:r w:rsidRPr="00AB24D6">
        <w:rPr>
          <w:sz w:val="24"/>
          <w:szCs w:val="24"/>
        </w:rPr>
        <w:instrText xml:space="preserve"> REF _Ref37934468 \h </w:instrText>
      </w:r>
      <w:r>
        <w:rPr>
          <w:b/>
          <w:bCs/>
          <w:color w:val="2F5496" w:themeColor="accent1" w:themeShade="BF"/>
          <w:sz w:val="24"/>
          <w:szCs w:val="24"/>
        </w:rPr>
        <w:instrText xml:space="preserve"> \* MERGEFORMAT </w:instrText>
      </w:r>
      <w:r w:rsidRPr="00AB24D6">
        <w:rPr>
          <w:b/>
          <w:bCs/>
          <w:color w:val="2F5496" w:themeColor="accent1" w:themeShade="BF"/>
          <w:sz w:val="24"/>
          <w:szCs w:val="24"/>
        </w:rPr>
      </w:r>
      <w:r w:rsidRPr="00AB24D6">
        <w:rPr>
          <w:b/>
          <w:bCs/>
          <w:color w:val="2F5496" w:themeColor="accent1" w:themeShade="BF"/>
          <w:sz w:val="24"/>
          <w:szCs w:val="24"/>
        </w:rPr>
        <w:fldChar w:fldCharType="separate"/>
      </w:r>
      <w:r w:rsidRPr="00AB24D6">
        <w:rPr>
          <w:b/>
          <w:bCs/>
          <w:color w:val="2F5496" w:themeColor="accent1" w:themeShade="BF"/>
          <w:sz w:val="24"/>
          <w:szCs w:val="24"/>
        </w:rPr>
        <w:t xml:space="preserve">Figure </w:t>
      </w:r>
      <w:r w:rsidRPr="00AB24D6">
        <w:rPr>
          <w:b/>
          <w:bCs/>
          <w:noProof/>
          <w:color w:val="2F5496" w:themeColor="accent1" w:themeShade="BF"/>
          <w:sz w:val="24"/>
          <w:szCs w:val="24"/>
        </w:rPr>
        <w:t>3</w:t>
      </w:r>
      <w:r w:rsidRPr="00AB24D6">
        <w:rPr>
          <w:b/>
          <w:bCs/>
          <w:color w:val="2F5496" w:themeColor="accent1" w:themeShade="BF"/>
          <w:sz w:val="24"/>
          <w:szCs w:val="24"/>
        </w:rPr>
        <w:fldChar w:fldCharType="end"/>
      </w:r>
      <w:r>
        <w:rPr>
          <w:b/>
          <w:bCs/>
          <w:color w:val="2F5496" w:themeColor="accent1" w:themeShade="BF"/>
          <w:sz w:val="24"/>
          <w:szCs w:val="24"/>
        </w:rPr>
        <w:t xml:space="preserve"> </w:t>
      </w:r>
      <w:r w:rsidR="008D582C" w:rsidRPr="008D582C">
        <w:rPr>
          <w:sz w:val="24"/>
          <w:szCs w:val="24"/>
        </w:rPr>
        <w:t xml:space="preserve">below summarises this multifaceted business case, highlighting a global average </w:t>
      </w:r>
      <w:r w:rsidR="00120ECE">
        <w:rPr>
          <w:sz w:val="24"/>
          <w:szCs w:val="24"/>
        </w:rPr>
        <w:br/>
      </w:r>
      <w:r w:rsidR="008D582C" w:rsidRPr="008D582C">
        <w:rPr>
          <w:b/>
          <w:bCs/>
          <w:color w:val="2F5496" w:themeColor="accent1" w:themeShade="BF"/>
          <w:sz w:val="24"/>
          <w:szCs w:val="24"/>
        </w:rPr>
        <w:t>14:1</w:t>
      </w:r>
      <w:r w:rsidR="008D582C" w:rsidRPr="008D582C">
        <w:rPr>
          <w:color w:val="2F5496" w:themeColor="accent1" w:themeShade="BF"/>
          <w:sz w:val="24"/>
          <w:szCs w:val="24"/>
        </w:rPr>
        <w:t xml:space="preserve"> </w:t>
      </w:r>
      <w:r w:rsidR="008D582C" w:rsidRPr="008D582C">
        <w:rPr>
          <w:sz w:val="24"/>
          <w:szCs w:val="24"/>
        </w:rPr>
        <w:t>return on investment for food loss and waste reduction initiatives</w:t>
      </w:r>
      <w:r w:rsidR="00BA1CC2">
        <w:rPr>
          <w:sz w:val="24"/>
          <w:szCs w:val="24"/>
        </w:rPr>
        <w:t xml:space="preserve"> across a range of different sub-sectors of the food industry, </w:t>
      </w:r>
      <w:r w:rsidR="008D582C" w:rsidRPr="008D582C">
        <w:rPr>
          <w:sz w:val="24"/>
          <w:szCs w:val="24"/>
        </w:rPr>
        <w:t>with more advanced countries realising up to a 250:1 return on investment.</w:t>
      </w:r>
    </w:p>
    <w:p w14:paraId="3425262F" w14:textId="234E83E8" w:rsidR="000F73EC" w:rsidRDefault="000F73EC" w:rsidP="00852BEF">
      <w:pPr>
        <w:jc w:val="both"/>
        <w:rPr>
          <w:b/>
          <w:bCs/>
          <w:color w:val="2F5496" w:themeColor="accent1" w:themeShade="BF"/>
        </w:rPr>
        <w:sectPr w:rsidR="000F73EC" w:rsidSect="004B0373">
          <w:headerReference w:type="default" r:id="rId20"/>
          <w:footerReference w:type="default" r:id="rId21"/>
          <w:pgSz w:w="11906" w:h="16838"/>
          <w:pgMar w:top="1440" w:right="1440" w:bottom="1440" w:left="1440" w:header="708" w:footer="708" w:gutter="0"/>
          <w:pgNumType w:start="0"/>
          <w:cols w:space="708"/>
          <w:titlePg/>
          <w:docGrid w:linePitch="360"/>
        </w:sectPr>
      </w:pPr>
    </w:p>
    <w:p w14:paraId="1EE85111" w14:textId="075C4805" w:rsidR="00E14223" w:rsidRDefault="00AB24D6" w:rsidP="00E14223">
      <w:pPr>
        <w:rPr>
          <w:b/>
          <w:bCs/>
          <w:sz w:val="24"/>
          <w:szCs w:val="24"/>
        </w:rPr>
      </w:pPr>
      <w:r>
        <w:rPr>
          <w:b/>
          <w:bCs/>
          <w:noProof/>
          <w:sz w:val="24"/>
          <w:szCs w:val="24"/>
          <w:lang w:eastAsia="en-AU"/>
        </w:rPr>
        <w:lastRenderedPageBreak/>
        <w:t xml:space="preserve"> </w:t>
      </w:r>
      <w:r w:rsidR="00E14223">
        <w:rPr>
          <w:b/>
          <w:bCs/>
          <w:noProof/>
          <w:sz w:val="24"/>
          <w:szCs w:val="24"/>
          <w:lang w:eastAsia="en-AU"/>
        </w:rPr>
        <w:drawing>
          <wp:inline distT="0" distB="0" distL="0" distR="0" wp14:anchorId="16FAC87C" wp14:editId="3E15B25D">
            <wp:extent cx="5419725" cy="356813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19725" cy="3568139"/>
                    </a:xfrm>
                    <a:prstGeom prst="rect">
                      <a:avLst/>
                    </a:prstGeom>
                    <a:noFill/>
                  </pic:spPr>
                </pic:pic>
              </a:graphicData>
            </a:graphic>
          </wp:inline>
        </w:drawing>
      </w:r>
    </w:p>
    <w:p w14:paraId="517AC5E7" w14:textId="56BACE05" w:rsidR="0050137B" w:rsidRPr="00AB24D6" w:rsidRDefault="00E14223" w:rsidP="00AB24D6">
      <w:pPr>
        <w:keepNext/>
      </w:pPr>
      <w:bookmarkStart w:id="13" w:name="_Ref37934468"/>
      <w:bookmarkStart w:id="14" w:name="_Toc37942997"/>
      <w:r w:rsidRPr="0050137B">
        <w:rPr>
          <w:b/>
          <w:bCs/>
          <w:color w:val="2F5496" w:themeColor="accent1" w:themeShade="BF"/>
          <w:sz w:val="20"/>
          <w:szCs w:val="20"/>
        </w:rPr>
        <w:t xml:space="preserve">Figure </w:t>
      </w:r>
      <w:r w:rsidR="00AB24D6" w:rsidRPr="00AB24D6">
        <w:rPr>
          <w:b/>
          <w:bCs/>
          <w:color w:val="2F5496" w:themeColor="accent1" w:themeShade="BF"/>
          <w:sz w:val="20"/>
          <w:szCs w:val="20"/>
        </w:rPr>
        <w:fldChar w:fldCharType="begin"/>
      </w:r>
      <w:r w:rsidR="00AB24D6" w:rsidRPr="00AB24D6">
        <w:rPr>
          <w:b/>
          <w:bCs/>
          <w:color w:val="2F5496" w:themeColor="accent1" w:themeShade="BF"/>
          <w:sz w:val="20"/>
          <w:szCs w:val="20"/>
        </w:rPr>
        <w:instrText xml:space="preserve"> SEQ Figure \* ARABIC </w:instrText>
      </w:r>
      <w:r w:rsidR="00AB24D6" w:rsidRPr="00AB24D6">
        <w:rPr>
          <w:b/>
          <w:bCs/>
          <w:color w:val="2F5496" w:themeColor="accent1" w:themeShade="BF"/>
          <w:sz w:val="20"/>
          <w:szCs w:val="20"/>
        </w:rPr>
        <w:fldChar w:fldCharType="separate"/>
      </w:r>
      <w:r w:rsidR="00FE6444">
        <w:rPr>
          <w:b/>
          <w:bCs/>
          <w:noProof/>
          <w:color w:val="2F5496" w:themeColor="accent1" w:themeShade="BF"/>
          <w:sz w:val="20"/>
          <w:szCs w:val="20"/>
        </w:rPr>
        <w:t>3</w:t>
      </w:r>
      <w:r w:rsidR="00AB24D6" w:rsidRPr="00AB24D6">
        <w:rPr>
          <w:b/>
          <w:bCs/>
          <w:color w:val="2F5496" w:themeColor="accent1" w:themeShade="BF"/>
          <w:sz w:val="20"/>
          <w:szCs w:val="20"/>
        </w:rPr>
        <w:fldChar w:fldCharType="end"/>
      </w:r>
      <w:bookmarkEnd w:id="13"/>
      <w:r w:rsidRPr="0050137B">
        <w:rPr>
          <w:b/>
          <w:bCs/>
          <w:sz w:val="20"/>
          <w:szCs w:val="20"/>
        </w:rPr>
        <w:t xml:space="preserve">: </w:t>
      </w:r>
      <w:r w:rsidR="0050137B" w:rsidRPr="0050137B">
        <w:rPr>
          <w:sz w:val="20"/>
          <w:szCs w:val="20"/>
        </w:rPr>
        <w:t>t</w:t>
      </w:r>
      <w:r w:rsidRPr="0050137B">
        <w:rPr>
          <w:sz w:val="20"/>
          <w:szCs w:val="20"/>
        </w:rPr>
        <w:t>he business case for reducing food loss and waste</w:t>
      </w:r>
      <w:r w:rsidR="0050137B" w:rsidRPr="0050137B">
        <w:rPr>
          <w:sz w:val="20"/>
          <w:szCs w:val="20"/>
        </w:rPr>
        <w:t xml:space="preserve"> (Champions 12.3 analysis of 1,200 sites, from 200 companies in 17 countries)</w:t>
      </w:r>
      <w:r w:rsidR="0050137B" w:rsidRPr="0050137B">
        <w:rPr>
          <w:rStyle w:val="FootnoteReference"/>
          <w:sz w:val="20"/>
          <w:szCs w:val="20"/>
        </w:rPr>
        <w:footnoteReference w:id="6"/>
      </w:r>
      <w:bookmarkEnd w:id="14"/>
    </w:p>
    <w:p w14:paraId="45F07C5F" w14:textId="291221B7" w:rsidR="003C1127" w:rsidRPr="00DC657E" w:rsidRDefault="003C1127" w:rsidP="003C1127">
      <w:pPr>
        <w:spacing w:before="160"/>
        <w:jc w:val="both"/>
        <w:rPr>
          <w:sz w:val="24"/>
          <w:szCs w:val="24"/>
        </w:rPr>
      </w:pPr>
      <w:r w:rsidRPr="00DC657E">
        <w:rPr>
          <w:sz w:val="24"/>
          <w:szCs w:val="24"/>
        </w:rPr>
        <w:t>In addition to the work undertaken by Champions 12.3 (a global coalition of governments, cities, food companies and others)</w:t>
      </w:r>
      <w:r>
        <w:rPr>
          <w:sz w:val="24"/>
          <w:szCs w:val="24"/>
        </w:rPr>
        <w:t xml:space="preserve"> in </w:t>
      </w:r>
      <w:r w:rsidR="002F2C31" w:rsidRPr="002F2C31">
        <w:rPr>
          <w:b/>
          <w:bCs/>
          <w:color w:val="2F5496" w:themeColor="accent1" w:themeShade="BF"/>
          <w:sz w:val="24"/>
          <w:szCs w:val="24"/>
        </w:rPr>
        <w:fldChar w:fldCharType="begin"/>
      </w:r>
      <w:r w:rsidR="002F2C31" w:rsidRPr="002F2C31">
        <w:rPr>
          <w:sz w:val="24"/>
          <w:szCs w:val="24"/>
        </w:rPr>
        <w:instrText xml:space="preserve"> REF _Ref37934468 \h </w:instrText>
      </w:r>
      <w:r w:rsidR="002F2C31">
        <w:rPr>
          <w:b/>
          <w:bCs/>
          <w:color w:val="2F5496" w:themeColor="accent1" w:themeShade="BF"/>
          <w:sz w:val="24"/>
          <w:szCs w:val="24"/>
        </w:rPr>
        <w:instrText xml:space="preserve"> \* MERGEFORMAT </w:instrText>
      </w:r>
      <w:r w:rsidR="002F2C31" w:rsidRPr="002F2C31">
        <w:rPr>
          <w:b/>
          <w:bCs/>
          <w:color w:val="2F5496" w:themeColor="accent1" w:themeShade="BF"/>
          <w:sz w:val="24"/>
          <w:szCs w:val="24"/>
        </w:rPr>
      </w:r>
      <w:r w:rsidR="002F2C31" w:rsidRPr="002F2C31">
        <w:rPr>
          <w:b/>
          <w:bCs/>
          <w:color w:val="2F5496" w:themeColor="accent1" w:themeShade="BF"/>
          <w:sz w:val="24"/>
          <w:szCs w:val="24"/>
        </w:rPr>
        <w:fldChar w:fldCharType="separate"/>
      </w:r>
      <w:r w:rsidR="002F2C31" w:rsidRPr="002F2C31">
        <w:rPr>
          <w:b/>
          <w:bCs/>
          <w:color w:val="2F5496" w:themeColor="accent1" w:themeShade="BF"/>
          <w:sz w:val="24"/>
          <w:szCs w:val="24"/>
        </w:rPr>
        <w:t xml:space="preserve">Figure </w:t>
      </w:r>
      <w:r w:rsidR="002F2C31" w:rsidRPr="002F2C31">
        <w:rPr>
          <w:b/>
          <w:bCs/>
          <w:noProof/>
          <w:color w:val="2F5496" w:themeColor="accent1" w:themeShade="BF"/>
          <w:sz w:val="24"/>
          <w:szCs w:val="24"/>
        </w:rPr>
        <w:t>3</w:t>
      </w:r>
      <w:r w:rsidR="002F2C31" w:rsidRPr="002F2C31">
        <w:rPr>
          <w:b/>
          <w:bCs/>
          <w:color w:val="2F5496" w:themeColor="accent1" w:themeShade="BF"/>
          <w:sz w:val="24"/>
          <w:szCs w:val="24"/>
        </w:rPr>
        <w:fldChar w:fldCharType="end"/>
      </w:r>
      <w:r w:rsidR="002F2C31">
        <w:rPr>
          <w:b/>
          <w:bCs/>
          <w:color w:val="2F5496" w:themeColor="accent1" w:themeShade="BF"/>
          <w:sz w:val="24"/>
          <w:szCs w:val="24"/>
        </w:rPr>
        <w:t xml:space="preserve"> </w:t>
      </w:r>
      <w:r>
        <w:rPr>
          <w:sz w:val="24"/>
          <w:szCs w:val="24"/>
        </w:rPr>
        <w:t>above</w:t>
      </w:r>
      <w:r w:rsidRPr="00DC657E">
        <w:rPr>
          <w:sz w:val="24"/>
          <w:szCs w:val="24"/>
        </w:rPr>
        <w:t>, Food Innovation Australia Limited</w:t>
      </w:r>
      <w:r>
        <w:rPr>
          <w:sz w:val="24"/>
          <w:szCs w:val="24"/>
        </w:rPr>
        <w:t>’s</w:t>
      </w:r>
      <w:r w:rsidRPr="00DC657E">
        <w:rPr>
          <w:sz w:val="24"/>
          <w:szCs w:val="24"/>
        </w:rPr>
        <w:t xml:space="preserve"> (FIAL</w:t>
      </w:r>
      <w:r>
        <w:rPr>
          <w:sz w:val="24"/>
          <w:szCs w:val="24"/>
        </w:rPr>
        <w:t>’s</w:t>
      </w:r>
      <w:r w:rsidRPr="00DC657E">
        <w:rPr>
          <w:sz w:val="24"/>
          <w:szCs w:val="24"/>
        </w:rPr>
        <w:t>) November 2017</w:t>
      </w:r>
      <w:r>
        <w:rPr>
          <w:sz w:val="24"/>
          <w:szCs w:val="24"/>
        </w:rPr>
        <w:t xml:space="preserve"> </w:t>
      </w:r>
      <w:r w:rsidRPr="00DC657E">
        <w:rPr>
          <w:sz w:val="24"/>
          <w:szCs w:val="24"/>
        </w:rPr>
        <w:t xml:space="preserve">report: </w:t>
      </w:r>
      <w:hyperlink r:id="rId23" w:history="1">
        <w:r w:rsidRPr="00DC657E">
          <w:rPr>
            <w:rStyle w:val="Hyperlink"/>
            <w:i/>
            <w:iCs/>
            <w:sz w:val="24"/>
            <w:szCs w:val="24"/>
            <w:lang w:val="en-GB"/>
          </w:rPr>
          <w:t>The Size of the Prize: An overview of 16 global opportunities for Australian Food and Agribusinesses</w:t>
        </w:r>
        <w:r w:rsidRPr="00DC007F">
          <w:rPr>
            <w:rStyle w:val="Hyperlink"/>
            <w:sz w:val="24"/>
            <w:szCs w:val="24"/>
            <w:u w:val="none"/>
            <w:lang w:val="en-GB"/>
          </w:rPr>
          <w:t xml:space="preserve"> </w:t>
        </w:r>
      </w:hyperlink>
      <w:r w:rsidRPr="00DC657E">
        <w:rPr>
          <w:sz w:val="24"/>
          <w:szCs w:val="24"/>
        </w:rPr>
        <w:t>highlight</w:t>
      </w:r>
      <w:r>
        <w:rPr>
          <w:sz w:val="24"/>
          <w:szCs w:val="24"/>
        </w:rPr>
        <w:t>ed</w:t>
      </w:r>
      <w:r w:rsidRPr="00DC657E">
        <w:rPr>
          <w:sz w:val="24"/>
          <w:szCs w:val="24"/>
        </w:rPr>
        <w:t xml:space="preserve"> that tackling food waste presented Australian food businesses with a $465-</w:t>
      </w:r>
      <w:r w:rsidR="00120ECE">
        <w:rPr>
          <w:sz w:val="24"/>
          <w:szCs w:val="24"/>
        </w:rPr>
        <w:t>$</w:t>
      </w:r>
      <w:r w:rsidRPr="00DC657E">
        <w:rPr>
          <w:sz w:val="24"/>
          <w:szCs w:val="24"/>
        </w:rPr>
        <w:t xml:space="preserve">775 billion global opportunity to enhance production and extract new value from surplus and wasted food </w:t>
      </w:r>
      <w:r>
        <w:rPr>
          <w:sz w:val="24"/>
          <w:szCs w:val="24"/>
        </w:rPr>
        <w:t>by</w:t>
      </w:r>
      <w:r w:rsidRPr="00DC657E">
        <w:rPr>
          <w:sz w:val="24"/>
          <w:szCs w:val="24"/>
        </w:rPr>
        <w:t xml:space="preserve"> 2025. Th</w:t>
      </w:r>
      <w:r>
        <w:rPr>
          <w:sz w:val="24"/>
          <w:szCs w:val="24"/>
        </w:rPr>
        <w:t>e size of this opportunity</w:t>
      </w:r>
      <w:r w:rsidRPr="00DC657E">
        <w:rPr>
          <w:sz w:val="24"/>
          <w:szCs w:val="24"/>
        </w:rPr>
        <w:t xml:space="preserve"> represented a compound annual growth rate (CAGR) of 25-38% between 2015 and 2025. </w:t>
      </w:r>
    </w:p>
    <w:p w14:paraId="35E02353" w14:textId="37A43BFA" w:rsidR="003C1127" w:rsidRPr="00435AB0" w:rsidRDefault="003C1127" w:rsidP="003C1127">
      <w:pPr>
        <w:jc w:val="both"/>
        <w:rPr>
          <w:sz w:val="24"/>
          <w:szCs w:val="24"/>
        </w:rPr>
      </w:pPr>
      <w:r>
        <w:rPr>
          <w:sz w:val="24"/>
          <w:szCs w:val="24"/>
        </w:rPr>
        <w:t>A</w:t>
      </w:r>
      <w:r w:rsidRPr="00DC657E">
        <w:rPr>
          <w:sz w:val="24"/>
          <w:szCs w:val="24"/>
        </w:rPr>
        <w:t xml:space="preserve"> recent survey by </w:t>
      </w:r>
      <w:r w:rsidRPr="00DC657E">
        <w:rPr>
          <w:i/>
          <w:iCs/>
          <w:sz w:val="24"/>
          <w:szCs w:val="24"/>
        </w:rPr>
        <w:t>Inside FMCG</w:t>
      </w:r>
      <w:r w:rsidRPr="00DC657E">
        <w:rPr>
          <w:rStyle w:val="FootnoteReference"/>
          <w:sz w:val="24"/>
          <w:szCs w:val="24"/>
        </w:rPr>
        <w:footnoteReference w:id="7"/>
      </w:r>
      <w:r w:rsidRPr="00DC657E">
        <w:rPr>
          <w:sz w:val="24"/>
          <w:szCs w:val="24"/>
        </w:rPr>
        <w:t xml:space="preserve"> </w:t>
      </w:r>
      <w:r>
        <w:rPr>
          <w:sz w:val="24"/>
          <w:szCs w:val="24"/>
        </w:rPr>
        <w:t>found</w:t>
      </w:r>
      <w:r w:rsidRPr="00DC657E">
        <w:rPr>
          <w:sz w:val="24"/>
          <w:szCs w:val="24"/>
        </w:rPr>
        <w:t xml:space="preserve"> around 40% of Australian consumers want food businesses to stop rejecting imperfect produce.</w:t>
      </w:r>
      <w:r>
        <w:rPr>
          <w:sz w:val="24"/>
          <w:szCs w:val="24"/>
        </w:rPr>
        <w:t xml:space="preserve"> Similarly, the findings from the Fight Food Waste CRC Household Waste Behaviour Baseline (2019)</w:t>
      </w:r>
      <w:r>
        <w:rPr>
          <w:rStyle w:val="FootnoteReference"/>
          <w:sz w:val="24"/>
          <w:szCs w:val="24"/>
        </w:rPr>
        <w:footnoteReference w:id="8"/>
      </w:r>
      <w:r>
        <w:rPr>
          <w:sz w:val="24"/>
          <w:szCs w:val="24"/>
        </w:rPr>
        <w:t xml:space="preserve"> show that 76% of Australians are motivated to reduce food waste in the home; and, based on experiences in other countries, will be looking to their favourite supermarkets and food brands for help in the future.</w:t>
      </w:r>
    </w:p>
    <w:p w14:paraId="64C47D23" w14:textId="6207E572" w:rsidR="0086221B" w:rsidRPr="003C1127" w:rsidRDefault="003C1127" w:rsidP="003C1127">
      <w:pPr>
        <w:spacing w:after="0"/>
        <w:jc w:val="both"/>
        <w:rPr>
          <w:sz w:val="24"/>
          <w:szCs w:val="24"/>
        </w:rPr>
      </w:pPr>
      <w:r w:rsidRPr="00171270">
        <w:rPr>
          <w:sz w:val="24"/>
          <w:szCs w:val="24"/>
        </w:rPr>
        <w:t>The following sections</w:t>
      </w:r>
      <w:r>
        <w:rPr>
          <w:sz w:val="24"/>
          <w:szCs w:val="24"/>
        </w:rPr>
        <w:t xml:space="preserve"> highlight the role, effectiveness and benefits of voluntary commitment programs in other countries and how international best practice has been used to design a voluntary commitment program to reduce food waste in Australia.</w:t>
      </w:r>
    </w:p>
    <w:p w14:paraId="2E919B79" w14:textId="62500080" w:rsidR="0086221B" w:rsidRDefault="0086221B" w:rsidP="00812FE0">
      <w:pPr>
        <w:spacing w:after="0"/>
        <w:rPr>
          <w:sz w:val="20"/>
          <w:szCs w:val="20"/>
        </w:rPr>
      </w:pPr>
      <w:r>
        <w:rPr>
          <w:sz w:val="20"/>
          <w:szCs w:val="20"/>
        </w:rPr>
        <w:br w:type="page"/>
      </w:r>
    </w:p>
    <w:p w14:paraId="6E0708C1" w14:textId="3FE4BDE3" w:rsidR="00CA7063" w:rsidRPr="00DB5FB3" w:rsidRDefault="00C60E78" w:rsidP="00DB5FB3">
      <w:pPr>
        <w:pStyle w:val="Heading1"/>
        <w:rPr>
          <w:rStyle w:val="Strong"/>
          <w:b/>
          <w:bCs w:val="0"/>
        </w:rPr>
      </w:pPr>
      <w:bookmarkStart w:id="15" w:name="_Toc39140006"/>
      <w:r w:rsidRPr="00DB5FB3">
        <w:rPr>
          <w:rStyle w:val="Strong"/>
          <w:b/>
          <w:bCs w:val="0"/>
        </w:rPr>
        <w:lastRenderedPageBreak/>
        <w:t>Establishing a v</w:t>
      </w:r>
      <w:r w:rsidR="00CA7063" w:rsidRPr="00DB5FB3">
        <w:rPr>
          <w:rStyle w:val="Strong"/>
          <w:b/>
          <w:bCs w:val="0"/>
        </w:rPr>
        <w:t xml:space="preserve">oluntary commitments </w:t>
      </w:r>
      <w:r w:rsidRPr="00DB5FB3">
        <w:rPr>
          <w:rStyle w:val="Strong"/>
          <w:b/>
          <w:bCs w:val="0"/>
        </w:rPr>
        <w:t>program to reduce food waste</w:t>
      </w:r>
      <w:bookmarkEnd w:id="15"/>
    </w:p>
    <w:p w14:paraId="587AD847" w14:textId="77777777" w:rsidR="00976086" w:rsidRPr="00976086" w:rsidRDefault="00976086" w:rsidP="00976086">
      <w:pPr>
        <w:jc w:val="both"/>
        <w:rPr>
          <w:rFonts w:cstheme="minorHAnsi"/>
          <w:color w:val="000000" w:themeColor="text1"/>
          <w:sz w:val="24"/>
          <w:szCs w:val="24"/>
        </w:rPr>
      </w:pPr>
      <w:r w:rsidRPr="00976086">
        <w:rPr>
          <w:rFonts w:cstheme="minorHAnsi"/>
          <w:color w:val="000000" w:themeColor="text1"/>
          <w:sz w:val="24"/>
          <w:szCs w:val="24"/>
        </w:rPr>
        <w:t>Voluntary commitments provide a tried and tested implementation vehicle to reduce food waste. For example, in the UK, the first 10 years of WRAP’s Courtauld Commitment reduced avoidable food waste by 28%, saving consumers and food businesses $12 billion and reducing GHG emissions by 11Mt CO</w:t>
      </w:r>
      <w:r w:rsidRPr="00976086">
        <w:rPr>
          <w:rFonts w:cstheme="minorHAnsi"/>
          <w:color w:val="000000" w:themeColor="text1"/>
          <w:sz w:val="24"/>
          <w:szCs w:val="24"/>
          <w:vertAlign w:val="subscript"/>
        </w:rPr>
        <w:t>2</w:t>
      </w:r>
      <w:r w:rsidRPr="00976086">
        <w:rPr>
          <w:rFonts w:cstheme="minorHAnsi"/>
          <w:color w:val="000000" w:themeColor="text1"/>
          <w:sz w:val="24"/>
          <w:szCs w:val="24"/>
        </w:rPr>
        <w:t xml:space="preserve">e emissions. </w:t>
      </w:r>
    </w:p>
    <w:p w14:paraId="3D5DF488" w14:textId="17B2FA4F" w:rsidR="00976086" w:rsidRDefault="00976086" w:rsidP="007E1199">
      <w:pPr>
        <w:jc w:val="both"/>
        <w:rPr>
          <w:sz w:val="24"/>
          <w:szCs w:val="24"/>
        </w:rPr>
      </w:pPr>
      <w:r>
        <w:rPr>
          <w:rFonts w:cstheme="minorHAnsi"/>
          <w:sz w:val="24"/>
          <w:szCs w:val="24"/>
        </w:rPr>
        <w:t>The voluntary commitment program in Australia will play a significant role in delivering the national target to halve food waste by 2030. It builds on the experiences and assessment of established voluntary commitments in over 20 other countries.</w:t>
      </w:r>
    </w:p>
    <w:p w14:paraId="1EE7CC27" w14:textId="66D96754" w:rsidR="00C60E78" w:rsidRPr="00EE5E78" w:rsidRDefault="00C60E78" w:rsidP="007E1199">
      <w:pPr>
        <w:jc w:val="both"/>
        <w:rPr>
          <w:sz w:val="24"/>
          <w:szCs w:val="24"/>
        </w:rPr>
      </w:pPr>
      <w:r w:rsidRPr="00EE5E78">
        <w:rPr>
          <w:sz w:val="24"/>
          <w:szCs w:val="24"/>
        </w:rPr>
        <w:t xml:space="preserve">The Framework for Action contained in the National Food Waste Strategy highlights the importance of </w:t>
      </w:r>
      <w:r w:rsidR="00B05F0C" w:rsidRPr="00EE5E78">
        <w:rPr>
          <w:sz w:val="24"/>
          <w:szCs w:val="24"/>
        </w:rPr>
        <w:t xml:space="preserve">reliable data, </w:t>
      </w:r>
      <w:r w:rsidRPr="00EE5E78">
        <w:rPr>
          <w:sz w:val="24"/>
          <w:szCs w:val="24"/>
        </w:rPr>
        <w:t>encouraging collaboration</w:t>
      </w:r>
      <w:r w:rsidR="00B05F0C" w:rsidRPr="00EE5E78">
        <w:rPr>
          <w:sz w:val="24"/>
          <w:szCs w:val="24"/>
        </w:rPr>
        <w:t xml:space="preserve"> and innovation, supporting technology adoption, changing consumer and workforce behaviour and maximising the economic and societal value of surplus food and food waste streams. International experience has shown the value of voluntary commitments in delivering </w:t>
      </w:r>
      <w:r w:rsidR="00B05F0C" w:rsidRPr="00CD4990">
        <w:rPr>
          <w:b/>
          <w:bCs/>
          <w:color w:val="2F5496" w:themeColor="accent1" w:themeShade="BF"/>
          <w:sz w:val="24"/>
          <w:szCs w:val="24"/>
        </w:rPr>
        <w:t>all</w:t>
      </w:r>
      <w:r w:rsidR="00B05F0C" w:rsidRPr="00CD4990">
        <w:rPr>
          <w:color w:val="2F5496" w:themeColor="accent1" w:themeShade="BF"/>
          <w:sz w:val="24"/>
          <w:szCs w:val="24"/>
        </w:rPr>
        <w:t xml:space="preserve"> </w:t>
      </w:r>
      <w:r w:rsidR="00B05F0C" w:rsidRPr="00EE5E78">
        <w:rPr>
          <w:sz w:val="24"/>
          <w:szCs w:val="24"/>
        </w:rPr>
        <w:t xml:space="preserve">of these objectives. </w:t>
      </w:r>
    </w:p>
    <w:p w14:paraId="3D8FA758" w14:textId="77777777" w:rsidR="00B05F0C" w:rsidRPr="00EE5E78" w:rsidRDefault="006323C7" w:rsidP="007E1199">
      <w:pPr>
        <w:jc w:val="both"/>
        <w:rPr>
          <w:sz w:val="24"/>
          <w:szCs w:val="24"/>
        </w:rPr>
      </w:pPr>
      <w:r w:rsidRPr="00EE5E78">
        <w:rPr>
          <w:sz w:val="24"/>
          <w:szCs w:val="24"/>
        </w:rPr>
        <w:t>Voluntary commitments are increasingly being used as an alternative to legislation and regulation</w:t>
      </w:r>
      <w:r w:rsidR="007E1199" w:rsidRPr="00EE5E78">
        <w:rPr>
          <w:sz w:val="24"/>
          <w:szCs w:val="24"/>
        </w:rPr>
        <w:t xml:space="preserve">, </w:t>
      </w:r>
      <w:r w:rsidR="00CD4990">
        <w:rPr>
          <w:sz w:val="24"/>
          <w:szCs w:val="24"/>
        </w:rPr>
        <w:t xml:space="preserve">and </w:t>
      </w:r>
      <w:r w:rsidR="007E1199" w:rsidRPr="00EE5E78">
        <w:rPr>
          <w:sz w:val="24"/>
          <w:szCs w:val="24"/>
        </w:rPr>
        <w:t>as a means to achieving a range of social, ethical, environmental and economic objectives</w:t>
      </w:r>
      <w:r w:rsidR="00C60E78" w:rsidRPr="00EE5E78">
        <w:rPr>
          <w:sz w:val="24"/>
          <w:szCs w:val="24"/>
        </w:rPr>
        <w:t>.</w:t>
      </w:r>
      <w:r w:rsidR="0004170A" w:rsidRPr="00EE5E78">
        <w:rPr>
          <w:sz w:val="24"/>
          <w:szCs w:val="24"/>
        </w:rPr>
        <w:t xml:space="preserve"> These objectives</w:t>
      </w:r>
      <w:r w:rsidR="007E1199" w:rsidRPr="00EE5E78">
        <w:rPr>
          <w:sz w:val="24"/>
          <w:szCs w:val="24"/>
        </w:rPr>
        <w:t xml:space="preserve"> includ</w:t>
      </w:r>
      <w:r w:rsidR="0004170A" w:rsidRPr="00EE5E78">
        <w:rPr>
          <w:sz w:val="24"/>
          <w:szCs w:val="24"/>
        </w:rPr>
        <w:t>e</w:t>
      </w:r>
      <w:r w:rsidR="007E1199" w:rsidRPr="00EE5E78">
        <w:rPr>
          <w:sz w:val="24"/>
          <w:szCs w:val="24"/>
        </w:rPr>
        <w:t xml:space="preserve"> </w:t>
      </w:r>
      <w:r w:rsidR="0004170A" w:rsidRPr="00EE5E78">
        <w:rPr>
          <w:sz w:val="24"/>
          <w:szCs w:val="24"/>
        </w:rPr>
        <w:t>dri</w:t>
      </w:r>
      <w:r w:rsidR="000B1DD8" w:rsidRPr="00EE5E78">
        <w:rPr>
          <w:sz w:val="24"/>
          <w:szCs w:val="24"/>
        </w:rPr>
        <w:t xml:space="preserve">ving </w:t>
      </w:r>
      <w:r w:rsidR="007E1199" w:rsidRPr="00EE5E78">
        <w:rPr>
          <w:sz w:val="24"/>
          <w:szCs w:val="24"/>
        </w:rPr>
        <w:t xml:space="preserve">waste prevention, </w:t>
      </w:r>
      <w:r w:rsidR="000B1DD8" w:rsidRPr="00EE5E78">
        <w:rPr>
          <w:sz w:val="24"/>
          <w:szCs w:val="24"/>
        </w:rPr>
        <w:t xml:space="preserve">promoting </w:t>
      </w:r>
      <w:r w:rsidR="007E1199" w:rsidRPr="00EE5E78">
        <w:rPr>
          <w:sz w:val="24"/>
          <w:szCs w:val="24"/>
        </w:rPr>
        <w:t>energy efficienc</w:t>
      </w:r>
      <w:r w:rsidR="000B1DD8" w:rsidRPr="00EE5E78">
        <w:rPr>
          <w:sz w:val="24"/>
          <w:szCs w:val="24"/>
        </w:rPr>
        <w:t>y or</w:t>
      </w:r>
      <w:r w:rsidR="007E1199" w:rsidRPr="00EE5E78">
        <w:rPr>
          <w:sz w:val="24"/>
          <w:szCs w:val="24"/>
        </w:rPr>
        <w:t xml:space="preserve"> water stewardship, fair trading practices, economic and social development, food security, </w:t>
      </w:r>
      <w:r w:rsidR="000B1DD8" w:rsidRPr="00EE5E78">
        <w:rPr>
          <w:sz w:val="24"/>
          <w:szCs w:val="24"/>
        </w:rPr>
        <w:t xml:space="preserve">the </w:t>
      </w:r>
      <w:r w:rsidR="007E1199" w:rsidRPr="00EE5E78">
        <w:rPr>
          <w:sz w:val="24"/>
          <w:szCs w:val="24"/>
        </w:rPr>
        <w:t xml:space="preserve">landscape scale management of natural resources, stopping global deforestation and tackling climate change. </w:t>
      </w:r>
    </w:p>
    <w:p w14:paraId="4E6556DD" w14:textId="1C1A4DB9" w:rsidR="009E200D" w:rsidRDefault="007E1199" w:rsidP="00FE3EAB">
      <w:pPr>
        <w:jc w:val="both"/>
        <w:rPr>
          <w:sz w:val="24"/>
          <w:szCs w:val="24"/>
        </w:rPr>
      </w:pPr>
      <w:r w:rsidRPr="00EE5E78">
        <w:rPr>
          <w:sz w:val="24"/>
          <w:szCs w:val="24"/>
        </w:rPr>
        <w:t>As the name suggests they are voluntary, not mandatory and are non-legal in nature (i.e. they are not legally enforceable)</w:t>
      </w:r>
      <w:r w:rsidR="00B05F0C" w:rsidRPr="00EE5E78">
        <w:rPr>
          <w:sz w:val="24"/>
          <w:szCs w:val="24"/>
        </w:rPr>
        <w:t>.</w:t>
      </w:r>
      <w:r w:rsidR="0004170A" w:rsidRPr="00EE5E78">
        <w:rPr>
          <w:sz w:val="24"/>
          <w:szCs w:val="24"/>
        </w:rPr>
        <w:t xml:space="preserve"> </w:t>
      </w:r>
      <w:r w:rsidR="00B05F0C" w:rsidRPr="00EE5E78">
        <w:rPr>
          <w:sz w:val="24"/>
          <w:szCs w:val="24"/>
        </w:rPr>
        <w:t>They</w:t>
      </w:r>
      <w:r w:rsidR="0004170A" w:rsidRPr="00EE5E78">
        <w:rPr>
          <w:sz w:val="24"/>
          <w:szCs w:val="24"/>
        </w:rPr>
        <w:t xml:space="preserve"> can be agile and flexible enough to</w:t>
      </w:r>
      <w:r w:rsidR="000B1DD8" w:rsidRPr="00EE5E78">
        <w:rPr>
          <w:sz w:val="24"/>
          <w:szCs w:val="24"/>
        </w:rPr>
        <w:t xml:space="preserve"> respond to changing</w:t>
      </w:r>
      <w:r w:rsidR="00812FE0">
        <w:rPr>
          <w:sz w:val="24"/>
          <w:szCs w:val="24"/>
        </w:rPr>
        <w:t xml:space="preserve"> </w:t>
      </w:r>
      <w:r w:rsidR="000B1DD8" w:rsidRPr="00EE5E78">
        <w:rPr>
          <w:sz w:val="24"/>
          <w:szCs w:val="24"/>
        </w:rPr>
        <w:t>policy, business and societal needs</w:t>
      </w:r>
      <w:r w:rsidR="0004170A" w:rsidRPr="00EE5E78">
        <w:rPr>
          <w:rStyle w:val="FootnoteReference"/>
          <w:sz w:val="24"/>
          <w:szCs w:val="24"/>
        </w:rPr>
        <w:footnoteReference w:id="9"/>
      </w:r>
      <w:r w:rsidR="00FE3EAB">
        <w:rPr>
          <w:sz w:val="24"/>
          <w:szCs w:val="24"/>
        </w:rPr>
        <w:t>.</w:t>
      </w:r>
      <w:r w:rsidRPr="00EE5E78">
        <w:rPr>
          <w:sz w:val="24"/>
          <w:szCs w:val="24"/>
        </w:rPr>
        <w:t xml:space="preserve"> </w:t>
      </w:r>
      <w:r w:rsidR="003C1127">
        <w:rPr>
          <w:sz w:val="24"/>
          <w:szCs w:val="24"/>
        </w:rPr>
        <w:t>However, they can be structured and monitored sufficiently well to provide enough transparency of individual and collective signatory performance over time, including internal benchmarking and collective reporting of progress.</w:t>
      </w:r>
    </w:p>
    <w:p w14:paraId="7752AADB" w14:textId="77777777" w:rsidR="00216ABD" w:rsidRDefault="00216ABD" w:rsidP="00FE3EAB">
      <w:pPr>
        <w:jc w:val="both"/>
        <w:rPr>
          <w:sz w:val="24"/>
          <w:szCs w:val="24"/>
        </w:rPr>
      </w:pPr>
    </w:p>
    <w:p w14:paraId="4B6A593F" w14:textId="6ED4A66E" w:rsidR="00216ABD" w:rsidRPr="000C0AF3" w:rsidRDefault="00216ABD" w:rsidP="000C0AF3">
      <w:pPr>
        <w:pStyle w:val="Heading2"/>
        <w:rPr>
          <w:rStyle w:val="BookTitle"/>
          <w:b/>
          <w:bCs w:val="0"/>
        </w:rPr>
      </w:pPr>
      <w:bookmarkStart w:id="16" w:name="_Toc39140007"/>
      <w:r w:rsidRPr="000C0AF3">
        <w:rPr>
          <w:rStyle w:val="BookTitle"/>
          <w:b/>
          <w:bCs w:val="0"/>
        </w:rPr>
        <w:t>The</w:t>
      </w:r>
      <w:r w:rsidR="00BD537E">
        <w:rPr>
          <w:rStyle w:val="BookTitle"/>
          <w:b/>
          <w:bCs w:val="0"/>
        </w:rPr>
        <w:t xml:space="preserve"> role and benefits of a voluntary commitment program</w:t>
      </w:r>
      <w:bookmarkEnd w:id="16"/>
    </w:p>
    <w:p w14:paraId="49EEB60E" w14:textId="77777777" w:rsidR="00216ABD" w:rsidRDefault="00216ABD" w:rsidP="00216ABD">
      <w:pPr>
        <w:spacing w:after="80"/>
        <w:jc w:val="both"/>
        <w:rPr>
          <w:sz w:val="24"/>
          <w:szCs w:val="24"/>
        </w:rPr>
      </w:pPr>
      <w:r>
        <w:rPr>
          <w:sz w:val="24"/>
          <w:szCs w:val="24"/>
        </w:rPr>
        <w:t xml:space="preserve">The </w:t>
      </w:r>
      <w:r w:rsidRPr="001128E3">
        <w:rPr>
          <w:b/>
          <w:bCs/>
          <w:color w:val="2F5496" w:themeColor="accent1" w:themeShade="BF"/>
          <w:sz w:val="24"/>
          <w:szCs w:val="24"/>
        </w:rPr>
        <w:t>role</w:t>
      </w:r>
      <w:r w:rsidRPr="001128E3">
        <w:rPr>
          <w:color w:val="2F5496" w:themeColor="accent1" w:themeShade="BF"/>
          <w:sz w:val="24"/>
          <w:szCs w:val="24"/>
        </w:rPr>
        <w:t xml:space="preserve"> </w:t>
      </w:r>
      <w:r>
        <w:rPr>
          <w:sz w:val="24"/>
          <w:szCs w:val="24"/>
        </w:rPr>
        <w:t>of the voluntary commitment program is to:</w:t>
      </w:r>
    </w:p>
    <w:p w14:paraId="65CB0DB3" w14:textId="6DE958AE" w:rsidR="00216ABD" w:rsidRPr="00E64F88" w:rsidRDefault="00C61E12" w:rsidP="00F2143E">
      <w:pPr>
        <w:numPr>
          <w:ilvl w:val="0"/>
          <w:numId w:val="8"/>
        </w:numPr>
        <w:tabs>
          <w:tab w:val="clear" w:pos="720"/>
          <w:tab w:val="num" w:pos="284"/>
        </w:tabs>
        <w:spacing w:after="80"/>
        <w:ind w:left="284" w:hanging="284"/>
        <w:jc w:val="both"/>
        <w:rPr>
          <w:sz w:val="24"/>
          <w:szCs w:val="24"/>
        </w:rPr>
      </w:pPr>
      <w:r>
        <w:rPr>
          <w:sz w:val="24"/>
          <w:szCs w:val="24"/>
        </w:rPr>
        <w:t>H</w:t>
      </w:r>
      <w:r w:rsidR="00216ABD" w:rsidRPr="00E64F88">
        <w:rPr>
          <w:sz w:val="24"/>
          <w:szCs w:val="24"/>
        </w:rPr>
        <w:t>elp deliver the N</w:t>
      </w:r>
      <w:r w:rsidR="00216ABD">
        <w:rPr>
          <w:sz w:val="24"/>
          <w:szCs w:val="24"/>
        </w:rPr>
        <w:t xml:space="preserve">ational </w:t>
      </w:r>
      <w:r w:rsidR="00216ABD" w:rsidRPr="00E64F88">
        <w:rPr>
          <w:sz w:val="24"/>
          <w:szCs w:val="24"/>
        </w:rPr>
        <w:t>F</w:t>
      </w:r>
      <w:r w:rsidR="00216ABD">
        <w:rPr>
          <w:sz w:val="24"/>
          <w:szCs w:val="24"/>
        </w:rPr>
        <w:t xml:space="preserve">ood </w:t>
      </w:r>
      <w:r w:rsidR="00216ABD" w:rsidRPr="00E64F88">
        <w:rPr>
          <w:sz w:val="24"/>
          <w:szCs w:val="24"/>
        </w:rPr>
        <w:t>W</w:t>
      </w:r>
      <w:r w:rsidR="00216ABD">
        <w:rPr>
          <w:sz w:val="24"/>
          <w:szCs w:val="24"/>
        </w:rPr>
        <w:t xml:space="preserve">aste </w:t>
      </w:r>
      <w:r w:rsidR="00216ABD" w:rsidRPr="00E64F88">
        <w:rPr>
          <w:sz w:val="24"/>
          <w:szCs w:val="24"/>
        </w:rPr>
        <w:t>S</w:t>
      </w:r>
      <w:r w:rsidR="00216ABD">
        <w:rPr>
          <w:sz w:val="24"/>
          <w:szCs w:val="24"/>
        </w:rPr>
        <w:t>trategy</w:t>
      </w:r>
      <w:r w:rsidR="00216ABD" w:rsidRPr="00E64F88">
        <w:rPr>
          <w:sz w:val="24"/>
          <w:szCs w:val="24"/>
        </w:rPr>
        <w:t xml:space="preserve"> and the UN SDGs by 2030</w:t>
      </w:r>
      <w:r w:rsidR="00216ABD">
        <w:rPr>
          <w:sz w:val="24"/>
          <w:szCs w:val="24"/>
        </w:rPr>
        <w:t>.</w:t>
      </w:r>
    </w:p>
    <w:p w14:paraId="39D98B55" w14:textId="77777777" w:rsidR="00216ABD" w:rsidRPr="00E64F88" w:rsidRDefault="00216ABD" w:rsidP="00F2143E">
      <w:pPr>
        <w:numPr>
          <w:ilvl w:val="0"/>
          <w:numId w:val="8"/>
        </w:numPr>
        <w:tabs>
          <w:tab w:val="clear" w:pos="720"/>
          <w:tab w:val="num" w:pos="284"/>
        </w:tabs>
        <w:spacing w:after="80"/>
        <w:ind w:left="284" w:hanging="284"/>
        <w:jc w:val="both"/>
        <w:rPr>
          <w:sz w:val="24"/>
          <w:szCs w:val="24"/>
        </w:rPr>
      </w:pPr>
      <w:r>
        <w:rPr>
          <w:sz w:val="24"/>
          <w:szCs w:val="24"/>
        </w:rPr>
        <w:t>M</w:t>
      </w:r>
      <w:r w:rsidRPr="00E64F88">
        <w:rPr>
          <w:sz w:val="24"/>
          <w:szCs w:val="24"/>
        </w:rPr>
        <w:t xml:space="preserve">ove food waste up the food recovery </w:t>
      </w:r>
      <w:r>
        <w:rPr>
          <w:sz w:val="24"/>
          <w:szCs w:val="24"/>
        </w:rPr>
        <w:t>hierarchy.</w:t>
      </w:r>
    </w:p>
    <w:p w14:paraId="69C306A8" w14:textId="77777777" w:rsidR="00216ABD" w:rsidRPr="00E64F88" w:rsidRDefault="00216ABD" w:rsidP="00F2143E">
      <w:pPr>
        <w:numPr>
          <w:ilvl w:val="0"/>
          <w:numId w:val="8"/>
        </w:numPr>
        <w:tabs>
          <w:tab w:val="clear" w:pos="720"/>
          <w:tab w:val="num" w:pos="284"/>
        </w:tabs>
        <w:spacing w:after="80"/>
        <w:ind w:left="284" w:hanging="284"/>
        <w:jc w:val="both"/>
        <w:rPr>
          <w:sz w:val="24"/>
          <w:szCs w:val="24"/>
        </w:rPr>
      </w:pPr>
      <w:r w:rsidRPr="00E64F88">
        <w:rPr>
          <w:sz w:val="24"/>
          <w:szCs w:val="24"/>
        </w:rPr>
        <w:t>Maximis</w:t>
      </w:r>
      <w:r>
        <w:rPr>
          <w:sz w:val="24"/>
          <w:szCs w:val="24"/>
        </w:rPr>
        <w:t>e</w:t>
      </w:r>
      <w:r w:rsidRPr="00E64F88">
        <w:rPr>
          <w:sz w:val="24"/>
          <w:szCs w:val="24"/>
        </w:rPr>
        <w:t xml:space="preserve"> economic and social returns and minimis</w:t>
      </w:r>
      <w:r>
        <w:rPr>
          <w:sz w:val="24"/>
          <w:szCs w:val="24"/>
        </w:rPr>
        <w:t>e</w:t>
      </w:r>
      <w:r w:rsidRPr="00E64F88">
        <w:rPr>
          <w:sz w:val="24"/>
          <w:szCs w:val="24"/>
        </w:rPr>
        <w:t xml:space="preserve"> environmental impact</w:t>
      </w:r>
      <w:r>
        <w:rPr>
          <w:sz w:val="24"/>
          <w:szCs w:val="24"/>
        </w:rPr>
        <w:t>.</w:t>
      </w:r>
    </w:p>
    <w:p w14:paraId="79E33F82" w14:textId="77777777" w:rsidR="00216ABD" w:rsidRPr="00E64F88" w:rsidRDefault="00216ABD" w:rsidP="00F2143E">
      <w:pPr>
        <w:numPr>
          <w:ilvl w:val="0"/>
          <w:numId w:val="8"/>
        </w:numPr>
        <w:tabs>
          <w:tab w:val="clear" w:pos="720"/>
          <w:tab w:val="num" w:pos="284"/>
        </w:tabs>
        <w:spacing w:after="80"/>
        <w:ind w:left="284" w:hanging="284"/>
        <w:jc w:val="both"/>
        <w:rPr>
          <w:sz w:val="24"/>
          <w:szCs w:val="24"/>
        </w:rPr>
      </w:pPr>
      <w:r>
        <w:rPr>
          <w:sz w:val="24"/>
          <w:szCs w:val="24"/>
        </w:rPr>
        <w:t>A</w:t>
      </w:r>
      <w:r w:rsidRPr="00E64F88">
        <w:rPr>
          <w:sz w:val="24"/>
          <w:szCs w:val="24"/>
        </w:rPr>
        <w:t>ct as the delivery vehicle for whole food value chain collaboration and action</w:t>
      </w:r>
      <w:r>
        <w:rPr>
          <w:sz w:val="24"/>
          <w:szCs w:val="24"/>
        </w:rPr>
        <w:t>.</w:t>
      </w:r>
    </w:p>
    <w:p w14:paraId="1E084E52" w14:textId="77777777" w:rsidR="00216ABD" w:rsidRPr="00E64F88" w:rsidRDefault="00216ABD" w:rsidP="00F2143E">
      <w:pPr>
        <w:numPr>
          <w:ilvl w:val="0"/>
          <w:numId w:val="8"/>
        </w:numPr>
        <w:tabs>
          <w:tab w:val="clear" w:pos="720"/>
          <w:tab w:val="num" w:pos="284"/>
        </w:tabs>
        <w:spacing w:after="80"/>
        <w:ind w:left="284" w:hanging="284"/>
        <w:jc w:val="both"/>
        <w:rPr>
          <w:sz w:val="24"/>
          <w:szCs w:val="24"/>
        </w:rPr>
      </w:pPr>
      <w:r>
        <w:rPr>
          <w:sz w:val="24"/>
          <w:szCs w:val="24"/>
        </w:rPr>
        <w:t>B</w:t>
      </w:r>
      <w:r w:rsidRPr="00E64F88">
        <w:rPr>
          <w:sz w:val="24"/>
          <w:szCs w:val="24"/>
        </w:rPr>
        <w:t xml:space="preserve">uild trust and confidence </w:t>
      </w:r>
      <w:r>
        <w:rPr>
          <w:sz w:val="24"/>
          <w:szCs w:val="24"/>
        </w:rPr>
        <w:t>amongst food businesses, governments and consumers.</w:t>
      </w:r>
    </w:p>
    <w:p w14:paraId="3FB16F70" w14:textId="77777777" w:rsidR="00216ABD" w:rsidRPr="00E64F88" w:rsidRDefault="00216ABD" w:rsidP="00F2143E">
      <w:pPr>
        <w:numPr>
          <w:ilvl w:val="0"/>
          <w:numId w:val="8"/>
        </w:numPr>
        <w:tabs>
          <w:tab w:val="clear" w:pos="720"/>
          <w:tab w:val="num" w:pos="284"/>
        </w:tabs>
        <w:spacing w:after="80"/>
        <w:ind w:left="284" w:hanging="284"/>
        <w:jc w:val="both"/>
        <w:rPr>
          <w:sz w:val="24"/>
          <w:szCs w:val="24"/>
        </w:rPr>
      </w:pPr>
      <w:r>
        <w:rPr>
          <w:sz w:val="24"/>
          <w:szCs w:val="24"/>
        </w:rPr>
        <w:t>E</w:t>
      </w:r>
      <w:r w:rsidRPr="00E64F88">
        <w:rPr>
          <w:sz w:val="24"/>
          <w:szCs w:val="24"/>
        </w:rPr>
        <w:t>stablish new pre-competitive partnerships</w:t>
      </w:r>
      <w:r>
        <w:rPr>
          <w:sz w:val="24"/>
          <w:szCs w:val="24"/>
        </w:rPr>
        <w:t>.</w:t>
      </w:r>
    </w:p>
    <w:p w14:paraId="150CF8C0" w14:textId="77777777" w:rsidR="00216ABD" w:rsidRPr="00E64F88" w:rsidRDefault="00216ABD" w:rsidP="00F2143E">
      <w:pPr>
        <w:numPr>
          <w:ilvl w:val="0"/>
          <w:numId w:val="8"/>
        </w:numPr>
        <w:tabs>
          <w:tab w:val="clear" w:pos="720"/>
          <w:tab w:val="num" w:pos="284"/>
        </w:tabs>
        <w:spacing w:after="80"/>
        <w:ind w:left="284" w:hanging="284"/>
        <w:jc w:val="both"/>
        <w:rPr>
          <w:sz w:val="24"/>
          <w:szCs w:val="24"/>
        </w:rPr>
      </w:pPr>
      <w:r>
        <w:rPr>
          <w:sz w:val="24"/>
          <w:szCs w:val="24"/>
        </w:rPr>
        <w:t>G</w:t>
      </w:r>
      <w:r w:rsidRPr="00E64F88">
        <w:rPr>
          <w:sz w:val="24"/>
          <w:szCs w:val="24"/>
        </w:rPr>
        <w:t>enerate new data and insight</w:t>
      </w:r>
      <w:r>
        <w:rPr>
          <w:sz w:val="24"/>
          <w:szCs w:val="24"/>
        </w:rPr>
        <w:t>, allowing the tracking of progress over time.</w:t>
      </w:r>
    </w:p>
    <w:p w14:paraId="2DAFA828" w14:textId="77777777" w:rsidR="00216ABD" w:rsidRDefault="00216ABD" w:rsidP="00F2143E">
      <w:pPr>
        <w:numPr>
          <w:ilvl w:val="0"/>
          <w:numId w:val="8"/>
        </w:numPr>
        <w:tabs>
          <w:tab w:val="clear" w:pos="720"/>
          <w:tab w:val="num" w:pos="284"/>
        </w:tabs>
        <w:spacing w:after="80"/>
        <w:ind w:left="284" w:hanging="284"/>
        <w:jc w:val="both"/>
        <w:rPr>
          <w:sz w:val="24"/>
          <w:szCs w:val="24"/>
        </w:rPr>
      </w:pPr>
      <w:r>
        <w:rPr>
          <w:sz w:val="24"/>
          <w:szCs w:val="24"/>
        </w:rPr>
        <w:lastRenderedPageBreak/>
        <w:t>S</w:t>
      </w:r>
      <w:r w:rsidRPr="00E64F88">
        <w:rPr>
          <w:sz w:val="24"/>
          <w:szCs w:val="24"/>
        </w:rPr>
        <w:t>hare best practice and mainstream solutions</w:t>
      </w:r>
      <w:r>
        <w:rPr>
          <w:sz w:val="24"/>
          <w:szCs w:val="24"/>
        </w:rPr>
        <w:t>.</w:t>
      </w:r>
    </w:p>
    <w:p w14:paraId="46D2C82B" w14:textId="77777777" w:rsidR="00216ABD" w:rsidRPr="00E64F88" w:rsidRDefault="00216ABD" w:rsidP="00F2143E">
      <w:pPr>
        <w:numPr>
          <w:ilvl w:val="0"/>
          <w:numId w:val="8"/>
        </w:numPr>
        <w:tabs>
          <w:tab w:val="clear" w:pos="720"/>
          <w:tab w:val="num" w:pos="284"/>
        </w:tabs>
        <w:spacing w:after="80"/>
        <w:ind w:left="284" w:hanging="284"/>
        <w:jc w:val="both"/>
        <w:rPr>
          <w:sz w:val="24"/>
          <w:szCs w:val="24"/>
        </w:rPr>
      </w:pPr>
      <w:r>
        <w:rPr>
          <w:sz w:val="24"/>
          <w:szCs w:val="24"/>
        </w:rPr>
        <w:t>Provide an opportunity for food businesses to benchmark their performance and get targeted information on how to improve their performance.</w:t>
      </w:r>
    </w:p>
    <w:p w14:paraId="1F55F7F5" w14:textId="77777777" w:rsidR="00216ABD" w:rsidRPr="007C13C6" w:rsidRDefault="00216ABD" w:rsidP="00F2143E">
      <w:pPr>
        <w:numPr>
          <w:ilvl w:val="0"/>
          <w:numId w:val="8"/>
        </w:numPr>
        <w:tabs>
          <w:tab w:val="clear" w:pos="720"/>
          <w:tab w:val="num" w:pos="284"/>
        </w:tabs>
        <w:ind w:left="284" w:hanging="284"/>
        <w:jc w:val="both"/>
        <w:rPr>
          <w:sz w:val="24"/>
          <w:szCs w:val="24"/>
        </w:rPr>
      </w:pPr>
      <w:r>
        <w:rPr>
          <w:sz w:val="24"/>
          <w:szCs w:val="24"/>
        </w:rPr>
        <w:t>D</w:t>
      </w:r>
      <w:r w:rsidRPr="00E64F88">
        <w:rPr>
          <w:sz w:val="24"/>
          <w:szCs w:val="24"/>
        </w:rPr>
        <w:t>rive the pace and scale of change</w:t>
      </w:r>
      <w:r>
        <w:rPr>
          <w:sz w:val="24"/>
          <w:szCs w:val="24"/>
        </w:rPr>
        <w:t>.</w:t>
      </w:r>
    </w:p>
    <w:p w14:paraId="40163FC8" w14:textId="77777777" w:rsidR="00216ABD" w:rsidRPr="00EE5E78" w:rsidRDefault="00216ABD" w:rsidP="00216ABD">
      <w:pPr>
        <w:jc w:val="both"/>
        <w:rPr>
          <w:sz w:val="24"/>
          <w:szCs w:val="24"/>
        </w:rPr>
      </w:pPr>
      <w:r w:rsidRPr="00EE5E78">
        <w:rPr>
          <w:sz w:val="24"/>
          <w:szCs w:val="24"/>
        </w:rPr>
        <w:t xml:space="preserve">The </w:t>
      </w:r>
      <w:r w:rsidRPr="001128E3">
        <w:rPr>
          <w:b/>
          <w:bCs/>
          <w:color w:val="2F5496" w:themeColor="accent1" w:themeShade="BF"/>
          <w:sz w:val="24"/>
          <w:szCs w:val="24"/>
        </w:rPr>
        <w:t>benefits</w:t>
      </w:r>
      <w:r w:rsidRPr="001128E3">
        <w:rPr>
          <w:color w:val="2F5496" w:themeColor="accent1" w:themeShade="BF"/>
          <w:sz w:val="24"/>
          <w:szCs w:val="24"/>
        </w:rPr>
        <w:t xml:space="preserve"> </w:t>
      </w:r>
      <w:r w:rsidRPr="00EE5E78">
        <w:rPr>
          <w:sz w:val="24"/>
          <w:szCs w:val="24"/>
        </w:rPr>
        <w:t>of a voluntary commitment</w:t>
      </w:r>
      <w:r>
        <w:rPr>
          <w:sz w:val="24"/>
          <w:szCs w:val="24"/>
        </w:rPr>
        <w:t xml:space="preserve"> program</w:t>
      </w:r>
      <w:r w:rsidRPr="00EE5E78">
        <w:rPr>
          <w:sz w:val="24"/>
          <w:szCs w:val="24"/>
        </w:rPr>
        <w:t>:</w:t>
      </w:r>
    </w:p>
    <w:p w14:paraId="3099A3F7" w14:textId="6BC667AB" w:rsidR="00216ABD" w:rsidRPr="00D82627" w:rsidRDefault="00216ABD" w:rsidP="00F2143E">
      <w:pPr>
        <w:numPr>
          <w:ilvl w:val="0"/>
          <w:numId w:val="1"/>
        </w:numPr>
        <w:spacing w:after="80"/>
        <w:ind w:left="284" w:hanging="284"/>
        <w:jc w:val="both"/>
        <w:rPr>
          <w:sz w:val="24"/>
          <w:szCs w:val="24"/>
        </w:rPr>
      </w:pPr>
      <w:r>
        <w:rPr>
          <w:sz w:val="24"/>
          <w:szCs w:val="24"/>
        </w:rPr>
        <w:t>Reducing food waste is the third</w:t>
      </w:r>
      <w:r w:rsidRPr="00E64F88">
        <w:rPr>
          <w:sz w:val="24"/>
          <w:szCs w:val="24"/>
        </w:rPr>
        <w:t xml:space="preserve"> most effective way to combat climate change</w:t>
      </w:r>
      <w:r>
        <w:rPr>
          <w:sz w:val="24"/>
          <w:szCs w:val="24"/>
        </w:rPr>
        <w:t xml:space="preserve"> (after refrigerant management and using onshore wind turbines to generate renewable energy)</w:t>
      </w:r>
      <w:r>
        <w:rPr>
          <w:rStyle w:val="FootnoteReference"/>
          <w:sz w:val="24"/>
          <w:szCs w:val="24"/>
        </w:rPr>
        <w:footnoteReference w:id="10"/>
      </w:r>
      <w:r>
        <w:rPr>
          <w:sz w:val="24"/>
          <w:szCs w:val="24"/>
        </w:rPr>
        <w:t>.</w:t>
      </w:r>
    </w:p>
    <w:p w14:paraId="1133F913" w14:textId="77777777" w:rsidR="00216ABD" w:rsidRPr="003B181B" w:rsidRDefault="00216ABD" w:rsidP="00F2143E">
      <w:pPr>
        <w:pStyle w:val="ListParagraph"/>
        <w:numPr>
          <w:ilvl w:val="0"/>
          <w:numId w:val="1"/>
        </w:numPr>
        <w:spacing w:after="80"/>
        <w:ind w:left="284" w:hanging="284"/>
        <w:contextualSpacing w:val="0"/>
        <w:jc w:val="both"/>
        <w:rPr>
          <w:sz w:val="24"/>
          <w:szCs w:val="24"/>
        </w:rPr>
      </w:pPr>
      <w:r w:rsidRPr="003B181B">
        <w:rPr>
          <w:sz w:val="24"/>
          <w:szCs w:val="24"/>
        </w:rPr>
        <w:t xml:space="preserve">Involves actors </w:t>
      </w:r>
      <w:r>
        <w:rPr>
          <w:sz w:val="24"/>
          <w:szCs w:val="24"/>
        </w:rPr>
        <w:t>throughout</w:t>
      </w:r>
      <w:r w:rsidRPr="003B181B">
        <w:rPr>
          <w:sz w:val="24"/>
          <w:szCs w:val="24"/>
        </w:rPr>
        <w:t xml:space="preserve"> the food value chain, from farmers and growers, to food manufacturers and food service companies, wholesalers, retailers and consumers</w:t>
      </w:r>
      <w:r>
        <w:rPr>
          <w:sz w:val="24"/>
          <w:szCs w:val="24"/>
        </w:rPr>
        <w:t>,</w:t>
      </w:r>
      <w:r w:rsidRPr="003B181B">
        <w:rPr>
          <w:sz w:val="24"/>
          <w:szCs w:val="24"/>
        </w:rPr>
        <w:t xml:space="preserve"> to work on common problems and find and test the most effective solutions</w:t>
      </w:r>
      <w:r>
        <w:rPr>
          <w:sz w:val="24"/>
          <w:szCs w:val="24"/>
        </w:rPr>
        <w:t>.</w:t>
      </w:r>
    </w:p>
    <w:p w14:paraId="11E7062D" w14:textId="77777777" w:rsidR="00216ABD" w:rsidRPr="003B181B" w:rsidRDefault="00216ABD" w:rsidP="00F2143E">
      <w:pPr>
        <w:pStyle w:val="ListParagraph"/>
        <w:numPr>
          <w:ilvl w:val="0"/>
          <w:numId w:val="1"/>
        </w:numPr>
        <w:spacing w:after="80"/>
        <w:ind w:left="284" w:hanging="284"/>
        <w:contextualSpacing w:val="0"/>
        <w:jc w:val="both"/>
        <w:rPr>
          <w:sz w:val="24"/>
          <w:szCs w:val="24"/>
        </w:rPr>
      </w:pPr>
      <w:r w:rsidRPr="003B181B">
        <w:rPr>
          <w:sz w:val="24"/>
          <w:szCs w:val="24"/>
        </w:rPr>
        <w:t>Adaptable to any political or operational environment</w:t>
      </w:r>
      <w:r>
        <w:rPr>
          <w:sz w:val="24"/>
          <w:szCs w:val="24"/>
        </w:rPr>
        <w:t>.</w:t>
      </w:r>
    </w:p>
    <w:p w14:paraId="66E4AFA2" w14:textId="77777777" w:rsidR="00216ABD" w:rsidRPr="003B181B" w:rsidRDefault="00216ABD" w:rsidP="00F2143E">
      <w:pPr>
        <w:pStyle w:val="ListParagraph"/>
        <w:numPr>
          <w:ilvl w:val="0"/>
          <w:numId w:val="1"/>
        </w:numPr>
        <w:spacing w:after="80"/>
        <w:ind w:left="284" w:hanging="284"/>
        <w:contextualSpacing w:val="0"/>
        <w:jc w:val="both"/>
        <w:rPr>
          <w:sz w:val="24"/>
          <w:szCs w:val="24"/>
        </w:rPr>
      </w:pPr>
      <w:r w:rsidRPr="003B181B">
        <w:rPr>
          <w:sz w:val="24"/>
          <w:szCs w:val="24"/>
        </w:rPr>
        <w:t>Provides a flexible, agile delivery framework for collaborative action by governments, businesses and others</w:t>
      </w:r>
      <w:r>
        <w:rPr>
          <w:sz w:val="24"/>
          <w:szCs w:val="24"/>
        </w:rPr>
        <w:t>, while also providing certainty to enable industry to commit to investments.</w:t>
      </w:r>
    </w:p>
    <w:p w14:paraId="6E32B809" w14:textId="77777777" w:rsidR="00216ABD" w:rsidRPr="003B181B" w:rsidRDefault="00216ABD" w:rsidP="00F2143E">
      <w:pPr>
        <w:pStyle w:val="ListParagraph"/>
        <w:numPr>
          <w:ilvl w:val="0"/>
          <w:numId w:val="1"/>
        </w:numPr>
        <w:spacing w:after="80"/>
        <w:ind w:left="284" w:hanging="284"/>
        <w:contextualSpacing w:val="0"/>
        <w:jc w:val="both"/>
        <w:rPr>
          <w:sz w:val="24"/>
          <w:szCs w:val="24"/>
        </w:rPr>
      </w:pPr>
      <w:r w:rsidRPr="003B181B">
        <w:rPr>
          <w:sz w:val="24"/>
          <w:szCs w:val="24"/>
        </w:rPr>
        <w:t xml:space="preserve">Avoids the need for legislation or regulation </w:t>
      </w:r>
      <w:r>
        <w:rPr>
          <w:sz w:val="24"/>
          <w:szCs w:val="24"/>
        </w:rPr>
        <w:t>and</w:t>
      </w:r>
      <w:r w:rsidRPr="003B181B">
        <w:rPr>
          <w:sz w:val="24"/>
          <w:szCs w:val="24"/>
        </w:rPr>
        <w:t xml:space="preserve"> can</w:t>
      </w:r>
      <w:r>
        <w:rPr>
          <w:sz w:val="24"/>
          <w:szCs w:val="24"/>
        </w:rPr>
        <w:t xml:space="preserve"> also</w:t>
      </w:r>
      <w:r w:rsidRPr="003B181B">
        <w:rPr>
          <w:sz w:val="24"/>
          <w:szCs w:val="24"/>
        </w:rPr>
        <w:t xml:space="preserve"> be used to support the delivery of existing or planned policy goals or targets, business objectives and consumer needs</w:t>
      </w:r>
      <w:r>
        <w:rPr>
          <w:sz w:val="24"/>
          <w:szCs w:val="24"/>
        </w:rPr>
        <w:t>.</w:t>
      </w:r>
    </w:p>
    <w:p w14:paraId="2ACB1779" w14:textId="77777777" w:rsidR="00216ABD" w:rsidRPr="003B181B" w:rsidRDefault="00216ABD" w:rsidP="00F2143E">
      <w:pPr>
        <w:pStyle w:val="ListParagraph"/>
        <w:numPr>
          <w:ilvl w:val="0"/>
          <w:numId w:val="1"/>
        </w:numPr>
        <w:spacing w:after="80"/>
        <w:ind w:left="284" w:hanging="284"/>
        <w:contextualSpacing w:val="0"/>
        <w:jc w:val="both"/>
        <w:rPr>
          <w:sz w:val="24"/>
          <w:szCs w:val="24"/>
        </w:rPr>
      </w:pPr>
      <w:r w:rsidRPr="003B181B">
        <w:rPr>
          <w:sz w:val="24"/>
          <w:szCs w:val="24"/>
        </w:rPr>
        <w:t>Can be used to set common, more ambitious and ‘signatory relevant’ targets than those currently enshrined in legislation</w:t>
      </w:r>
      <w:r>
        <w:rPr>
          <w:sz w:val="24"/>
          <w:szCs w:val="24"/>
        </w:rPr>
        <w:t>,</w:t>
      </w:r>
      <w:r w:rsidRPr="003B181B">
        <w:rPr>
          <w:sz w:val="24"/>
          <w:szCs w:val="24"/>
        </w:rPr>
        <w:t xml:space="preserve"> if signatories to the commitment are amenable to this</w:t>
      </w:r>
      <w:r>
        <w:rPr>
          <w:sz w:val="24"/>
          <w:szCs w:val="24"/>
        </w:rPr>
        <w:t>.</w:t>
      </w:r>
    </w:p>
    <w:p w14:paraId="4C504D81" w14:textId="12A88B36" w:rsidR="00216ABD" w:rsidRPr="003B181B" w:rsidRDefault="00216ABD" w:rsidP="00F2143E">
      <w:pPr>
        <w:pStyle w:val="ListParagraph"/>
        <w:numPr>
          <w:ilvl w:val="0"/>
          <w:numId w:val="1"/>
        </w:numPr>
        <w:spacing w:after="80"/>
        <w:ind w:left="284" w:hanging="284"/>
        <w:contextualSpacing w:val="0"/>
        <w:jc w:val="both"/>
        <w:rPr>
          <w:sz w:val="24"/>
          <w:szCs w:val="24"/>
        </w:rPr>
      </w:pPr>
      <w:r w:rsidRPr="003B181B">
        <w:rPr>
          <w:sz w:val="24"/>
          <w:szCs w:val="24"/>
        </w:rPr>
        <w:t xml:space="preserve">Provides a framework to work with </w:t>
      </w:r>
      <w:r w:rsidR="00EC0E0D">
        <w:rPr>
          <w:sz w:val="24"/>
          <w:szCs w:val="24"/>
        </w:rPr>
        <w:t xml:space="preserve">the </w:t>
      </w:r>
      <w:r w:rsidRPr="003B181B">
        <w:rPr>
          <w:sz w:val="24"/>
          <w:szCs w:val="24"/>
        </w:rPr>
        <w:t xml:space="preserve">Commonwealth </w:t>
      </w:r>
      <w:r w:rsidR="00EC0E0D">
        <w:rPr>
          <w:sz w:val="24"/>
          <w:szCs w:val="24"/>
        </w:rPr>
        <w:t>Government</w:t>
      </w:r>
      <w:r w:rsidRPr="003B181B">
        <w:rPr>
          <w:sz w:val="24"/>
          <w:szCs w:val="24"/>
        </w:rPr>
        <w:t>, States and Territories and local government to agree and align the policies, targets, infrastructure and services required to halve food loss and waste in Australia</w:t>
      </w:r>
      <w:r>
        <w:rPr>
          <w:sz w:val="24"/>
          <w:szCs w:val="24"/>
        </w:rPr>
        <w:t>.</w:t>
      </w:r>
    </w:p>
    <w:p w14:paraId="3FBA31D1" w14:textId="77777777" w:rsidR="00216ABD" w:rsidRPr="003B181B" w:rsidRDefault="00216ABD" w:rsidP="00F2143E">
      <w:pPr>
        <w:pStyle w:val="ListParagraph"/>
        <w:numPr>
          <w:ilvl w:val="0"/>
          <w:numId w:val="1"/>
        </w:numPr>
        <w:spacing w:after="80"/>
        <w:ind w:left="284" w:hanging="284"/>
        <w:contextualSpacing w:val="0"/>
        <w:jc w:val="both"/>
        <w:rPr>
          <w:sz w:val="24"/>
          <w:szCs w:val="24"/>
        </w:rPr>
      </w:pPr>
      <w:r w:rsidRPr="003B181B">
        <w:rPr>
          <w:sz w:val="24"/>
          <w:szCs w:val="24"/>
        </w:rPr>
        <w:t xml:space="preserve">Saves time – </w:t>
      </w:r>
      <w:r>
        <w:rPr>
          <w:sz w:val="24"/>
          <w:szCs w:val="24"/>
        </w:rPr>
        <w:t>voluntary commitments</w:t>
      </w:r>
      <w:r w:rsidRPr="003B181B">
        <w:rPr>
          <w:sz w:val="24"/>
          <w:szCs w:val="24"/>
        </w:rPr>
        <w:t xml:space="preserve"> can catalyse and embed change in a shorter space of time than is usually the case with introducing new legislation or regulation</w:t>
      </w:r>
      <w:r>
        <w:rPr>
          <w:sz w:val="24"/>
          <w:szCs w:val="24"/>
        </w:rPr>
        <w:t>.</w:t>
      </w:r>
    </w:p>
    <w:p w14:paraId="6516049A" w14:textId="77777777" w:rsidR="00216ABD" w:rsidRPr="003B181B" w:rsidRDefault="00216ABD" w:rsidP="00F2143E">
      <w:pPr>
        <w:pStyle w:val="ListParagraph"/>
        <w:numPr>
          <w:ilvl w:val="0"/>
          <w:numId w:val="1"/>
        </w:numPr>
        <w:spacing w:after="80"/>
        <w:ind w:left="284" w:hanging="284"/>
        <w:contextualSpacing w:val="0"/>
        <w:jc w:val="both"/>
        <w:rPr>
          <w:sz w:val="24"/>
          <w:szCs w:val="24"/>
        </w:rPr>
      </w:pPr>
      <w:r w:rsidRPr="003B181B">
        <w:rPr>
          <w:sz w:val="24"/>
          <w:szCs w:val="24"/>
        </w:rPr>
        <w:t>Recognises different organisations are at different stages in the food waste journey and provides a safe space for experimentation, collaboration and the exploration of solutions</w:t>
      </w:r>
      <w:r>
        <w:rPr>
          <w:sz w:val="24"/>
          <w:szCs w:val="24"/>
        </w:rPr>
        <w:t>.</w:t>
      </w:r>
    </w:p>
    <w:p w14:paraId="18BB7472" w14:textId="77777777" w:rsidR="00216ABD" w:rsidRPr="003B181B" w:rsidRDefault="00216ABD" w:rsidP="00F2143E">
      <w:pPr>
        <w:pStyle w:val="ListParagraph"/>
        <w:numPr>
          <w:ilvl w:val="0"/>
          <w:numId w:val="1"/>
        </w:numPr>
        <w:spacing w:after="80"/>
        <w:ind w:left="284" w:hanging="284"/>
        <w:contextualSpacing w:val="0"/>
        <w:jc w:val="both"/>
        <w:rPr>
          <w:sz w:val="24"/>
          <w:szCs w:val="24"/>
        </w:rPr>
      </w:pPr>
      <w:r w:rsidRPr="003B181B">
        <w:rPr>
          <w:sz w:val="24"/>
          <w:szCs w:val="24"/>
        </w:rPr>
        <w:t>Can be phased over time to keep delivery manageable and respond to changing priorities and circumstances and new areas of interest</w:t>
      </w:r>
      <w:r>
        <w:rPr>
          <w:sz w:val="24"/>
          <w:szCs w:val="24"/>
        </w:rPr>
        <w:t>.</w:t>
      </w:r>
    </w:p>
    <w:p w14:paraId="6A6EED7D" w14:textId="77777777" w:rsidR="00216ABD" w:rsidRPr="003B181B" w:rsidRDefault="00216ABD" w:rsidP="00F2143E">
      <w:pPr>
        <w:pStyle w:val="ListParagraph"/>
        <w:numPr>
          <w:ilvl w:val="0"/>
          <w:numId w:val="1"/>
        </w:numPr>
        <w:spacing w:after="80"/>
        <w:ind w:left="284" w:hanging="284"/>
        <w:contextualSpacing w:val="0"/>
        <w:jc w:val="both"/>
        <w:rPr>
          <w:sz w:val="24"/>
          <w:szCs w:val="24"/>
        </w:rPr>
      </w:pPr>
      <w:r w:rsidRPr="003B181B">
        <w:rPr>
          <w:sz w:val="24"/>
          <w:szCs w:val="24"/>
        </w:rPr>
        <w:t>Can be composed of a range of research and delivery activities from working groups, demonstration projects, collaborative working in shared value chains, corporate implementation programs, and supporting behaviour change campaigns.</w:t>
      </w:r>
    </w:p>
    <w:p w14:paraId="3C99B777" w14:textId="4961FB2F" w:rsidR="00216ABD" w:rsidRDefault="00216ABD" w:rsidP="00216ABD">
      <w:pPr>
        <w:rPr>
          <w:sz w:val="24"/>
          <w:szCs w:val="24"/>
        </w:rPr>
      </w:pPr>
      <w:r w:rsidRPr="00B42221">
        <w:rPr>
          <w:sz w:val="24"/>
          <w:szCs w:val="24"/>
        </w:rPr>
        <w:t xml:space="preserve">The vision and objectives of the voluntary commitment program are summarised in </w:t>
      </w:r>
      <w:r w:rsidR="002F2C31" w:rsidRPr="002F2C31">
        <w:rPr>
          <w:b/>
          <w:bCs/>
          <w:color w:val="2F5496" w:themeColor="accent1" w:themeShade="BF"/>
          <w:sz w:val="24"/>
          <w:szCs w:val="24"/>
        </w:rPr>
        <w:fldChar w:fldCharType="begin"/>
      </w:r>
      <w:r w:rsidR="002F2C31" w:rsidRPr="002F2C31">
        <w:rPr>
          <w:sz w:val="24"/>
          <w:szCs w:val="24"/>
        </w:rPr>
        <w:instrText xml:space="preserve"> REF _Ref37934584 \h </w:instrText>
      </w:r>
      <w:r w:rsidR="002F2C31">
        <w:rPr>
          <w:b/>
          <w:bCs/>
          <w:color w:val="2F5496" w:themeColor="accent1" w:themeShade="BF"/>
          <w:sz w:val="24"/>
          <w:szCs w:val="24"/>
        </w:rPr>
        <w:instrText xml:space="preserve"> \* MERGEFORMAT </w:instrText>
      </w:r>
      <w:r w:rsidR="002F2C31" w:rsidRPr="002F2C31">
        <w:rPr>
          <w:b/>
          <w:bCs/>
          <w:color w:val="2F5496" w:themeColor="accent1" w:themeShade="BF"/>
          <w:sz w:val="24"/>
          <w:szCs w:val="24"/>
        </w:rPr>
      </w:r>
      <w:r w:rsidR="002F2C31" w:rsidRPr="002F2C31">
        <w:rPr>
          <w:b/>
          <w:bCs/>
          <w:color w:val="2F5496" w:themeColor="accent1" w:themeShade="BF"/>
          <w:sz w:val="24"/>
          <w:szCs w:val="24"/>
        </w:rPr>
        <w:fldChar w:fldCharType="separate"/>
      </w:r>
      <w:r w:rsidR="002F2C31" w:rsidRPr="002F2C31">
        <w:rPr>
          <w:b/>
          <w:bCs/>
          <w:color w:val="2F5496" w:themeColor="accent1" w:themeShade="BF"/>
          <w:sz w:val="24"/>
          <w:szCs w:val="24"/>
        </w:rPr>
        <w:t xml:space="preserve">Figure </w:t>
      </w:r>
      <w:r w:rsidR="002F2C31" w:rsidRPr="002F2C31">
        <w:rPr>
          <w:b/>
          <w:bCs/>
          <w:noProof/>
          <w:color w:val="2F5496" w:themeColor="accent1" w:themeShade="BF"/>
          <w:sz w:val="24"/>
          <w:szCs w:val="24"/>
        </w:rPr>
        <w:t>4</w:t>
      </w:r>
      <w:r w:rsidR="002F2C31" w:rsidRPr="002F2C31">
        <w:rPr>
          <w:b/>
          <w:bCs/>
          <w:color w:val="2F5496" w:themeColor="accent1" w:themeShade="BF"/>
          <w:sz w:val="24"/>
          <w:szCs w:val="24"/>
        </w:rPr>
        <w:fldChar w:fldCharType="end"/>
      </w:r>
      <w:r>
        <w:rPr>
          <w:sz w:val="24"/>
          <w:szCs w:val="24"/>
        </w:rPr>
        <w:t xml:space="preserve"> below.</w:t>
      </w:r>
    </w:p>
    <w:p w14:paraId="70202F03" w14:textId="77777777" w:rsidR="00216ABD" w:rsidRPr="00B42221" w:rsidRDefault="00216ABD" w:rsidP="00216ABD">
      <w:pPr>
        <w:rPr>
          <w:sz w:val="24"/>
          <w:szCs w:val="24"/>
        </w:rPr>
      </w:pPr>
      <w:r>
        <w:rPr>
          <w:noProof/>
          <w:lang w:eastAsia="en-AU"/>
        </w:rPr>
        <w:lastRenderedPageBreak/>
        <w:drawing>
          <wp:inline distT="0" distB="0" distL="0" distR="0" wp14:anchorId="49BA2BCA" wp14:editId="062ECB57">
            <wp:extent cx="4960068" cy="2385060"/>
            <wp:effectExtent l="38100" t="19050" r="12065" b="1524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7763D188" w14:textId="2C5BF880" w:rsidR="00216ABD" w:rsidRPr="002F2C31" w:rsidRDefault="00216ABD" w:rsidP="002F2C31">
      <w:pPr>
        <w:keepNext/>
        <w:spacing w:after="240"/>
      </w:pPr>
      <w:bookmarkStart w:id="17" w:name="_Ref37934584"/>
      <w:bookmarkStart w:id="18" w:name="_Toc37942998"/>
      <w:r w:rsidRPr="00E72D43">
        <w:rPr>
          <w:b/>
          <w:bCs/>
          <w:color w:val="2F5496" w:themeColor="accent1" w:themeShade="BF"/>
          <w:sz w:val="20"/>
          <w:szCs w:val="20"/>
        </w:rPr>
        <w:t xml:space="preserve">Figure </w:t>
      </w:r>
      <w:r w:rsidR="002F2C31" w:rsidRPr="002F2C31">
        <w:rPr>
          <w:b/>
          <w:bCs/>
          <w:color w:val="2F5496" w:themeColor="accent1" w:themeShade="BF"/>
          <w:sz w:val="20"/>
          <w:szCs w:val="20"/>
        </w:rPr>
        <w:fldChar w:fldCharType="begin"/>
      </w:r>
      <w:r w:rsidR="002F2C31" w:rsidRPr="002F2C31">
        <w:rPr>
          <w:b/>
          <w:bCs/>
          <w:color w:val="2F5496" w:themeColor="accent1" w:themeShade="BF"/>
          <w:sz w:val="20"/>
          <w:szCs w:val="20"/>
        </w:rPr>
        <w:instrText xml:space="preserve"> SEQ Figure \* ARABIC </w:instrText>
      </w:r>
      <w:r w:rsidR="002F2C31" w:rsidRPr="002F2C31">
        <w:rPr>
          <w:b/>
          <w:bCs/>
          <w:color w:val="2F5496" w:themeColor="accent1" w:themeShade="BF"/>
          <w:sz w:val="20"/>
          <w:szCs w:val="20"/>
        </w:rPr>
        <w:fldChar w:fldCharType="separate"/>
      </w:r>
      <w:r w:rsidR="00FE6444">
        <w:rPr>
          <w:b/>
          <w:bCs/>
          <w:noProof/>
          <w:color w:val="2F5496" w:themeColor="accent1" w:themeShade="BF"/>
          <w:sz w:val="20"/>
          <w:szCs w:val="20"/>
        </w:rPr>
        <w:t>4</w:t>
      </w:r>
      <w:r w:rsidR="002F2C31" w:rsidRPr="002F2C31">
        <w:rPr>
          <w:b/>
          <w:bCs/>
          <w:color w:val="2F5496" w:themeColor="accent1" w:themeShade="BF"/>
          <w:sz w:val="20"/>
          <w:szCs w:val="20"/>
        </w:rPr>
        <w:fldChar w:fldCharType="end"/>
      </w:r>
      <w:bookmarkEnd w:id="17"/>
      <w:r w:rsidRPr="00E72D43">
        <w:rPr>
          <w:b/>
          <w:bCs/>
          <w:color w:val="2F5496" w:themeColor="accent1" w:themeShade="BF"/>
          <w:sz w:val="20"/>
          <w:szCs w:val="20"/>
        </w:rPr>
        <w:t xml:space="preserve">: </w:t>
      </w:r>
      <w:r w:rsidRPr="00E72D43">
        <w:rPr>
          <w:sz w:val="20"/>
          <w:szCs w:val="20"/>
        </w:rPr>
        <w:t>the vision and objectives of the voluntary commitment program</w:t>
      </w:r>
      <w:bookmarkEnd w:id="18"/>
    </w:p>
    <w:p w14:paraId="20C22904" w14:textId="77777777" w:rsidR="009E200D" w:rsidRPr="00EE5E78" w:rsidRDefault="009E200D" w:rsidP="00E64F88">
      <w:pPr>
        <w:spacing w:after="0"/>
        <w:rPr>
          <w:b/>
          <w:bCs/>
          <w:sz w:val="24"/>
          <w:szCs w:val="24"/>
        </w:rPr>
      </w:pPr>
    </w:p>
    <w:p w14:paraId="2A79D44E" w14:textId="77777777" w:rsidR="00863CEF" w:rsidRPr="000C0AF3" w:rsidRDefault="00863CEF" w:rsidP="000C0AF3">
      <w:pPr>
        <w:pStyle w:val="Heading2"/>
        <w:rPr>
          <w:rStyle w:val="BookTitle"/>
          <w:b/>
          <w:bCs w:val="0"/>
        </w:rPr>
      </w:pPr>
      <w:bookmarkStart w:id="19" w:name="_Toc39140008"/>
      <w:r w:rsidRPr="000C0AF3">
        <w:rPr>
          <w:rStyle w:val="BookTitle"/>
          <w:b/>
          <w:bCs w:val="0"/>
        </w:rPr>
        <w:t>The structure of the voluntary commitment program</w:t>
      </w:r>
      <w:bookmarkEnd w:id="19"/>
    </w:p>
    <w:p w14:paraId="0A3E58B8" w14:textId="0F6BD6E9" w:rsidR="006200DD" w:rsidRDefault="00976086" w:rsidP="00863CEF">
      <w:pPr>
        <w:jc w:val="both"/>
        <w:rPr>
          <w:rFonts w:cstheme="minorHAnsi"/>
          <w:sz w:val="24"/>
          <w:szCs w:val="24"/>
        </w:rPr>
      </w:pPr>
      <w:r>
        <w:rPr>
          <w:rFonts w:cstheme="minorHAnsi"/>
          <w:sz w:val="24"/>
          <w:szCs w:val="24"/>
        </w:rPr>
        <w:t>The voluntary commitment program</w:t>
      </w:r>
      <w:r w:rsidR="006200DD">
        <w:rPr>
          <w:rFonts w:cstheme="minorHAnsi"/>
          <w:sz w:val="24"/>
          <w:szCs w:val="24"/>
        </w:rPr>
        <w:t xml:space="preserve"> has been designed with four main </w:t>
      </w:r>
      <w:r w:rsidR="006F0D11">
        <w:rPr>
          <w:rFonts w:cstheme="minorHAnsi"/>
          <w:sz w:val="24"/>
          <w:szCs w:val="24"/>
        </w:rPr>
        <w:t>work program areas</w:t>
      </w:r>
      <w:r w:rsidR="006200DD">
        <w:rPr>
          <w:rFonts w:cstheme="minorHAnsi"/>
          <w:sz w:val="24"/>
          <w:szCs w:val="24"/>
        </w:rPr>
        <w:t xml:space="preserve"> that aim to normalise consideration of food waste in business policies, practices and processes, from product design, buying and sourcing to collaboration and innovation projects with supply chain partners, behaviour </w:t>
      </w:r>
      <w:r w:rsidR="00C9632A">
        <w:rPr>
          <w:rFonts w:cstheme="minorHAnsi"/>
          <w:sz w:val="24"/>
          <w:szCs w:val="24"/>
        </w:rPr>
        <w:t xml:space="preserve">and culture </w:t>
      </w:r>
      <w:r w:rsidR="006200DD">
        <w:rPr>
          <w:rFonts w:cstheme="minorHAnsi"/>
          <w:sz w:val="24"/>
          <w:szCs w:val="24"/>
        </w:rPr>
        <w:t xml:space="preserve">change initiatives and finding new ways to unlock the </w:t>
      </w:r>
      <w:r w:rsidR="00C9632A">
        <w:rPr>
          <w:rFonts w:cstheme="minorHAnsi"/>
          <w:sz w:val="24"/>
          <w:szCs w:val="24"/>
        </w:rPr>
        <w:t xml:space="preserve">societal and economic </w:t>
      </w:r>
      <w:r w:rsidR="006200DD">
        <w:rPr>
          <w:rFonts w:cstheme="minorHAnsi"/>
          <w:sz w:val="24"/>
          <w:szCs w:val="24"/>
        </w:rPr>
        <w:t>value in surplus food and food waste streams</w:t>
      </w:r>
      <w:r w:rsidR="006F0D11">
        <w:rPr>
          <w:rFonts w:cstheme="minorHAnsi"/>
          <w:sz w:val="24"/>
          <w:szCs w:val="24"/>
        </w:rPr>
        <w:t xml:space="preserve"> (see</w:t>
      </w:r>
      <w:r w:rsidR="006200DD">
        <w:rPr>
          <w:rFonts w:cstheme="minorHAnsi"/>
          <w:sz w:val="24"/>
          <w:szCs w:val="24"/>
        </w:rPr>
        <w:t xml:space="preserve"> </w:t>
      </w:r>
      <w:r w:rsidR="002F2C31" w:rsidRPr="002F2C31">
        <w:rPr>
          <w:rFonts w:cstheme="minorHAnsi"/>
          <w:b/>
          <w:bCs/>
          <w:color w:val="2F5496" w:themeColor="accent1" w:themeShade="BF"/>
          <w:sz w:val="24"/>
          <w:szCs w:val="24"/>
        </w:rPr>
        <w:fldChar w:fldCharType="begin"/>
      </w:r>
      <w:r w:rsidR="002F2C31" w:rsidRPr="002F2C31">
        <w:rPr>
          <w:rFonts w:cstheme="minorHAnsi"/>
          <w:sz w:val="24"/>
          <w:szCs w:val="24"/>
        </w:rPr>
        <w:instrText xml:space="preserve"> REF _Ref37934659 \h </w:instrText>
      </w:r>
      <w:r w:rsidR="002F2C31">
        <w:rPr>
          <w:rFonts w:cstheme="minorHAnsi"/>
          <w:b/>
          <w:bCs/>
          <w:color w:val="2F5496" w:themeColor="accent1" w:themeShade="BF"/>
          <w:sz w:val="24"/>
          <w:szCs w:val="24"/>
        </w:rPr>
        <w:instrText xml:space="preserve"> \* MERGEFORMAT </w:instrText>
      </w:r>
      <w:r w:rsidR="002F2C31" w:rsidRPr="002F2C31">
        <w:rPr>
          <w:rFonts w:cstheme="minorHAnsi"/>
          <w:b/>
          <w:bCs/>
          <w:color w:val="2F5496" w:themeColor="accent1" w:themeShade="BF"/>
          <w:sz w:val="24"/>
          <w:szCs w:val="24"/>
        </w:rPr>
      </w:r>
      <w:r w:rsidR="002F2C31" w:rsidRPr="002F2C31">
        <w:rPr>
          <w:rFonts w:cstheme="minorHAnsi"/>
          <w:b/>
          <w:bCs/>
          <w:color w:val="2F5496" w:themeColor="accent1" w:themeShade="BF"/>
          <w:sz w:val="24"/>
          <w:szCs w:val="24"/>
        </w:rPr>
        <w:fldChar w:fldCharType="separate"/>
      </w:r>
      <w:r w:rsidR="002F2C31" w:rsidRPr="002F2C31">
        <w:rPr>
          <w:rFonts w:cstheme="minorHAnsi"/>
          <w:b/>
          <w:bCs/>
          <w:color w:val="2F5496" w:themeColor="accent1" w:themeShade="BF"/>
          <w:sz w:val="24"/>
          <w:szCs w:val="24"/>
        </w:rPr>
        <w:t xml:space="preserve">Figure </w:t>
      </w:r>
      <w:r w:rsidR="002F2C31" w:rsidRPr="002F2C31">
        <w:rPr>
          <w:b/>
          <w:bCs/>
          <w:noProof/>
          <w:color w:val="2F5496" w:themeColor="accent1" w:themeShade="BF"/>
          <w:sz w:val="24"/>
          <w:szCs w:val="24"/>
        </w:rPr>
        <w:t>5</w:t>
      </w:r>
      <w:r w:rsidR="002F2C31" w:rsidRPr="002F2C31">
        <w:rPr>
          <w:rFonts w:cstheme="minorHAnsi"/>
          <w:b/>
          <w:bCs/>
          <w:color w:val="2F5496" w:themeColor="accent1" w:themeShade="BF"/>
          <w:sz w:val="24"/>
          <w:szCs w:val="24"/>
        </w:rPr>
        <w:fldChar w:fldCharType="end"/>
      </w:r>
      <w:r w:rsidR="006200DD" w:rsidRPr="006200DD">
        <w:rPr>
          <w:rFonts w:cstheme="minorHAnsi"/>
          <w:color w:val="2F5496" w:themeColor="accent1" w:themeShade="BF"/>
          <w:sz w:val="24"/>
          <w:szCs w:val="24"/>
        </w:rPr>
        <w:t xml:space="preserve"> </w:t>
      </w:r>
      <w:r w:rsidR="006200DD">
        <w:rPr>
          <w:rFonts w:cstheme="minorHAnsi"/>
          <w:sz w:val="24"/>
          <w:szCs w:val="24"/>
        </w:rPr>
        <w:t>below</w:t>
      </w:r>
      <w:r w:rsidR="006F0D11">
        <w:rPr>
          <w:rFonts w:cstheme="minorHAnsi"/>
          <w:sz w:val="24"/>
          <w:szCs w:val="24"/>
        </w:rPr>
        <w:t>)</w:t>
      </w:r>
      <w:r w:rsidR="006200DD">
        <w:rPr>
          <w:rFonts w:cstheme="minorHAnsi"/>
          <w:sz w:val="24"/>
          <w:szCs w:val="24"/>
        </w:rPr>
        <w:t>.</w:t>
      </w:r>
    </w:p>
    <w:p w14:paraId="4732C574" w14:textId="77777777" w:rsidR="000F73EC" w:rsidRDefault="000F73EC" w:rsidP="000F73EC">
      <w:pPr>
        <w:jc w:val="both"/>
        <w:rPr>
          <w:rFonts w:cstheme="minorHAnsi"/>
          <w:sz w:val="24"/>
          <w:szCs w:val="24"/>
        </w:rPr>
      </w:pPr>
      <w:r>
        <w:rPr>
          <w:rFonts w:cstheme="minorHAnsi"/>
          <w:sz w:val="24"/>
          <w:szCs w:val="24"/>
        </w:rPr>
        <w:t>The structure of this voluntary commitment program supports food waste reduction, circular economy, sustainable food system and food security objectives and recognises that based on experience in other countries and in Australia:</w:t>
      </w:r>
    </w:p>
    <w:p w14:paraId="01CDBCB9" w14:textId="77777777" w:rsidR="000F73EC" w:rsidRPr="003231B0" w:rsidRDefault="000F73EC" w:rsidP="00F2143E">
      <w:pPr>
        <w:pStyle w:val="ListParagraph"/>
        <w:numPr>
          <w:ilvl w:val="0"/>
          <w:numId w:val="9"/>
        </w:numPr>
        <w:spacing w:after="80" w:line="240" w:lineRule="auto"/>
        <w:ind w:left="284" w:hanging="284"/>
        <w:contextualSpacing w:val="0"/>
        <w:jc w:val="both"/>
        <w:rPr>
          <w:rFonts w:cstheme="minorHAnsi"/>
          <w:color w:val="000000" w:themeColor="text1"/>
          <w:sz w:val="24"/>
          <w:szCs w:val="24"/>
        </w:rPr>
      </w:pPr>
      <w:r w:rsidRPr="003231B0">
        <w:rPr>
          <w:rFonts w:cstheme="minorHAnsi"/>
          <w:b/>
          <w:bCs/>
          <w:color w:val="2F5496" w:themeColor="accent1" w:themeShade="BF"/>
          <w:sz w:val="24"/>
          <w:szCs w:val="24"/>
        </w:rPr>
        <w:t>80%</w:t>
      </w:r>
      <w:r w:rsidRPr="003231B0">
        <w:rPr>
          <w:rFonts w:cstheme="minorHAnsi"/>
          <w:color w:val="2F5496" w:themeColor="accent1" w:themeShade="BF"/>
          <w:sz w:val="24"/>
          <w:szCs w:val="24"/>
        </w:rPr>
        <w:t xml:space="preserve"> </w:t>
      </w:r>
      <w:r w:rsidRPr="003231B0">
        <w:rPr>
          <w:rFonts w:cstheme="minorHAnsi"/>
          <w:color w:val="000000" w:themeColor="text1"/>
          <w:sz w:val="24"/>
          <w:szCs w:val="24"/>
        </w:rPr>
        <w:t xml:space="preserve">of the environmental impacts </w:t>
      </w:r>
      <w:r>
        <w:rPr>
          <w:rFonts w:cstheme="minorHAnsi"/>
          <w:color w:val="000000" w:themeColor="text1"/>
          <w:sz w:val="24"/>
          <w:szCs w:val="24"/>
        </w:rPr>
        <w:t xml:space="preserve">and benefits </w:t>
      </w:r>
      <w:r w:rsidRPr="003231B0">
        <w:rPr>
          <w:rFonts w:cstheme="minorHAnsi"/>
          <w:color w:val="000000" w:themeColor="text1"/>
          <w:sz w:val="24"/>
          <w:szCs w:val="24"/>
        </w:rPr>
        <w:t>of products and services are determined in the early design stages</w:t>
      </w:r>
      <w:r>
        <w:rPr>
          <w:rFonts w:cstheme="minorHAnsi"/>
          <w:color w:val="000000" w:themeColor="text1"/>
          <w:sz w:val="24"/>
          <w:szCs w:val="24"/>
        </w:rPr>
        <w:t>.</w:t>
      </w:r>
    </w:p>
    <w:p w14:paraId="4CCDC6EB" w14:textId="77777777" w:rsidR="000F73EC" w:rsidRPr="003231B0" w:rsidRDefault="000F73EC" w:rsidP="00F2143E">
      <w:pPr>
        <w:pStyle w:val="ListParagraph"/>
        <w:numPr>
          <w:ilvl w:val="0"/>
          <w:numId w:val="9"/>
        </w:numPr>
        <w:spacing w:after="80" w:line="240" w:lineRule="auto"/>
        <w:ind w:left="284" w:hanging="284"/>
        <w:contextualSpacing w:val="0"/>
        <w:jc w:val="both"/>
        <w:rPr>
          <w:rFonts w:cstheme="minorHAnsi"/>
          <w:color w:val="000000" w:themeColor="text1"/>
          <w:sz w:val="24"/>
          <w:szCs w:val="24"/>
        </w:rPr>
      </w:pPr>
      <w:r w:rsidRPr="003231B0">
        <w:rPr>
          <w:rFonts w:cstheme="minorHAnsi"/>
          <w:b/>
          <w:bCs/>
          <w:color w:val="2F5496" w:themeColor="accent1" w:themeShade="BF"/>
          <w:sz w:val="24"/>
          <w:szCs w:val="24"/>
        </w:rPr>
        <w:t>Changes in commercial supply practices</w:t>
      </w:r>
      <w:r w:rsidRPr="003231B0">
        <w:rPr>
          <w:rFonts w:cstheme="minorHAnsi"/>
          <w:color w:val="2F5496" w:themeColor="accent1" w:themeShade="BF"/>
          <w:sz w:val="24"/>
          <w:szCs w:val="24"/>
        </w:rPr>
        <w:t xml:space="preserve"> </w:t>
      </w:r>
      <w:r w:rsidRPr="003231B0">
        <w:rPr>
          <w:rFonts w:cstheme="minorHAnsi"/>
          <w:color w:val="000000" w:themeColor="text1"/>
          <w:sz w:val="24"/>
          <w:szCs w:val="24"/>
        </w:rPr>
        <w:t xml:space="preserve">can improve food value chain resource efficiency by up to </w:t>
      </w:r>
      <w:r w:rsidRPr="003231B0">
        <w:rPr>
          <w:rFonts w:cstheme="minorHAnsi"/>
          <w:b/>
          <w:bCs/>
          <w:color w:val="2F5496" w:themeColor="accent1" w:themeShade="BF"/>
          <w:sz w:val="24"/>
          <w:szCs w:val="24"/>
        </w:rPr>
        <w:t>25%</w:t>
      </w:r>
      <w:r>
        <w:rPr>
          <w:rFonts w:cstheme="minorHAnsi"/>
          <w:b/>
          <w:bCs/>
          <w:color w:val="2F5496" w:themeColor="accent1" w:themeShade="BF"/>
          <w:sz w:val="24"/>
          <w:szCs w:val="24"/>
        </w:rPr>
        <w:t>.</w:t>
      </w:r>
    </w:p>
    <w:p w14:paraId="0D550AAE" w14:textId="77777777" w:rsidR="000F73EC" w:rsidRPr="003231B0" w:rsidRDefault="000F73EC" w:rsidP="00F2143E">
      <w:pPr>
        <w:pStyle w:val="ListParagraph"/>
        <w:numPr>
          <w:ilvl w:val="0"/>
          <w:numId w:val="9"/>
        </w:numPr>
        <w:spacing w:after="80" w:line="240" w:lineRule="auto"/>
        <w:ind w:left="284" w:hanging="284"/>
        <w:contextualSpacing w:val="0"/>
        <w:jc w:val="both"/>
        <w:rPr>
          <w:rFonts w:cstheme="minorHAnsi"/>
          <w:color w:val="000000" w:themeColor="text1"/>
          <w:sz w:val="24"/>
          <w:szCs w:val="24"/>
        </w:rPr>
      </w:pPr>
      <w:r w:rsidRPr="003231B0">
        <w:rPr>
          <w:rFonts w:cstheme="minorHAnsi"/>
          <w:b/>
          <w:bCs/>
          <w:color w:val="2F5496" w:themeColor="accent1" w:themeShade="BF"/>
          <w:sz w:val="24"/>
          <w:szCs w:val="24"/>
        </w:rPr>
        <w:t xml:space="preserve">Whole chain resource efficiency </w:t>
      </w:r>
      <w:r w:rsidRPr="003231B0">
        <w:rPr>
          <w:rFonts w:cstheme="minorHAnsi"/>
          <w:color w:val="000000" w:themeColor="text1"/>
          <w:sz w:val="24"/>
          <w:szCs w:val="24"/>
        </w:rPr>
        <w:t xml:space="preserve">projects can unlock significant additional value for food value chains (e.g. </w:t>
      </w:r>
      <w:r w:rsidRPr="003231B0">
        <w:rPr>
          <w:rFonts w:cstheme="minorHAnsi"/>
          <w:b/>
          <w:bCs/>
          <w:color w:val="2F5496" w:themeColor="accent1" w:themeShade="BF"/>
          <w:sz w:val="24"/>
          <w:szCs w:val="24"/>
        </w:rPr>
        <w:t>5-25%</w:t>
      </w:r>
      <w:r w:rsidRPr="003231B0">
        <w:rPr>
          <w:rFonts w:cstheme="minorHAnsi"/>
          <w:color w:val="2F5496" w:themeColor="accent1" w:themeShade="BF"/>
          <w:sz w:val="24"/>
          <w:szCs w:val="24"/>
        </w:rPr>
        <w:t xml:space="preserve"> </w:t>
      </w:r>
      <w:r w:rsidRPr="003231B0">
        <w:rPr>
          <w:rFonts w:cstheme="minorHAnsi"/>
          <w:color w:val="000000" w:themeColor="text1"/>
          <w:sz w:val="24"/>
          <w:szCs w:val="24"/>
        </w:rPr>
        <w:t>increases in crop / livestock utilisation)</w:t>
      </w:r>
      <w:r>
        <w:rPr>
          <w:rFonts w:cstheme="minorHAnsi"/>
          <w:color w:val="000000" w:themeColor="text1"/>
          <w:sz w:val="24"/>
          <w:szCs w:val="24"/>
        </w:rPr>
        <w:t>.</w:t>
      </w:r>
    </w:p>
    <w:p w14:paraId="12876F82" w14:textId="77777777" w:rsidR="000F73EC" w:rsidRPr="003231B0" w:rsidRDefault="000F73EC" w:rsidP="00F2143E">
      <w:pPr>
        <w:pStyle w:val="ListParagraph"/>
        <w:numPr>
          <w:ilvl w:val="0"/>
          <w:numId w:val="9"/>
        </w:numPr>
        <w:spacing w:after="80" w:line="240" w:lineRule="auto"/>
        <w:ind w:left="284" w:hanging="284"/>
        <w:contextualSpacing w:val="0"/>
        <w:jc w:val="both"/>
        <w:rPr>
          <w:rFonts w:cstheme="minorHAnsi"/>
          <w:color w:val="000000" w:themeColor="text1"/>
          <w:sz w:val="24"/>
          <w:szCs w:val="24"/>
        </w:rPr>
      </w:pPr>
      <w:r w:rsidRPr="003231B0">
        <w:rPr>
          <w:rFonts w:cstheme="minorHAnsi"/>
          <w:b/>
          <w:bCs/>
          <w:color w:val="2F5496" w:themeColor="accent1" w:themeShade="BF"/>
          <w:sz w:val="24"/>
          <w:szCs w:val="24"/>
        </w:rPr>
        <w:t>Changing behaviours</w:t>
      </w:r>
      <w:r w:rsidRPr="003231B0">
        <w:rPr>
          <w:rFonts w:cstheme="minorHAnsi"/>
          <w:color w:val="2F5496" w:themeColor="accent1" w:themeShade="BF"/>
          <w:sz w:val="24"/>
          <w:szCs w:val="24"/>
        </w:rPr>
        <w:t xml:space="preserve"> </w:t>
      </w:r>
      <w:r w:rsidRPr="003231B0">
        <w:rPr>
          <w:rFonts w:cstheme="minorHAnsi"/>
          <w:color w:val="000000" w:themeColor="text1"/>
          <w:sz w:val="24"/>
          <w:szCs w:val="24"/>
        </w:rPr>
        <w:t xml:space="preserve">in Australian homes and businesses can deliver significant waste savings (circa </w:t>
      </w:r>
      <w:r w:rsidRPr="003231B0">
        <w:rPr>
          <w:rFonts w:cstheme="minorHAnsi"/>
          <w:b/>
          <w:bCs/>
          <w:color w:val="2F5496" w:themeColor="accent1" w:themeShade="BF"/>
          <w:sz w:val="24"/>
          <w:szCs w:val="24"/>
        </w:rPr>
        <w:t>25-40%</w:t>
      </w:r>
      <w:r w:rsidRPr="003231B0">
        <w:rPr>
          <w:rFonts w:cstheme="minorHAnsi"/>
          <w:color w:val="2F5496" w:themeColor="accent1" w:themeShade="BF"/>
          <w:sz w:val="24"/>
          <w:szCs w:val="24"/>
        </w:rPr>
        <w:t xml:space="preserve"> </w:t>
      </w:r>
      <w:r w:rsidRPr="003231B0">
        <w:rPr>
          <w:rFonts w:cstheme="minorHAnsi"/>
          <w:color w:val="000000" w:themeColor="text1"/>
          <w:sz w:val="24"/>
          <w:szCs w:val="24"/>
        </w:rPr>
        <w:t>from experience in other countries)</w:t>
      </w:r>
      <w:r>
        <w:rPr>
          <w:rFonts w:cstheme="minorHAnsi"/>
          <w:color w:val="000000" w:themeColor="text1"/>
          <w:sz w:val="24"/>
          <w:szCs w:val="24"/>
        </w:rPr>
        <w:t>.</w:t>
      </w:r>
    </w:p>
    <w:p w14:paraId="70CD8DD7" w14:textId="320D0B41" w:rsidR="000F73EC" w:rsidRPr="003231B0" w:rsidRDefault="000F73EC" w:rsidP="00F2143E">
      <w:pPr>
        <w:pStyle w:val="ListParagraph"/>
        <w:numPr>
          <w:ilvl w:val="0"/>
          <w:numId w:val="9"/>
        </w:numPr>
        <w:spacing w:after="80" w:line="240" w:lineRule="auto"/>
        <w:ind w:left="284" w:hanging="284"/>
        <w:contextualSpacing w:val="0"/>
        <w:jc w:val="both"/>
        <w:rPr>
          <w:rFonts w:cstheme="minorHAnsi"/>
          <w:color w:val="000000" w:themeColor="text1"/>
          <w:sz w:val="24"/>
          <w:szCs w:val="24"/>
        </w:rPr>
      </w:pPr>
      <w:r w:rsidRPr="003231B0">
        <w:rPr>
          <w:rFonts w:cstheme="minorHAnsi"/>
          <w:b/>
          <w:bCs/>
          <w:color w:val="2F5496" w:themeColor="accent1" w:themeShade="BF"/>
          <w:sz w:val="24"/>
          <w:szCs w:val="24"/>
        </w:rPr>
        <w:t>A</w:t>
      </w:r>
      <w:r w:rsidR="00EE2F5E">
        <w:rPr>
          <w:rFonts w:cstheme="minorHAnsi"/>
          <w:b/>
          <w:bCs/>
          <w:color w:val="2F5496" w:themeColor="accent1" w:themeShade="BF"/>
          <w:sz w:val="24"/>
          <w:szCs w:val="24"/>
        </w:rPr>
        <w:t>n</w:t>
      </w:r>
      <w:r w:rsidRPr="003231B0">
        <w:rPr>
          <w:rFonts w:cstheme="minorHAnsi"/>
          <w:b/>
          <w:bCs/>
          <w:color w:val="2F5496" w:themeColor="accent1" w:themeShade="BF"/>
          <w:sz w:val="24"/>
          <w:szCs w:val="24"/>
        </w:rPr>
        <w:t xml:space="preserve"> increase in the food rescue and relief sector</w:t>
      </w:r>
      <w:r w:rsidRPr="003231B0">
        <w:rPr>
          <w:rFonts w:cstheme="minorHAnsi"/>
          <w:color w:val="2F5496" w:themeColor="accent1" w:themeShade="BF"/>
          <w:sz w:val="24"/>
          <w:szCs w:val="24"/>
        </w:rPr>
        <w:t xml:space="preserve"> </w:t>
      </w:r>
      <w:r w:rsidRPr="003231B0">
        <w:rPr>
          <w:rFonts w:cstheme="minorHAnsi"/>
          <w:color w:val="000000" w:themeColor="text1"/>
          <w:sz w:val="24"/>
          <w:szCs w:val="24"/>
        </w:rPr>
        <w:t xml:space="preserve">could </w:t>
      </w:r>
      <w:r w:rsidR="00EE2F5E">
        <w:rPr>
          <w:rFonts w:cstheme="minorHAnsi"/>
          <w:color w:val="000000" w:themeColor="text1"/>
          <w:sz w:val="24"/>
          <w:szCs w:val="24"/>
        </w:rPr>
        <w:t xml:space="preserve">help to </w:t>
      </w:r>
      <w:r w:rsidRPr="003231B0">
        <w:rPr>
          <w:rFonts w:cstheme="minorHAnsi"/>
          <w:color w:val="000000" w:themeColor="text1"/>
          <w:sz w:val="24"/>
          <w:szCs w:val="24"/>
        </w:rPr>
        <w:t>deliver Australia’s 50% food waste reduction target by 2030, if critical barriers, like tax reform and infrastructure funding, can be unlocked</w:t>
      </w:r>
      <w:r>
        <w:rPr>
          <w:rFonts w:cstheme="minorHAnsi"/>
          <w:color w:val="000000" w:themeColor="text1"/>
          <w:sz w:val="24"/>
          <w:szCs w:val="24"/>
        </w:rPr>
        <w:t xml:space="preserve"> through the concerted and coordinated efforts of signatory organisations, including food rescue and relief organisations and donor companies</w:t>
      </w:r>
      <w:r w:rsidRPr="003231B0">
        <w:rPr>
          <w:rFonts w:cstheme="minorHAnsi"/>
          <w:color w:val="000000" w:themeColor="text1"/>
          <w:sz w:val="24"/>
          <w:szCs w:val="24"/>
        </w:rPr>
        <w:t>.</w:t>
      </w:r>
    </w:p>
    <w:p w14:paraId="5A1BCF92" w14:textId="77777777" w:rsidR="000F73EC" w:rsidRDefault="000F73EC" w:rsidP="00F2143E">
      <w:pPr>
        <w:pStyle w:val="ListParagraph"/>
        <w:numPr>
          <w:ilvl w:val="0"/>
          <w:numId w:val="9"/>
        </w:numPr>
        <w:spacing w:after="80" w:line="240" w:lineRule="auto"/>
        <w:ind w:left="284" w:hanging="284"/>
        <w:contextualSpacing w:val="0"/>
        <w:jc w:val="both"/>
        <w:rPr>
          <w:rFonts w:cstheme="minorHAnsi"/>
          <w:sz w:val="24"/>
          <w:szCs w:val="24"/>
        </w:rPr>
      </w:pPr>
      <w:r w:rsidRPr="003231B0">
        <w:rPr>
          <w:rFonts w:cstheme="minorHAnsi"/>
          <w:b/>
          <w:bCs/>
          <w:color w:val="2F5496" w:themeColor="accent1" w:themeShade="BF"/>
          <w:sz w:val="24"/>
          <w:szCs w:val="24"/>
        </w:rPr>
        <w:t>Valorisation of food waste streams</w:t>
      </w:r>
      <w:r w:rsidRPr="003231B0">
        <w:rPr>
          <w:rFonts w:cstheme="minorHAnsi"/>
          <w:color w:val="2F5496" w:themeColor="accent1" w:themeShade="BF"/>
          <w:sz w:val="24"/>
          <w:szCs w:val="24"/>
        </w:rPr>
        <w:t xml:space="preserve"> </w:t>
      </w:r>
      <w:r w:rsidRPr="003231B0">
        <w:rPr>
          <w:rFonts w:cstheme="minorHAnsi"/>
          <w:sz w:val="24"/>
          <w:szCs w:val="24"/>
        </w:rPr>
        <w:t>can lead to the creation of new co-products for the food industry and other sectors of the economy</w:t>
      </w:r>
      <w:r>
        <w:rPr>
          <w:rFonts w:cstheme="minorHAnsi"/>
          <w:sz w:val="24"/>
          <w:szCs w:val="24"/>
        </w:rPr>
        <w:t>, creating new business opportunities and jobs.</w:t>
      </w:r>
    </w:p>
    <w:p w14:paraId="22FC6170" w14:textId="77777777" w:rsidR="000F73EC" w:rsidRDefault="000F73EC" w:rsidP="00863CEF">
      <w:pPr>
        <w:jc w:val="both"/>
        <w:rPr>
          <w:rFonts w:cstheme="minorHAnsi"/>
          <w:sz w:val="24"/>
          <w:szCs w:val="24"/>
        </w:rPr>
      </w:pPr>
    </w:p>
    <w:p w14:paraId="14DE4212" w14:textId="77777777" w:rsidR="006200DD" w:rsidRDefault="00B11621" w:rsidP="006200DD">
      <w:pPr>
        <w:jc w:val="center"/>
        <w:rPr>
          <w:rFonts w:cstheme="minorHAnsi"/>
          <w:sz w:val="24"/>
          <w:szCs w:val="24"/>
        </w:rPr>
      </w:pPr>
      <w:r>
        <w:rPr>
          <w:rFonts w:cstheme="minorHAnsi"/>
          <w:noProof/>
          <w:sz w:val="24"/>
          <w:szCs w:val="24"/>
          <w:lang w:eastAsia="en-AU"/>
        </w:rPr>
        <w:drawing>
          <wp:inline distT="0" distB="0" distL="0" distR="0" wp14:anchorId="12F46DB4" wp14:editId="035F4E46">
            <wp:extent cx="4733925" cy="3689303"/>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43994" cy="3697150"/>
                    </a:xfrm>
                    <a:prstGeom prst="rect">
                      <a:avLst/>
                    </a:prstGeom>
                    <a:noFill/>
                  </pic:spPr>
                </pic:pic>
              </a:graphicData>
            </a:graphic>
          </wp:inline>
        </w:drawing>
      </w:r>
    </w:p>
    <w:p w14:paraId="2D995AFF" w14:textId="4C742A15" w:rsidR="006200DD" w:rsidRPr="002F2C31" w:rsidRDefault="00BB10EA" w:rsidP="002F2C31">
      <w:pPr>
        <w:keepNext/>
        <w:jc w:val="both"/>
      </w:pPr>
      <w:bookmarkStart w:id="20" w:name="_Ref37934659"/>
      <w:bookmarkStart w:id="21" w:name="_Toc37942999"/>
      <w:r w:rsidRPr="002F2C31">
        <w:rPr>
          <w:rFonts w:cstheme="minorHAnsi"/>
          <w:b/>
          <w:bCs/>
          <w:color w:val="2F5496" w:themeColor="accent1" w:themeShade="BF"/>
          <w:sz w:val="20"/>
          <w:szCs w:val="20"/>
        </w:rPr>
        <w:t xml:space="preserve">Figure </w:t>
      </w:r>
      <w:r w:rsidR="002F2C31" w:rsidRPr="002F2C31">
        <w:rPr>
          <w:b/>
          <w:bCs/>
          <w:color w:val="2F5496" w:themeColor="accent1" w:themeShade="BF"/>
          <w:sz w:val="20"/>
          <w:szCs w:val="20"/>
        </w:rPr>
        <w:fldChar w:fldCharType="begin"/>
      </w:r>
      <w:r w:rsidR="002F2C31" w:rsidRPr="002F2C31">
        <w:rPr>
          <w:b/>
          <w:bCs/>
          <w:color w:val="2F5496" w:themeColor="accent1" w:themeShade="BF"/>
          <w:sz w:val="20"/>
          <w:szCs w:val="20"/>
        </w:rPr>
        <w:instrText xml:space="preserve"> SEQ Figure \* ARABIC </w:instrText>
      </w:r>
      <w:r w:rsidR="002F2C31" w:rsidRPr="002F2C31">
        <w:rPr>
          <w:b/>
          <w:bCs/>
          <w:color w:val="2F5496" w:themeColor="accent1" w:themeShade="BF"/>
          <w:sz w:val="20"/>
          <w:szCs w:val="20"/>
        </w:rPr>
        <w:fldChar w:fldCharType="separate"/>
      </w:r>
      <w:r w:rsidR="00FE6444">
        <w:rPr>
          <w:b/>
          <w:bCs/>
          <w:noProof/>
          <w:color w:val="2F5496" w:themeColor="accent1" w:themeShade="BF"/>
          <w:sz w:val="20"/>
          <w:szCs w:val="20"/>
        </w:rPr>
        <w:t>5</w:t>
      </w:r>
      <w:r w:rsidR="002F2C31" w:rsidRPr="002F2C31">
        <w:rPr>
          <w:b/>
          <w:bCs/>
          <w:color w:val="2F5496" w:themeColor="accent1" w:themeShade="BF"/>
          <w:sz w:val="20"/>
          <w:szCs w:val="20"/>
        </w:rPr>
        <w:fldChar w:fldCharType="end"/>
      </w:r>
      <w:bookmarkEnd w:id="20"/>
      <w:r w:rsidRPr="00E72D43">
        <w:rPr>
          <w:rFonts w:cstheme="minorHAnsi"/>
          <w:b/>
          <w:bCs/>
          <w:color w:val="2F5496" w:themeColor="accent1" w:themeShade="BF"/>
          <w:sz w:val="20"/>
          <w:szCs w:val="20"/>
        </w:rPr>
        <w:t>:</w:t>
      </w:r>
      <w:r w:rsidRPr="00E72D43">
        <w:rPr>
          <w:rFonts w:cstheme="minorHAnsi"/>
          <w:color w:val="2F5496" w:themeColor="accent1" w:themeShade="BF"/>
          <w:sz w:val="20"/>
          <w:szCs w:val="20"/>
        </w:rPr>
        <w:t xml:space="preserve"> </w:t>
      </w:r>
      <w:r w:rsidRPr="00E72D43">
        <w:rPr>
          <w:rFonts w:cstheme="minorHAnsi"/>
          <w:sz w:val="20"/>
          <w:szCs w:val="20"/>
        </w:rPr>
        <w:t xml:space="preserve">summary of the four main components in the voluntary commitment program </w:t>
      </w:r>
      <w:r w:rsidR="00F93CC1" w:rsidRPr="00E72D43">
        <w:rPr>
          <w:rFonts w:cstheme="minorHAnsi"/>
          <w:sz w:val="20"/>
          <w:szCs w:val="20"/>
        </w:rPr>
        <w:t xml:space="preserve">that signatories are required to participate in </w:t>
      </w:r>
      <w:r w:rsidRPr="00E72D43">
        <w:rPr>
          <w:rFonts w:cstheme="minorHAnsi"/>
          <w:sz w:val="20"/>
          <w:szCs w:val="20"/>
        </w:rPr>
        <w:t>and their intended outcomes</w:t>
      </w:r>
      <w:r w:rsidR="00FC24AE" w:rsidRPr="00E72D43">
        <w:rPr>
          <w:rFonts w:cstheme="minorHAnsi"/>
          <w:sz w:val="20"/>
          <w:szCs w:val="20"/>
        </w:rPr>
        <w:t>.</w:t>
      </w:r>
      <w:r w:rsidR="00976086">
        <w:rPr>
          <w:rFonts w:cstheme="minorHAnsi"/>
          <w:sz w:val="20"/>
          <w:szCs w:val="20"/>
        </w:rPr>
        <w:t xml:space="preserve"> It provides the flexibility to allow signatories to focus on activities that generate the most impact in their own organisations and across the food value chain.</w:t>
      </w:r>
      <w:bookmarkEnd w:id="21"/>
    </w:p>
    <w:p w14:paraId="4E95DE6B" w14:textId="2D91B8E5" w:rsidR="00FC24AE" w:rsidRPr="00FC24AE" w:rsidRDefault="0095779B" w:rsidP="00FC24AE">
      <w:pPr>
        <w:spacing w:after="80" w:line="240" w:lineRule="auto"/>
        <w:jc w:val="both"/>
        <w:rPr>
          <w:rFonts w:cstheme="minorHAnsi"/>
          <w:color w:val="000000" w:themeColor="text1"/>
          <w:sz w:val="24"/>
          <w:szCs w:val="24"/>
        </w:rPr>
      </w:pPr>
      <w:r w:rsidRPr="0095779B">
        <w:rPr>
          <w:rFonts w:cstheme="minorHAnsi"/>
          <w:b/>
          <w:bCs/>
          <w:color w:val="2F5496" w:themeColor="accent1" w:themeShade="BF"/>
          <w:sz w:val="24"/>
          <w:szCs w:val="24"/>
        </w:rPr>
        <w:fldChar w:fldCharType="begin"/>
      </w:r>
      <w:r w:rsidRPr="0095779B">
        <w:rPr>
          <w:rFonts w:cstheme="minorHAnsi"/>
          <w:b/>
          <w:bCs/>
          <w:color w:val="2F5496" w:themeColor="accent1" w:themeShade="BF"/>
          <w:sz w:val="24"/>
          <w:szCs w:val="24"/>
        </w:rPr>
        <w:instrText xml:space="preserve"> REF _Ref37934840 \h  \* MERGEFORMAT </w:instrText>
      </w:r>
      <w:r w:rsidRPr="0095779B">
        <w:rPr>
          <w:rFonts w:cstheme="minorHAnsi"/>
          <w:b/>
          <w:bCs/>
          <w:color w:val="2F5496" w:themeColor="accent1" w:themeShade="BF"/>
          <w:sz w:val="24"/>
          <w:szCs w:val="24"/>
        </w:rPr>
      </w:r>
      <w:r w:rsidRPr="0095779B">
        <w:rPr>
          <w:rFonts w:cstheme="minorHAnsi"/>
          <w:b/>
          <w:bCs/>
          <w:color w:val="2F5496" w:themeColor="accent1" w:themeShade="BF"/>
          <w:sz w:val="24"/>
          <w:szCs w:val="24"/>
        </w:rPr>
        <w:fldChar w:fldCharType="separate"/>
      </w:r>
      <w:r w:rsidRPr="0095779B">
        <w:rPr>
          <w:b/>
          <w:bCs/>
          <w:color w:val="2F5496" w:themeColor="accent1" w:themeShade="BF"/>
          <w:sz w:val="24"/>
          <w:szCs w:val="24"/>
        </w:rPr>
        <w:t xml:space="preserve">Figure </w:t>
      </w:r>
      <w:r w:rsidRPr="0095779B">
        <w:rPr>
          <w:b/>
          <w:bCs/>
          <w:noProof/>
          <w:color w:val="2F5496" w:themeColor="accent1" w:themeShade="BF"/>
          <w:sz w:val="24"/>
          <w:szCs w:val="24"/>
        </w:rPr>
        <w:t>6</w:t>
      </w:r>
      <w:r w:rsidRPr="0095779B">
        <w:rPr>
          <w:rFonts w:cstheme="minorHAnsi"/>
          <w:b/>
          <w:bCs/>
          <w:color w:val="2F5496" w:themeColor="accent1" w:themeShade="BF"/>
          <w:sz w:val="24"/>
          <w:szCs w:val="24"/>
        </w:rPr>
        <w:fldChar w:fldCharType="end"/>
      </w:r>
      <w:r w:rsidR="00FC24AE" w:rsidRPr="0095779B">
        <w:rPr>
          <w:rFonts w:cstheme="minorHAnsi"/>
          <w:b/>
          <w:bCs/>
          <w:color w:val="2F5496" w:themeColor="accent1" w:themeShade="BF"/>
          <w:sz w:val="24"/>
          <w:szCs w:val="24"/>
        </w:rPr>
        <w:t>,</w:t>
      </w:r>
      <w:r w:rsidR="008D45D0" w:rsidRPr="0095779B">
        <w:rPr>
          <w:rFonts w:cstheme="minorHAnsi"/>
          <w:b/>
          <w:bCs/>
          <w:color w:val="2F5496" w:themeColor="accent1" w:themeShade="BF"/>
          <w:sz w:val="24"/>
          <w:szCs w:val="24"/>
        </w:rPr>
        <w:t xml:space="preserve"> </w:t>
      </w:r>
      <w:r w:rsidRPr="0095779B">
        <w:rPr>
          <w:rFonts w:cstheme="minorHAnsi"/>
          <w:b/>
          <w:bCs/>
          <w:color w:val="2F5496" w:themeColor="accent1" w:themeShade="BF"/>
          <w:sz w:val="24"/>
          <w:szCs w:val="24"/>
        </w:rPr>
        <w:fldChar w:fldCharType="begin"/>
      </w:r>
      <w:r w:rsidRPr="0095779B">
        <w:rPr>
          <w:rFonts w:cstheme="minorHAnsi"/>
          <w:b/>
          <w:bCs/>
          <w:color w:val="2F5496" w:themeColor="accent1" w:themeShade="BF"/>
          <w:sz w:val="24"/>
          <w:szCs w:val="24"/>
        </w:rPr>
        <w:instrText xml:space="preserve"> REF _Ref37934892 \h  \* MERGEFORMAT </w:instrText>
      </w:r>
      <w:r w:rsidRPr="0095779B">
        <w:rPr>
          <w:rFonts w:cstheme="minorHAnsi"/>
          <w:b/>
          <w:bCs/>
          <w:color w:val="2F5496" w:themeColor="accent1" w:themeShade="BF"/>
          <w:sz w:val="24"/>
          <w:szCs w:val="24"/>
        </w:rPr>
      </w:r>
      <w:r w:rsidRPr="0095779B">
        <w:rPr>
          <w:rFonts w:cstheme="minorHAnsi"/>
          <w:b/>
          <w:bCs/>
          <w:color w:val="2F5496" w:themeColor="accent1" w:themeShade="BF"/>
          <w:sz w:val="24"/>
          <w:szCs w:val="24"/>
        </w:rPr>
        <w:fldChar w:fldCharType="separate"/>
      </w:r>
      <w:r w:rsidRPr="0095779B">
        <w:rPr>
          <w:b/>
          <w:bCs/>
          <w:color w:val="2F5496" w:themeColor="accent1" w:themeShade="BF"/>
          <w:sz w:val="24"/>
          <w:szCs w:val="24"/>
        </w:rPr>
        <w:t xml:space="preserve">Figure </w:t>
      </w:r>
      <w:r w:rsidRPr="0095779B">
        <w:rPr>
          <w:b/>
          <w:bCs/>
          <w:noProof/>
          <w:color w:val="2F5496" w:themeColor="accent1" w:themeShade="BF"/>
          <w:sz w:val="24"/>
          <w:szCs w:val="24"/>
        </w:rPr>
        <w:t>7</w:t>
      </w:r>
      <w:r w:rsidRPr="0095779B">
        <w:rPr>
          <w:rFonts w:cstheme="minorHAnsi"/>
          <w:b/>
          <w:bCs/>
          <w:color w:val="2F5496" w:themeColor="accent1" w:themeShade="BF"/>
          <w:sz w:val="24"/>
          <w:szCs w:val="24"/>
        </w:rPr>
        <w:fldChar w:fldCharType="end"/>
      </w:r>
      <w:r w:rsidR="00FC24AE" w:rsidRPr="0095779B">
        <w:rPr>
          <w:rFonts w:cstheme="minorHAnsi"/>
          <w:b/>
          <w:bCs/>
          <w:color w:val="2F5496" w:themeColor="accent1" w:themeShade="BF"/>
          <w:sz w:val="24"/>
          <w:szCs w:val="24"/>
        </w:rPr>
        <w:t xml:space="preserve">, </w:t>
      </w:r>
      <w:r w:rsidRPr="0095779B">
        <w:rPr>
          <w:rFonts w:cstheme="minorHAnsi"/>
          <w:b/>
          <w:bCs/>
          <w:color w:val="2F5496" w:themeColor="accent1" w:themeShade="BF"/>
          <w:sz w:val="24"/>
          <w:szCs w:val="24"/>
        </w:rPr>
        <w:fldChar w:fldCharType="begin"/>
      </w:r>
      <w:r w:rsidRPr="0095779B">
        <w:rPr>
          <w:rFonts w:cstheme="minorHAnsi"/>
          <w:b/>
          <w:bCs/>
          <w:color w:val="2F5496" w:themeColor="accent1" w:themeShade="BF"/>
          <w:sz w:val="24"/>
          <w:szCs w:val="24"/>
        </w:rPr>
        <w:instrText xml:space="preserve"> REF _Ref37934910 \h  \* MERGEFORMAT </w:instrText>
      </w:r>
      <w:r w:rsidRPr="0095779B">
        <w:rPr>
          <w:rFonts w:cstheme="minorHAnsi"/>
          <w:b/>
          <w:bCs/>
          <w:color w:val="2F5496" w:themeColor="accent1" w:themeShade="BF"/>
          <w:sz w:val="24"/>
          <w:szCs w:val="24"/>
        </w:rPr>
      </w:r>
      <w:r w:rsidRPr="0095779B">
        <w:rPr>
          <w:rFonts w:cstheme="minorHAnsi"/>
          <w:b/>
          <w:bCs/>
          <w:color w:val="2F5496" w:themeColor="accent1" w:themeShade="BF"/>
          <w:sz w:val="24"/>
          <w:szCs w:val="24"/>
        </w:rPr>
        <w:fldChar w:fldCharType="separate"/>
      </w:r>
      <w:r w:rsidRPr="0095779B">
        <w:rPr>
          <w:b/>
          <w:bCs/>
          <w:color w:val="2F5496" w:themeColor="accent1" w:themeShade="BF"/>
          <w:sz w:val="24"/>
          <w:szCs w:val="24"/>
        </w:rPr>
        <w:t xml:space="preserve">Figure </w:t>
      </w:r>
      <w:r w:rsidRPr="0095779B">
        <w:rPr>
          <w:b/>
          <w:bCs/>
          <w:noProof/>
          <w:color w:val="2F5496" w:themeColor="accent1" w:themeShade="BF"/>
          <w:sz w:val="24"/>
          <w:szCs w:val="24"/>
        </w:rPr>
        <w:t>8</w:t>
      </w:r>
      <w:r w:rsidRPr="0095779B">
        <w:rPr>
          <w:rFonts w:cstheme="minorHAnsi"/>
          <w:b/>
          <w:bCs/>
          <w:color w:val="2F5496" w:themeColor="accent1" w:themeShade="BF"/>
          <w:sz w:val="24"/>
          <w:szCs w:val="24"/>
        </w:rPr>
        <w:fldChar w:fldCharType="end"/>
      </w:r>
      <w:r w:rsidR="00FC24AE" w:rsidRPr="0095779B">
        <w:rPr>
          <w:rFonts w:cstheme="minorHAnsi"/>
          <w:b/>
          <w:bCs/>
          <w:color w:val="2F5496" w:themeColor="accent1" w:themeShade="BF"/>
          <w:sz w:val="24"/>
          <w:szCs w:val="24"/>
        </w:rPr>
        <w:t xml:space="preserve"> and </w:t>
      </w:r>
      <w:r w:rsidRPr="0095779B">
        <w:rPr>
          <w:rFonts w:cstheme="minorHAnsi"/>
          <w:b/>
          <w:bCs/>
          <w:color w:val="2F5496" w:themeColor="accent1" w:themeShade="BF"/>
          <w:sz w:val="24"/>
          <w:szCs w:val="24"/>
        </w:rPr>
        <w:fldChar w:fldCharType="begin"/>
      </w:r>
      <w:r w:rsidRPr="0095779B">
        <w:rPr>
          <w:rFonts w:cstheme="minorHAnsi"/>
          <w:b/>
          <w:bCs/>
          <w:color w:val="2F5496" w:themeColor="accent1" w:themeShade="BF"/>
          <w:sz w:val="24"/>
          <w:szCs w:val="24"/>
        </w:rPr>
        <w:instrText xml:space="preserve"> REF _Ref37934921 \h  \* MERGEFORMAT </w:instrText>
      </w:r>
      <w:r w:rsidRPr="0095779B">
        <w:rPr>
          <w:rFonts w:cstheme="minorHAnsi"/>
          <w:b/>
          <w:bCs/>
          <w:color w:val="2F5496" w:themeColor="accent1" w:themeShade="BF"/>
          <w:sz w:val="24"/>
          <w:szCs w:val="24"/>
        </w:rPr>
      </w:r>
      <w:r w:rsidRPr="0095779B">
        <w:rPr>
          <w:rFonts w:cstheme="minorHAnsi"/>
          <w:b/>
          <w:bCs/>
          <w:color w:val="2F5496" w:themeColor="accent1" w:themeShade="BF"/>
          <w:sz w:val="24"/>
          <w:szCs w:val="24"/>
        </w:rPr>
        <w:fldChar w:fldCharType="separate"/>
      </w:r>
      <w:r w:rsidRPr="0095779B">
        <w:rPr>
          <w:b/>
          <w:bCs/>
          <w:color w:val="2F5496" w:themeColor="accent1" w:themeShade="BF"/>
          <w:sz w:val="24"/>
          <w:szCs w:val="24"/>
        </w:rPr>
        <w:t xml:space="preserve">Figure </w:t>
      </w:r>
      <w:r w:rsidRPr="0095779B">
        <w:rPr>
          <w:b/>
          <w:bCs/>
          <w:noProof/>
          <w:color w:val="2F5496" w:themeColor="accent1" w:themeShade="BF"/>
          <w:sz w:val="24"/>
          <w:szCs w:val="24"/>
        </w:rPr>
        <w:t>9</w:t>
      </w:r>
      <w:r w:rsidRPr="0095779B">
        <w:rPr>
          <w:rFonts w:cstheme="minorHAnsi"/>
          <w:b/>
          <w:bCs/>
          <w:color w:val="2F5496" w:themeColor="accent1" w:themeShade="BF"/>
          <w:sz w:val="24"/>
          <w:szCs w:val="24"/>
        </w:rPr>
        <w:fldChar w:fldCharType="end"/>
      </w:r>
      <w:r w:rsidR="00FC24AE" w:rsidRPr="0095779B">
        <w:rPr>
          <w:rFonts w:cstheme="minorHAnsi"/>
          <w:color w:val="2F5496" w:themeColor="accent1" w:themeShade="BF"/>
          <w:sz w:val="24"/>
          <w:szCs w:val="24"/>
        </w:rPr>
        <w:t xml:space="preserve"> </w:t>
      </w:r>
      <w:r w:rsidR="00FC24AE" w:rsidRPr="006F0D11">
        <w:rPr>
          <w:rFonts w:cstheme="minorHAnsi"/>
          <w:sz w:val="24"/>
          <w:szCs w:val="24"/>
        </w:rPr>
        <w:t xml:space="preserve">below </w:t>
      </w:r>
      <w:r w:rsidR="00FC24AE">
        <w:rPr>
          <w:rFonts w:cstheme="minorHAnsi"/>
          <w:color w:val="000000" w:themeColor="text1"/>
          <w:sz w:val="24"/>
          <w:szCs w:val="24"/>
        </w:rPr>
        <w:t>provide examples of some of the indicative activities for each of the four programs of work under the voluntary commitment program.</w:t>
      </w:r>
    </w:p>
    <w:p w14:paraId="173D6E6E" w14:textId="145386F8" w:rsidR="00FC24AE" w:rsidRDefault="00FC24AE" w:rsidP="000F73EC">
      <w:pPr>
        <w:pStyle w:val="ListParagraph"/>
        <w:spacing w:after="80" w:line="240" w:lineRule="auto"/>
        <w:ind w:left="284"/>
        <w:contextualSpacing w:val="0"/>
        <w:jc w:val="both"/>
        <w:rPr>
          <w:rFonts w:cstheme="minorHAnsi"/>
          <w:sz w:val="24"/>
          <w:szCs w:val="24"/>
        </w:rPr>
        <w:sectPr w:rsidR="00FC24AE">
          <w:headerReference w:type="default" r:id="rId30"/>
          <w:pgSz w:w="11906" w:h="16838"/>
          <w:pgMar w:top="1440" w:right="1440" w:bottom="1440" w:left="1440" w:header="708" w:footer="708" w:gutter="0"/>
          <w:cols w:space="708"/>
          <w:docGrid w:linePitch="360"/>
        </w:sectPr>
      </w:pPr>
    </w:p>
    <w:p w14:paraId="144A4FEC" w14:textId="1D603C9B" w:rsidR="00FC24AE" w:rsidRPr="0095779B" w:rsidRDefault="00FC24AE" w:rsidP="0095779B">
      <w:pPr>
        <w:keepNext/>
        <w:jc w:val="both"/>
      </w:pPr>
      <w:bookmarkStart w:id="22" w:name="_Ref37934840"/>
      <w:bookmarkStart w:id="23" w:name="_Toc37943000"/>
      <w:r w:rsidRPr="00052947">
        <w:rPr>
          <w:b/>
          <w:bCs/>
          <w:color w:val="2F5496" w:themeColor="accent1" w:themeShade="BF"/>
          <w:sz w:val="20"/>
          <w:szCs w:val="20"/>
        </w:rPr>
        <w:lastRenderedPageBreak/>
        <w:t xml:space="preserve">Figure </w:t>
      </w:r>
      <w:r w:rsidR="0095779B" w:rsidRPr="0095779B">
        <w:rPr>
          <w:b/>
          <w:bCs/>
          <w:sz w:val="20"/>
          <w:szCs w:val="20"/>
        </w:rPr>
        <w:fldChar w:fldCharType="begin"/>
      </w:r>
      <w:r w:rsidR="0095779B" w:rsidRPr="0095779B">
        <w:rPr>
          <w:b/>
          <w:bCs/>
          <w:sz w:val="20"/>
          <w:szCs w:val="20"/>
        </w:rPr>
        <w:instrText xml:space="preserve"> SEQ Figure \* ARABIC </w:instrText>
      </w:r>
      <w:r w:rsidR="0095779B" w:rsidRPr="0095779B">
        <w:rPr>
          <w:b/>
          <w:bCs/>
          <w:sz w:val="20"/>
          <w:szCs w:val="20"/>
        </w:rPr>
        <w:fldChar w:fldCharType="separate"/>
      </w:r>
      <w:r w:rsidR="00FE6444">
        <w:rPr>
          <w:b/>
          <w:bCs/>
          <w:noProof/>
          <w:sz w:val="20"/>
          <w:szCs w:val="20"/>
        </w:rPr>
        <w:t>6</w:t>
      </w:r>
      <w:r w:rsidR="0095779B" w:rsidRPr="0095779B">
        <w:rPr>
          <w:b/>
          <w:bCs/>
          <w:sz w:val="20"/>
          <w:szCs w:val="20"/>
        </w:rPr>
        <w:fldChar w:fldCharType="end"/>
      </w:r>
      <w:bookmarkEnd w:id="22"/>
      <w:r w:rsidRPr="00052947">
        <w:rPr>
          <w:b/>
          <w:bCs/>
          <w:color w:val="2F5496" w:themeColor="accent1" w:themeShade="BF"/>
          <w:sz w:val="20"/>
          <w:szCs w:val="20"/>
        </w:rPr>
        <w:t>:</w:t>
      </w:r>
      <w:r w:rsidRPr="00193811">
        <w:rPr>
          <w:b/>
          <w:bCs/>
          <w:color w:val="2F5496" w:themeColor="accent1" w:themeShade="BF"/>
          <w:sz w:val="28"/>
          <w:szCs w:val="28"/>
        </w:rPr>
        <w:t xml:space="preserve"> </w:t>
      </w:r>
      <w:r w:rsidRPr="00052947">
        <w:rPr>
          <w:sz w:val="20"/>
          <w:szCs w:val="20"/>
        </w:rPr>
        <w:t>indicative activities for program area on embedding new criteria into design buying and sourcing</w:t>
      </w:r>
      <w:r>
        <w:rPr>
          <w:sz w:val="20"/>
          <w:szCs w:val="20"/>
        </w:rPr>
        <w:t xml:space="preserve"> in the voluntary commitment program</w:t>
      </w:r>
      <w:bookmarkEnd w:id="23"/>
    </w:p>
    <w:p w14:paraId="01E8BFCB" w14:textId="4080795F" w:rsidR="00FC24AE" w:rsidRPr="00F91D90" w:rsidRDefault="00780EB4" w:rsidP="00F91D90">
      <w:pPr>
        <w:jc w:val="center"/>
        <w:rPr>
          <w:color w:val="2F5496" w:themeColor="accent1" w:themeShade="BF"/>
          <w:sz w:val="20"/>
          <w:szCs w:val="20"/>
        </w:rPr>
      </w:pPr>
      <w:r>
        <w:rPr>
          <w:noProof/>
          <w:color w:val="2F5496" w:themeColor="accent1" w:themeShade="BF"/>
          <w:sz w:val="20"/>
          <w:szCs w:val="20"/>
        </w:rPr>
        <w:drawing>
          <wp:inline distT="0" distB="0" distL="0" distR="0" wp14:anchorId="6E735A72" wp14:editId="62C67ABF">
            <wp:extent cx="8252439" cy="49720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265844" cy="4980126"/>
                    </a:xfrm>
                    <a:prstGeom prst="rect">
                      <a:avLst/>
                    </a:prstGeom>
                    <a:noFill/>
                  </pic:spPr>
                </pic:pic>
              </a:graphicData>
            </a:graphic>
          </wp:inline>
        </w:drawing>
      </w:r>
    </w:p>
    <w:p w14:paraId="368211BA" w14:textId="749941C7" w:rsidR="00FC24AE" w:rsidRPr="0095779B" w:rsidRDefault="00FC24AE" w:rsidP="0095779B">
      <w:pPr>
        <w:keepNext/>
        <w:jc w:val="both"/>
      </w:pPr>
      <w:bookmarkStart w:id="24" w:name="_Ref37934892"/>
      <w:bookmarkStart w:id="25" w:name="_Toc37943001"/>
      <w:r w:rsidRPr="00052947">
        <w:rPr>
          <w:b/>
          <w:bCs/>
          <w:color w:val="2F5496" w:themeColor="accent1" w:themeShade="BF"/>
          <w:sz w:val="20"/>
          <w:szCs w:val="20"/>
        </w:rPr>
        <w:lastRenderedPageBreak/>
        <w:t xml:space="preserve">Figure </w:t>
      </w:r>
      <w:r w:rsidR="0095779B" w:rsidRPr="0095779B">
        <w:rPr>
          <w:b/>
          <w:bCs/>
          <w:color w:val="2F5496" w:themeColor="accent1" w:themeShade="BF"/>
          <w:sz w:val="20"/>
          <w:szCs w:val="20"/>
        </w:rPr>
        <w:fldChar w:fldCharType="begin"/>
      </w:r>
      <w:r w:rsidR="0095779B" w:rsidRPr="0095779B">
        <w:rPr>
          <w:b/>
          <w:bCs/>
          <w:color w:val="2F5496" w:themeColor="accent1" w:themeShade="BF"/>
          <w:sz w:val="20"/>
          <w:szCs w:val="20"/>
        </w:rPr>
        <w:instrText xml:space="preserve"> SEQ Figure \* ARABIC </w:instrText>
      </w:r>
      <w:r w:rsidR="0095779B" w:rsidRPr="0095779B">
        <w:rPr>
          <w:b/>
          <w:bCs/>
          <w:color w:val="2F5496" w:themeColor="accent1" w:themeShade="BF"/>
          <w:sz w:val="20"/>
          <w:szCs w:val="20"/>
        </w:rPr>
        <w:fldChar w:fldCharType="separate"/>
      </w:r>
      <w:r w:rsidR="00FE6444">
        <w:rPr>
          <w:b/>
          <w:bCs/>
          <w:noProof/>
          <w:color w:val="2F5496" w:themeColor="accent1" w:themeShade="BF"/>
          <w:sz w:val="20"/>
          <w:szCs w:val="20"/>
        </w:rPr>
        <w:t>7</w:t>
      </w:r>
      <w:r w:rsidR="0095779B" w:rsidRPr="0095779B">
        <w:rPr>
          <w:b/>
          <w:bCs/>
          <w:color w:val="2F5496" w:themeColor="accent1" w:themeShade="BF"/>
          <w:sz w:val="20"/>
          <w:szCs w:val="20"/>
        </w:rPr>
        <w:fldChar w:fldCharType="end"/>
      </w:r>
      <w:bookmarkEnd w:id="24"/>
      <w:r w:rsidRPr="00052947">
        <w:rPr>
          <w:b/>
          <w:bCs/>
          <w:color w:val="2F5496" w:themeColor="accent1" w:themeShade="BF"/>
          <w:sz w:val="20"/>
          <w:szCs w:val="20"/>
        </w:rPr>
        <w:t>:</w:t>
      </w:r>
      <w:r w:rsidRPr="00193811">
        <w:rPr>
          <w:b/>
          <w:bCs/>
          <w:color w:val="2F5496" w:themeColor="accent1" w:themeShade="BF"/>
          <w:sz w:val="28"/>
          <w:szCs w:val="28"/>
        </w:rPr>
        <w:t xml:space="preserve"> </w:t>
      </w:r>
      <w:r w:rsidRPr="00052947">
        <w:rPr>
          <w:sz w:val="20"/>
          <w:szCs w:val="20"/>
        </w:rPr>
        <w:t xml:space="preserve">indicative activities for program area on </w:t>
      </w:r>
      <w:r>
        <w:rPr>
          <w:sz w:val="20"/>
          <w:szCs w:val="20"/>
        </w:rPr>
        <w:t>optimising the whole of supply chain to produce more with less in the voluntary commitment program</w:t>
      </w:r>
      <w:bookmarkEnd w:id="25"/>
    </w:p>
    <w:p w14:paraId="36EEDBB2" w14:textId="77777777" w:rsidR="00FC24AE" w:rsidRPr="006339B6" w:rsidRDefault="00FC24AE" w:rsidP="00FC24AE">
      <w:pPr>
        <w:jc w:val="center"/>
        <w:rPr>
          <w:color w:val="2F5496" w:themeColor="accent1" w:themeShade="BF"/>
          <w:sz w:val="24"/>
          <w:szCs w:val="24"/>
        </w:rPr>
      </w:pPr>
      <w:r>
        <w:rPr>
          <w:noProof/>
          <w:color w:val="2F5496" w:themeColor="accent1" w:themeShade="BF"/>
          <w:sz w:val="24"/>
          <w:szCs w:val="24"/>
          <w:lang w:eastAsia="en-AU"/>
        </w:rPr>
        <w:drawing>
          <wp:inline distT="0" distB="0" distL="0" distR="0" wp14:anchorId="6D093F8B" wp14:editId="16D7AD23">
            <wp:extent cx="9279844" cy="4647501"/>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295594" cy="4655389"/>
                    </a:xfrm>
                    <a:prstGeom prst="rect">
                      <a:avLst/>
                    </a:prstGeom>
                    <a:noFill/>
                  </pic:spPr>
                </pic:pic>
              </a:graphicData>
            </a:graphic>
          </wp:inline>
        </w:drawing>
      </w:r>
    </w:p>
    <w:p w14:paraId="046F0E50" w14:textId="77777777" w:rsidR="00FC24AE" w:rsidRDefault="00FC24AE" w:rsidP="00FC24AE"/>
    <w:p w14:paraId="3384D3F4" w14:textId="77777777" w:rsidR="00FC24AE" w:rsidRDefault="00FC24AE" w:rsidP="00FC24AE">
      <w:pPr>
        <w:jc w:val="both"/>
        <w:rPr>
          <w:b/>
          <w:bCs/>
          <w:color w:val="2F5496" w:themeColor="accent1" w:themeShade="BF"/>
          <w:sz w:val="20"/>
          <w:szCs w:val="20"/>
        </w:rPr>
      </w:pPr>
    </w:p>
    <w:p w14:paraId="09C3F6A9" w14:textId="7E3DCD98" w:rsidR="00FC24AE" w:rsidRPr="0095779B" w:rsidRDefault="00FC24AE" w:rsidP="0095779B">
      <w:pPr>
        <w:keepNext/>
        <w:jc w:val="both"/>
      </w:pPr>
      <w:bookmarkStart w:id="26" w:name="_Ref37934910"/>
      <w:bookmarkStart w:id="27" w:name="_Toc37943002"/>
      <w:r w:rsidRPr="00052947">
        <w:rPr>
          <w:b/>
          <w:bCs/>
          <w:color w:val="2F5496" w:themeColor="accent1" w:themeShade="BF"/>
          <w:sz w:val="20"/>
          <w:szCs w:val="20"/>
        </w:rPr>
        <w:lastRenderedPageBreak/>
        <w:t xml:space="preserve">Figure </w:t>
      </w:r>
      <w:r w:rsidR="0095779B" w:rsidRPr="0095779B">
        <w:rPr>
          <w:b/>
          <w:bCs/>
          <w:color w:val="2F5496" w:themeColor="accent1" w:themeShade="BF"/>
          <w:sz w:val="20"/>
          <w:szCs w:val="20"/>
        </w:rPr>
        <w:fldChar w:fldCharType="begin"/>
      </w:r>
      <w:r w:rsidR="0095779B" w:rsidRPr="0095779B">
        <w:rPr>
          <w:b/>
          <w:bCs/>
          <w:color w:val="2F5496" w:themeColor="accent1" w:themeShade="BF"/>
          <w:sz w:val="20"/>
          <w:szCs w:val="20"/>
        </w:rPr>
        <w:instrText xml:space="preserve"> SEQ Figure \* ARABIC </w:instrText>
      </w:r>
      <w:r w:rsidR="0095779B" w:rsidRPr="0095779B">
        <w:rPr>
          <w:b/>
          <w:bCs/>
          <w:color w:val="2F5496" w:themeColor="accent1" w:themeShade="BF"/>
          <w:sz w:val="20"/>
          <w:szCs w:val="20"/>
        </w:rPr>
        <w:fldChar w:fldCharType="separate"/>
      </w:r>
      <w:r w:rsidR="00FE6444">
        <w:rPr>
          <w:b/>
          <w:bCs/>
          <w:noProof/>
          <w:color w:val="2F5496" w:themeColor="accent1" w:themeShade="BF"/>
          <w:sz w:val="20"/>
          <w:szCs w:val="20"/>
        </w:rPr>
        <w:t>8</w:t>
      </w:r>
      <w:r w:rsidR="0095779B" w:rsidRPr="0095779B">
        <w:rPr>
          <w:b/>
          <w:bCs/>
          <w:color w:val="2F5496" w:themeColor="accent1" w:themeShade="BF"/>
          <w:sz w:val="20"/>
          <w:szCs w:val="20"/>
        </w:rPr>
        <w:fldChar w:fldCharType="end"/>
      </w:r>
      <w:bookmarkEnd w:id="26"/>
      <w:r w:rsidRPr="00052947">
        <w:rPr>
          <w:b/>
          <w:bCs/>
          <w:color w:val="2F5496" w:themeColor="accent1" w:themeShade="BF"/>
          <w:sz w:val="20"/>
          <w:szCs w:val="20"/>
        </w:rPr>
        <w:t>:</w:t>
      </w:r>
      <w:r w:rsidRPr="00193811">
        <w:rPr>
          <w:b/>
          <w:bCs/>
          <w:color w:val="2F5496" w:themeColor="accent1" w:themeShade="BF"/>
          <w:sz w:val="28"/>
          <w:szCs w:val="28"/>
        </w:rPr>
        <w:t xml:space="preserve"> </w:t>
      </w:r>
      <w:r w:rsidRPr="00052947">
        <w:rPr>
          <w:sz w:val="20"/>
          <w:szCs w:val="20"/>
        </w:rPr>
        <w:t xml:space="preserve">indicative activities for program area on </w:t>
      </w:r>
      <w:r>
        <w:rPr>
          <w:sz w:val="20"/>
          <w:szCs w:val="20"/>
        </w:rPr>
        <w:t>influencing consumer and business behaviour to reduce food waste in the voluntary commitment program</w:t>
      </w:r>
      <w:bookmarkEnd w:id="27"/>
    </w:p>
    <w:p w14:paraId="3DDA5BA8" w14:textId="163A231E" w:rsidR="00FC24AE" w:rsidRDefault="004111DC" w:rsidP="00FC24AE">
      <w:r>
        <w:rPr>
          <w:noProof/>
        </w:rPr>
        <w:drawing>
          <wp:inline distT="0" distB="0" distL="0" distR="0" wp14:anchorId="0DC09CAC" wp14:editId="7FA12D61">
            <wp:extent cx="9326986" cy="460057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334936" cy="4604496"/>
                    </a:xfrm>
                    <a:prstGeom prst="rect">
                      <a:avLst/>
                    </a:prstGeom>
                    <a:noFill/>
                  </pic:spPr>
                </pic:pic>
              </a:graphicData>
            </a:graphic>
          </wp:inline>
        </w:drawing>
      </w:r>
    </w:p>
    <w:p w14:paraId="7CFB0096" w14:textId="77777777" w:rsidR="00FC24AE" w:rsidRDefault="00FC24AE" w:rsidP="00FC24AE"/>
    <w:p w14:paraId="4452826A" w14:textId="77777777" w:rsidR="00FC24AE" w:rsidRDefault="00FC24AE" w:rsidP="00FC24AE"/>
    <w:p w14:paraId="4254A71D" w14:textId="3453ED8E" w:rsidR="00FC24AE" w:rsidRPr="0095779B" w:rsidRDefault="00FC24AE" w:rsidP="0095779B">
      <w:pPr>
        <w:keepNext/>
        <w:jc w:val="both"/>
      </w:pPr>
      <w:bookmarkStart w:id="28" w:name="_Ref37934921"/>
      <w:bookmarkStart w:id="29" w:name="_Toc37943003"/>
      <w:r w:rsidRPr="00052947">
        <w:rPr>
          <w:b/>
          <w:bCs/>
          <w:color w:val="2F5496" w:themeColor="accent1" w:themeShade="BF"/>
          <w:sz w:val="20"/>
          <w:szCs w:val="20"/>
        </w:rPr>
        <w:lastRenderedPageBreak/>
        <w:t xml:space="preserve">Figure </w:t>
      </w:r>
      <w:r w:rsidR="0095779B" w:rsidRPr="0095779B">
        <w:rPr>
          <w:b/>
          <w:bCs/>
          <w:color w:val="2F5496" w:themeColor="accent1" w:themeShade="BF"/>
          <w:sz w:val="20"/>
          <w:szCs w:val="20"/>
        </w:rPr>
        <w:fldChar w:fldCharType="begin"/>
      </w:r>
      <w:r w:rsidR="0095779B" w:rsidRPr="0095779B">
        <w:rPr>
          <w:b/>
          <w:bCs/>
          <w:color w:val="2F5496" w:themeColor="accent1" w:themeShade="BF"/>
          <w:sz w:val="20"/>
          <w:szCs w:val="20"/>
        </w:rPr>
        <w:instrText xml:space="preserve"> SEQ Figure \* ARABIC </w:instrText>
      </w:r>
      <w:r w:rsidR="0095779B" w:rsidRPr="0095779B">
        <w:rPr>
          <w:b/>
          <w:bCs/>
          <w:color w:val="2F5496" w:themeColor="accent1" w:themeShade="BF"/>
          <w:sz w:val="20"/>
          <w:szCs w:val="20"/>
        </w:rPr>
        <w:fldChar w:fldCharType="separate"/>
      </w:r>
      <w:r w:rsidR="00FE6444">
        <w:rPr>
          <w:b/>
          <w:bCs/>
          <w:noProof/>
          <w:color w:val="2F5496" w:themeColor="accent1" w:themeShade="BF"/>
          <w:sz w:val="20"/>
          <w:szCs w:val="20"/>
        </w:rPr>
        <w:t>9</w:t>
      </w:r>
      <w:r w:rsidR="0095779B" w:rsidRPr="0095779B">
        <w:rPr>
          <w:b/>
          <w:bCs/>
          <w:color w:val="2F5496" w:themeColor="accent1" w:themeShade="BF"/>
          <w:sz w:val="20"/>
          <w:szCs w:val="20"/>
        </w:rPr>
        <w:fldChar w:fldCharType="end"/>
      </w:r>
      <w:bookmarkEnd w:id="28"/>
      <w:r w:rsidRPr="00052947">
        <w:rPr>
          <w:b/>
          <w:bCs/>
          <w:color w:val="2F5496" w:themeColor="accent1" w:themeShade="BF"/>
          <w:sz w:val="20"/>
          <w:szCs w:val="20"/>
        </w:rPr>
        <w:t>:</w:t>
      </w:r>
      <w:r w:rsidRPr="00193811">
        <w:rPr>
          <w:b/>
          <w:bCs/>
          <w:color w:val="2F5496" w:themeColor="accent1" w:themeShade="BF"/>
          <w:sz w:val="28"/>
          <w:szCs w:val="28"/>
        </w:rPr>
        <w:t xml:space="preserve"> </w:t>
      </w:r>
      <w:r w:rsidRPr="00052947">
        <w:rPr>
          <w:sz w:val="20"/>
          <w:szCs w:val="20"/>
        </w:rPr>
        <w:t xml:space="preserve">indicative activities for program area on </w:t>
      </w:r>
      <w:r>
        <w:rPr>
          <w:sz w:val="20"/>
          <w:szCs w:val="20"/>
        </w:rPr>
        <w:t>finding innovative ways to make the best use of waste and surplus food in the voluntary commitment program</w:t>
      </w:r>
      <w:bookmarkEnd w:id="29"/>
    </w:p>
    <w:p w14:paraId="449BC9BE" w14:textId="1F935096" w:rsidR="00FC24AE" w:rsidRPr="00A345E5" w:rsidRDefault="00027B27" w:rsidP="00027B27">
      <w:pPr>
        <w:rPr>
          <w:color w:val="2F5496" w:themeColor="accent1" w:themeShade="BF"/>
          <w:sz w:val="24"/>
          <w:szCs w:val="24"/>
        </w:rPr>
      </w:pPr>
      <w:r>
        <w:rPr>
          <w:noProof/>
          <w:color w:val="2F5496" w:themeColor="accent1" w:themeShade="BF"/>
          <w:sz w:val="24"/>
          <w:szCs w:val="24"/>
        </w:rPr>
        <w:drawing>
          <wp:inline distT="0" distB="0" distL="0" distR="0" wp14:anchorId="598D039C" wp14:editId="6F50623E">
            <wp:extent cx="9284894" cy="4495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308146" cy="4507059"/>
                    </a:xfrm>
                    <a:prstGeom prst="rect">
                      <a:avLst/>
                    </a:prstGeom>
                    <a:noFill/>
                  </pic:spPr>
                </pic:pic>
              </a:graphicData>
            </a:graphic>
          </wp:inline>
        </w:drawing>
      </w:r>
    </w:p>
    <w:p w14:paraId="4455B9BB" w14:textId="77777777" w:rsidR="00FC24AE" w:rsidRDefault="00FC24AE" w:rsidP="00FC24AE"/>
    <w:p w14:paraId="1421CE61" w14:textId="77777777" w:rsidR="00541F39" w:rsidRPr="008A78EE" w:rsidRDefault="00541F39" w:rsidP="008A78EE">
      <w:pPr>
        <w:spacing w:after="120"/>
        <w:rPr>
          <w:b/>
          <w:bCs/>
          <w:color w:val="2F5496" w:themeColor="accent1" w:themeShade="BF"/>
          <w:sz w:val="24"/>
          <w:szCs w:val="24"/>
        </w:rPr>
      </w:pPr>
    </w:p>
    <w:p w14:paraId="1743F25A" w14:textId="0488EE12" w:rsidR="001A296C" w:rsidRPr="00BD537E" w:rsidRDefault="001A296C" w:rsidP="00437509">
      <w:pPr>
        <w:pStyle w:val="Heading2"/>
        <w:rPr>
          <w:rStyle w:val="BookTitle"/>
          <w:b/>
          <w:bCs w:val="0"/>
        </w:rPr>
      </w:pPr>
      <w:bookmarkStart w:id="30" w:name="_Toc39140009"/>
      <w:r w:rsidRPr="00BD537E">
        <w:rPr>
          <w:rStyle w:val="BookTitle"/>
          <w:b/>
          <w:bCs w:val="0"/>
        </w:rPr>
        <w:lastRenderedPageBreak/>
        <w:t>What commitments are we expecting signatories to make?</w:t>
      </w:r>
      <w:bookmarkEnd w:id="30"/>
    </w:p>
    <w:p w14:paraId="716F9CC6" w14:textId="6BB6CBBE" w:rsidR="00951D6D" w:rsidRPr="00951D6D" w:rsidRDefault="009B6D57" w:rsidP="00703C10">
      <w:pPr>
        <w:spacing w:after="120"/>
        <w:jc w:val="both"/>
        <w:rPr>
          <w:rFonts w:cstheme="minorHAnsi"/>
          <w:color w:val="000000" w:themeColor="text1"/>
          <w:sz w:val="24"/>
          <w:szCs w:val="24"/>
        </w:rPr>
      </w:pPr>
      <w:r w:rsidRPr="009B6D57">
        <w:rPr>
          <w:rFonts w:cstheme="minorHAnsi"/>
          <w:b/>
          <w:bCs/>
          <w:color w:val="2F5496" w:themeColor="accent1" w:themeShade="BF"/>
          <w:sz w:val="24"/>
          <w:szCs w:val="24"/>
        </w:rPr>
        <w:fldChar w:fldCharType="begin"/>
      </w:r>
      <w:r w:rsidRPr="009B6D57">
        <w:rPr>
          <w:rFonts w:cstheme="minorHAnsi"/>
          <w:b/>
          <w:bCs/>
          <w:color w:val="000000" w:themeColor="text1"/>
          <w:sz w:val="24"/>
          <w:szCs w:val="24"/>
        </w:rPr>
        <w:instrText xml:space="preserve"> REF _Ref37935035 \h </w:instrText>
      </w:r>
      <w:r w:rsidRPr="009B6D57">
        <w:rPr>
          <w:rFonts w:cstheme="minorHAnsi"/>
          <w:b/>
          <w:bCs/>
          <w:color w:val="2F5496" w:themeColor="accent1" w:themeShade="BF"/>
          <w:sz w:val="24"/>
          <w:szCs w:val="24"/>
        </w:rPr>
        <w:instrText xml:space="preserve"> \* MERGEFORMAT </w:instrText>
      </w:r>
      <w:r w:rsidRPr="009B6D57">
        <w:rPr>
          <w:rFonts w:cstheme="minorHAnsi"/>
          <w:b/>
          <w:bCs/>
          <w:color w:val="2F5496" w:themeColor="accent1" w:themeShade="BF"/>
          <w:sz w:val="24"/>
          <w:szCs w:val="24"/>
        </w:rPr>
      </w:r>
      <w:r w:rsidRPr="009B6D57">
        <w:rPr>
          <w:rFonts w:cstheme="minorHAnsi"/>
          <w:b/>
          <w:bCs/>
          <w:color w:val="2F5496" w:themeColor="accent1" w:themeShade="BF"/>
          <w:sz w:val="24"/>
          <w:szCs w:val="24"/>
        </w:rPr>
        <w:fldChar w:fldCharType="separate"/>
      </w:r>
      <w:r w:rsidRPr="009B6D57">
        <w:rPr>
          <w:b/>
          <w:bCs/>
          <w:color w:val="2F5496" w:themeColor="accent1" w:themeShade="BF"/>
          <w:sz w:val="24"/>
          <w:szCs w:val="24"/>
        </w:rPr>
        <w:t xml:space="preserve">Table </w:t>
      </w:r>
      <w:r w:rsidRPr="009B6D57">
        <w:rPr>
          <w:b/>
          <w:bCs/>
          <w:noProof/>
          <w:color w:val="2F5496" w:themeColor="accent1" w:themeShade="BF"/>
          <w:sz w:val="24"/>
          <w:szCs w:val="24"/>
        </w:rPr>
        <w:t>2</w:t>
      </w:r>
      <w:r w:rsidRPr="009B6D57">
        <w:rPr>
          <w:rFonts w:cstheme="minorHAnsi"/>
          <w:b/>
          <w:bCs/>
          <w:color w:val="2F5496" w:themeColor="accent1" w:themeShade="BF"/>
          <w:sz w:val="24"/>
          <w:szCs w:val="24"/>
        </w:rPr>
        <w:fldChar w:fldCharType="end"/>
      </w:r>
      <w:r>
        <w:rPr>
          <w:rFonts w:cstheme="minorHAnsi"/>
          <w:b/>
          <w:bCs/>
          <w:color w:val="2F5496" w:themeColor="accent1" w:themeShade="BF"/>
          <w:sz w:val="24"/>
          <w:szCs w:val="24"/>
        </w:rPr>
        <w:t xml:space="preserve"> </w:t>
      </w:r>
      <w:r w:rsidR="00951D6D">
        <w:rPr>
          <w:rFonts w:cstheme="minorHAnsi"/>
          <w:color w:val="000000" w:themeColor="text1"/>
          <w:sz w:val="24"/>
          <w:szCs w:val="24"/>
        </w:rPr>
        <w:t>below</w:t>
      </w:r>
      <w:r w:rsidR="00951D6D" w:rsidRPr="00951D6D">
        <w:rPr>
          <w:rFonts w:cstheme="minorHAnsi"/>
          <w:color w:val="000000" w:themeColor="text1"/>
          <w:sz w:val="24"/>
          <w:szCs w:val="24"/>
        </w:rPr>
        <w:t xml:space="preserve"> </w:t>
      </w:r>
      <w:r w:rsidR="00951D6D">
        <w:rPr>
          <w:rFonts w:cstheme="minorHAnsi"/>
          <w:color w:val="000000" w:themeColor="text1"/>
          <w:sz w:val="24"/>
          <w:szCs w:val="24"/>
        </w:rPr>
        <w:t>highlights the commitments that signatories to the voluntary commitment</w:t>
      </w:r>
      <w:r w:rsidR="00951D6D" w:rsidRPr="00951D6D">
        <w:rPr>
          <w:rFonts w:cstheme="minorHAnsi"/>
          <w:color w:val="000000" w:themeColor="text1"/>
          <w:sz w:val="24"/>
          <w:szCs w:val="24"/>
        </w:rPr>
        <w:t xml:space="preserve"> program</w:t>
      </w:r>
      <w:r w:rsidR="00951D6D">
        <w:rPr>
          <w:rFonts w:cstheme="minorHAnsi"/>
          <w:color w:val="000000" w:themeColor="text1"/>
          <w:sz w:val="24"/>
          <w:szCs w:val="24"/>
        </w:rPr>
        <w:t xml:space="preserve"> </w:t>
      </w:r>
      <w:r w:rsidR="00E4292D">
        <w:rPr>
          <w:rFonts w:cstheme="minorHAnsi"/>
          <w:color w:val="000000" w:themeColor="text1"/>
          <w:sz w:val="24"/>
          <w:szCs w:val="24"/>
        </w:rPr>
        <w:t>c</w:t>
      </w:r>
      <w:r w:rsidR="00951D6D">
        <w:rPr>
          <w:rFonts w:cstheme="minorHAnsi"/>
          <w:color w:val="000000" w:themeColor="text1"/>
          <w:sz w:val="24"/>
          <w:szCs w:val="24"/>
        </w:rPr>
        <w:t>ould make to become effective contributors to the delivery of the national 50% food waste reduction target; and includes illustrative example commitments.</w:t>
      </w:r>
      <w:r w:rsidR="00951D6D" w:rsidRPr="00951D6D">
        <w:rPr>
          <w:rFonts w:cstheme="minorHAnsi"/>
          <w:color w:val="000000" w:themeColor="text1"/>
          <w:sz w:val="24"/>
          <w:szCs w:val="24"/>
        </w:rPr>
        <w:t xml:space="preserve"> </w:t>
      </w:r>
    </w:p>
    <w:tbl>
      <w:tblPr>
        <w:tblStyle w:val="GridTable4-Accent1"/>
        <w:tblW w:w="0" w:type="auto"/>
        <w:tblLook w:val="04A0" w:firstRow="1" w:lastRow="0" w:firstColumn="1" w:lastColumn="0" w:noHBand="0" w:noVBand="1"/>
      </w:tblPr>
      <w:tblGrid>
        <w:gridCol w:w="3114"/>
        <w:gridCol w:w="10834"/>
      </w:tblGrid>
      <w:tr w:rsidR="00951D6D" w14:paraId="083ED166" w14:textId="77777777" w:rsidTr="0043548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14" w:type="dxa"/>
          </w:tcPr>
          <w:p w14:paraId="486705B5" w14:textId="61A63230" w:rsidR="00951D6D" w:rsidRDefault="00951D6D" w:rsidP="00703C10">
            <w:pPr>
              <w:spacing w:before="80" w:after="80"/>
            </w:pPr>
            <w:r>
              <w:t>Signatory commitments</w:t>
            </w:r>
          </w:p>
        </w:tc>
        <w:tc>
          <w:tcPr>
            <w:tcW w:w="10834" w:type="dxa"/>
          </w:tcPr>
          <w:p w14:paraId="3352BD8E" w14:textId="2E59D2AA" w:rsidR="00951D6D" w:rsidRDefault="00262A58" w:rsidP="00703C10">
            <w:pPr>
              <w:spacing w:before="80" w:after="80"/>
              <w:cnfStyle w:val="100000000000" w:firstRow="1" w:lastRow="0" w:firstColumn="0" w:lastColumn="0" w:oddVBand="0" w:evenVBand="0" w:oddHBand="0" w:evenHBand="0" w:firstRowFirstColumn="0" w:firstRowLastColumn="0" w:lastRowFirstColumn="0" w:lastRowLastColumn="0"/>
            </w:pPr>
            <w:r>
              <w:t>Illustrative e</w:t>
            </w:r>
            <w:r w:rsidR="00951D6D">
              <w:t>xample</w:t>
            </w:r>
            <w:r>
              <w:t>s of</w:t>
            </w:r>
            <w:r w:rsidR="00951D6D">
              <w:t xml:space="preserve"> commitments</w:t>
            </w:r>
            <w:r>
              <w:t xml:space="preserve"> that could be made</w:t>
            </w:r>
          </w:p>
        </w:tc>
      </w:tr>
      <w:tr w:rsidR="00951D6D" w14:paraId="341C7ABD" w14:textId="77777777" w:rsidTr="004354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CF3DD3D" w14:textId="14824897" w:rsidR="00951D6D" w:rsidRPr="00951D6D" w:rsidRDefault="00951D6D" w:rsidP="00703C10">
            <w:pPr>
              <w:spacing w:after="80"/>
              <w:rPr>
                <w:rFonts w:cstheme="minorHAnsi"/>
                <w:b w:val="0"/>
                <w:bCs w:val="0"/>
                <w:color w:val="000000" w:themeColor="text1"/>
                <w:sz w:val="24"/>
                <w:szCs w:val="24"/>
              </w:rPr>
            </w:pPr>
            <w:r w:rsidRPr="00951D6D">
              <w:rPr>
                <w:rFonts w:cstheme="minorHAnsi"/>
                <w:b w:val="0"/>
                <w:bCs w:val="0"/>
                <w:color w:val="000000" w:themeColor="text1"/>
                <w:sz w:val="24"/>
                <w:szCs w:val="24"/>
              </w:rPr>
              <w:t>Collaborate and create new partnerships to innovate and drive change in a safe, pre-competitive environment</w:t>
            </w:r>
          </w:p>
        </w:tc>
        <w:tc>
          <w:tcPr>
            <w:tcW w:w="10834" w:type="dxa"/>
          </w:tcPr>
          <w:p w14:paraId="28647362" w14:textId="7AAA5AEC" w:rsidR="00951D6D" w:rsidRDefault="006D025D" w:rsidP="00F2143E">
            <w:pPr>
              <w:pStyle w:val="ListParagraph"/>
              <w:numPr>
                <w:ilvl w:val="0"/>
                <w:numId w:val="13"/>
              </w:numPr>
              <w:ind w:left="325" w:hanging="283"/>
              <w:cnfStyle w:val="000000100000" w:firstRow="0" w:lastRow="0" w:firstColumn="0" w:lastColumn="0" w:oddVBand="0" w:evenVBand="0" w:oddHBand="1" w:evenHBand="0" w:firstRowFirstColumn="0" w:firstRowLastColumn="0" w:lastRowFirstColumn="0" w:lastRowLastColumn="0"/>
            </w:pPr>
            <w:r>
              <w:t xml:space="preserve">We will establish </w:t>
            </w:r>
            <w:r w:rsidR="00F81FFE">
              <w:t xml:space="preserve">at least three </w:t>
            </w:r>
            <w:r>
              <w:t>new open innovation partnerships with our peers and supply partners to reduce food waste in our value chain by x% by 20xx.</w:t>
            </w:r>
          </w:p>
          <w:p w14:paraId="627B6D49" w14:textId="0F0BC2FD" w:rsidR="00C912D9" w:rsidRDefault="00C912D9" w:rsidP="00F2143E">
            <w:pPr>
              <w:pStyle w:val="ListParagraph"/>
              <w:numPr>
                <w:ilvl w:val="0"/>
                <w:numId w:val="13"/>
              </w:numPr>
              <w:ind w:left="325" w:hanging="283"/>
              <w:cnfStyle w:val="000000100000" w:firstRow="0" w:lastRow="0" w:firstColumn="0" w:lastColumn="0" w:oddVBand="0" w:evenVBand="0" w:oddHBand="1" w:evenHBand="0" w:firstRowFirstColumn="0" w:firstRowLastColumn="0" w:lastRowFirstColumn="0" w:lastRowLastColumn="0"/>
            </w:pPr>
            <w:r>
              <w:t>We will actively seek opportunities to co-</w:t>
            </w:r>
            <w:r w:rsidR="00F81FFE">
              <w:t>specify and co-</w:t>
            </w:r>
            <w:r>
              <w:t xml:space="preserve">invest in </w:t>
            </w:r>
            <w:r w:rsidR="00F81FFE">
              <w:t xml:space="preserve">better </w:t>
            </w:r>
            <w:r>
              <w:t xml:space="preserve">food </w:t>
            </w:r>
            <w:r w:rsidR="00F81FFE">
              <w:t>cold chain</w:t>
            </w:r>
            <w:r>
              <w:t xml:space="preserve"> infrastructure and equipment with other signatories and our supply partners</w:t>
            </w:r>
            <w:r w:rsidR="00F81FFE">
              <w:t xml:space="preserve"> to reduce food waste in our </w:t>
            </w:r>
            <w:r w:rsidR="00E51213">
              <w:t xml:space="preserve">food </w:t>
            </w:r>
            <w:r w:rsidR="00F81FFE">
              <w:t>cold chains.</w:t>
            </w:r>
          </w:p>
        </w:tc>
      </w:tr>
      <w:tr w:rsidR="00951D6D" w14:paraId="4369AC6C" w14:textId="77777777" w:rsidTr="00435487">
        <w:tc>
          <w:tcPr>
            <w:cnfStyle w:val="001000000000" w:firstRow="0" w:lastRow="0" w:firstColumn="1" w:lastColumn="0" w:oddVBand="0" w:evenVBand="0" w:oddHBand="0" w:evenHBand="0" w:firstRowFirstColumn="0" w:firstRowLastColumn="0" w:lastRowFirstColumn="0" w:lastRowLastColumn="0"/>
            <w:tcW w:w="3114" w:type="dxa"/>
          </w:tcPr>
          <w:p w14:paraId="6501EBEF" w14:textId="267B273E" w:rsidR="00951D6D" w:rsidRPr="00951D6D" w:rsidRDefault="00951D6D" w:rsidP="00262A58">
            <w:pPr>
              <w:spacing w:after="80"/>
              <w:rPr>
                <w:rFonts w:cstheme="minorHAnsi"/>
                <w:b w:val="0"/>
                <w:bCs w:val="0"/>
                <w:color w:val="000000" w:themeColor="text1"/>
                <w:sz w:val="24"/>
                <w:szCs w:val="24"/>
              </w:rPr>
            </w:pPr>
            <w:r w:rsidRPr="00951D6D">
              <w:rPr>
                <w:rFonts w:cstheme="minorHAnsi"/>
                <w:b w:val="0"/>
                <w:bCs w:val="0"/>
                <w:color w:val="000000" w:themeColor="text1"/>
                <w:sz w:val="24"/>
                <w:szCs w:val="24"/>
              </w:rPr>
              <w:t>Set targets and quantify their food waste using the World Resources Institute’s Food Loss and Waste Accounting and Reporting Standard</w:t>
            </w:r>
            <w:r w:rsidRPr="00951D6D">
              <w:rPr>
                <w:rStyle w:val="FootnoteReference"/>
                <w:rFonts w:cstheme="minorHAnsi"/>
                <w:b w:val="0"/>
                <w:bCs w:val="0"/>
                <w:color w:val="000000" w:themeColor="text1"/>
                <w:sz w:val="24"/>
                <w:szCs w:val="24"/>
              </w:rPr>
              <w:footnoteReference w:id="11"/>
            </w:r>
            <w:r w:rsidRPr="00951D6D">
              <w:rPr>
                <w:rFonts w:cstheme="minorHAnsi"/>
                <w:b w:val="0"/>
                <w:bCs w:val="0"/>
                <w:color w:val="000000" w:themeColor="text1"/>
                <w:sz w:val="24"/>
                <w:szCs w:val="24"/>
              </w:rPr>
              <w:t xml:space="preserve">. </w:t>
            </w:r>
          </w:p>
        </w:tc>
        <w:tc>
          <w:tcPr>
            <w:tcW w:w="10834" w:type="dxa"/>
          </w:tcPr>
          <w:p w14:paraId="75CF3B75" w14:textId="26D55E77" w:rsidR="00C912D9" w:rsidRDefault="00C912D9" w:rsidP="00F2143E">
            <w:pPr>
              <w:pStyle w:val="ListParagraph"/>
              <w:numPr>
                <w:ilvl w:val="0"/>
                <w:numId w:val="13"/>
              </w:numPr>
              <w:ind w:left="325" w:hanging="325"/>
              <w:cnfStyle w:val="000000000000" w:firstRow="0" w:lastRow="0" w:firstColumn="0" w:lastColumn="0" w:oddVBand="0" w:evenVBand="0" w:oddHBand="0" w:evenHBand="0" w:firstRowFirstColumn="0" w:firstRowLastColumn="0" w:lastRowFirstColumn="0" w:lastRowLastColumn="0"/>
            </w:pPr>
            <w:r>
              <w:t>By 20xx we will set targets to reduce food loss and waste in our own operations by xx%.</w:t>
            </w:r>
          </w:p>
          <w:p w14:paraId="6295D478" w14:textId="2C6E0419" w:rsidR="001A3190" w:rsidRDefault="001A3190" w:rsidP="00F2143E">
            <w:pPr>
              <w:pStyle w:val="ListParagraph"/>
              <w:numPr>
                <w:ilvl w:val="0"/>
                <w:numId w:val="13"/>
              </w:numPr>
              <w:ind w:left="325" w:hanging="325"/>
              <w:cnfStyle w:val="000000000000" w:firstRow="0" w:lastRow="0" w:firstColumn="0" w:lastColumn="0" w:oddVBand="0" w:evenVBand="0" w:oddHBand="0" w:evenHBand="0" w:firstRowFirstColumn="0" w:firstRowLastColumn="0" w:lastRowFirstColumn="0" w:lastRowLastColumn="0"/>
            </w:pPr>
            <w:r>
              <w:t>By 20xx no food safe for human consumption will go to waste.</w:t>
            </w:r>
          </w:p>
          <w:p w14:paraId="13A0092D" w14:textId="40560A14" w:rsidR="001A3190" w:rsidRDefault="001A3190" w:rsidP="00F2143E">
            <w:pPr>
              <w:pStyle w:val="ListParagraph"/>
              <w:numPr>
                <w:ilvl w:val="0"/>
                <w:numId w:val="13"/>
              </w:numPr>
              <w:ind w:left="325" w:hanging="325"/>
              <w:cnfStyle w:val="000000000000" w:firstRow="0" w:lastRow="0" w:firstColumn="0" w:lastColumn="0" w:oddVBand="0" w:evenVBand="0" w:oddHBand="0" w:evenHBand="0" w:firstRowFirstColumn="0" w:firstRowLastColumn="0" w:lastRowFirstColumn="0" w:lastRowLastColumn="0"/>
            </w:pPr>
            <w:r>
              <w:t>By 20xx our ambition is to generate A$xxxK in additional value from waste valorisation projects and the commercialisation of new co-products derived from surplus food and food waste streams.</w:t>
            </w:r>
          </w:p>
          <w:p w14:paraId="6182E1F8" w14:textId="19F9D5CB" w:rsidR="00951D6D" w:rsidRDefault="006D025D" w:rsidP="00F2143E">
            <w:pPr>
              <w:pStyle w:val="ListParagraph"/>
              <w:numPr>
                <w:ilvl w:val="0"/>
                <w:numId w:val="13"/>
              </w:numPr>
              <w:ind w:left="325" w:hanging="325"/>
              <w:cnfStyle w:val="000000000000" w:firstRow="0" w:lastRow="0" w:firstColumn="0" w:lastColumn="0" w:oddVBand="0" w:evenVBand="0" w:oddHBand="0" w:evenHBand="0" w:firstRowFirstColumn="0" w:firstRowLastColumn="0" w:lastRowFirstColumn="0" w:lastRowLastColumn="0"/>
            </w:pPr>
            <w:r>
              <w:t>By 20xx we will have used the FLW Accounting and Reporting Standard to quantify food loss and waste in our own operations and communicated our food loss and waste baseline to the VCP delivery team.</w:t>
            </w:r>
          </w:p>
          <w:p w14:paraId="208B7E47" w14:textId="28587AAD" w:rsidR="00F81FFE" w:rsidRDefault="00F81FFE" w:rsidP="00F2143E">
            <w:pPr>
              <w:pStyle w:val="ListParagraph"/>
              <w:numPr>
                <w:ilvl w:val="0"/>
                <w:numId w:val="13"/>
              </w:numPr>
              <w:ind w:left="325" w:hanging="325"/>
              <w:cnfStyle w:val="000000000000" w:firstRow="0" w:lastRow="0" w:firstColumn="0" w:lastColumn="0" w:oddVBand="0" w:evenVBand="0" w:oddHBand="0" w:evenHBand="0" w:firstRowFirstColumn="0" w:firstRowLastColumn="0" w:lastRowFirstColumn="0" w:lastRowLastColumn="0"/>
            </w:pPr>
            <w:r>
              <w:t>By 20xx we will have extended the scope of our quantification work to cover 50% of our own brand products.</w:t>
            </w:r>
          </w:p>
          <w:p w14:paraId="15C50BFD" w14:textId="57595898" w:rsidR="006D025D" w:rsidRDefault="006D025D" w:rsidP="00F2143E">
            <w:pPr>
              <w:pStyle w:val="ListParagraph"/>
              <w:numPr>
                <w:ilvl w:val="0"/>
                <w:numId w:val="13"/>
              </w:numPr>
              <w:spacing w:after="80"/>
              <w:ind w:left="323" w:hanging="323"/>
              <w:contextualSpacing w:val="0"/>
              <w:cnfStyle w:val="000000000000" w:firstRow="0" w:lastRow="0" w:firstColumn="0" w:lastColumn="0" w:oddVBand="0" w:evenVBand="0" w:oddHBand="0" w:evenHBand="0" w:firstRowFirstColumn="0" w:firstRowLastColumn="0" w:lastRowFirstColumn="0" w:lastRowLastColumn="0"/>
            </w:pPr>
            <w:r>
              <w:t xml:space="preserve">By 20xx we will have worked with xx supply partners to identify and address food waste hotspots in </w:t>
            </w:r>
            <w:r w:rsidR="00C912D9">
              <w:t>product categories that represent</w:t>
            </w:r>
            <w:r>
              <w:t xml:space="preserve"> 25</w:t>
            </w:r>
            <w:r w:rsidR="00C912D9">
              <w:t>%</w:t>
            </w:r>
            <w:r>
              <w:t xml:space="preserve"> </w:t>
            </w:r>
            <w:r w:rsidR="00C912D9">
              <w:t>of our total quantified food waste baseline.</w:t>
            </w:r>
          </w:p>
        </w:tc>
      </w:tr>
      <w:tr w:rsidR="006D025D" w14:paraId="7D778C81" w14:textId="77777777" w:rsidTr="004354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2CA86929" w14:textId="77777777" w:rsidR="006D025D" w:rsidRPr="00951D6D" w:rsidRDefault="006D025D" w:rsidP="00262A58">
            <w:pPr>
              <w:spacing w:after="80"/>
              <w:rPr>
                <w:rFonts w:cstheme="minorHAnsi"/>
                <w:b w:val="0"/>
                <w:bCs w:val="0"/>
                <w:color w:val="000000" w:themeColor="text1"/>
                <w:sz w:val="24"/>
                <w:szCs w:val="24"/>
              </w:rPr>
            </w:pPr>
            <w:r w:rsidRPr="00951D6D">
              <w:rPr>
                <w:rFonts w:cstheme="minorHAnsi"/>
                <w:b w:val="0"/>
                <w:bCs w:val="0"/>
                <w:color w:val="000000" w:themeColor="text1"/>
                <w:sz w:val="24"/>
                <w:szCs w:val="24"/>
              </w:rPr>
              <w:t>Focus on ways of working that deliver whole of supply chain solutions, wherever possible.</w:t>
            </w:r>
          </w:p>
        </w:tc>
        <w:tc>
          <w:tcPr>
            <w:tcW w:w="10834" w:type="dxa"/>
          </w:tcPr>
          <w:p w14:paraId="12EAD44C" w14:textId="77777777" w:rsidR="006D025D" w:rsidRDefault="006D025D" w:rsidP="00F2143E">
            <w:pPr>
              <w:pStyle w:val="ListParagraph"/>
              <w:numPr>
                <w:ilvl w:val="0"/>
                <w:numId w:val="13"/>
              </w:numPr>
              <w:ind w:left="325" w:hanging="283"/>
              <w:cnfStyle w:val="000000100000" w:firstRow="0" w:lastRow="0" w:firstColumn="0" w:lastColumn="0" w:oddVBand="0" w:evenVBand="0" w:oddHBand="1" w:evenHBand="0" w:firstRowFirstColumn="0" w:firstRowLastColumn="0" w:lastRowFirstColumn="0" w:lastRowLastColumn="0"/>
            </w:pPr>
            <w:r>
              <w:t>We will work with our supply partners and the VCP delivery team to identify food waste hotspots in our value chain and identify and trial solutions to them</w:t>
            </w:r>
            <w:r w:rsidR="00C912D9">
              <w:t>. We will embed successful trials across our business and share our learning with other signatories at signatory workshops, conferences and in the form of case studies.</w:t>
            </w:r>
          </w:p>
          <w:p w14:paraId="53D71619" w14:textId="2E7A040B" w:rsidR="00F81FFE" w:rsidRDefault="00F81FFE" w:rsidP="00F2143E">
            <w:pPr>
              <w:pStyle w:val="ListParagraph"/>
              <w:numPr>
                <w:ilvl w:val="0"/>
                <w:numId w:val="13"/>
              </w:numPr>
              <w:spacing w:after="80"/>
              <w:ind w:left="324" w:hanging="284"/>
              <w:contextualSpacing w:val="0"/>
              <w:cnfStyle w:val="000000100000" w:firstRow="0" w:lastRow="0" w:firstColumn="0" w:lastColumn="0" w:oddVBand="0" w:evenVBand="0" w:oddHBand="1" w:evenHBand="0" w:firstRowFirstColumn="0" w:firstRowLastColumn="0" w:lastRowFirstColumn="0" w:lastRowLastColumn="0"/>
            </w:pPr>
            <w:r>
              <w:t xml:space="preserve">By 20xx, we will trial whole crop purchase arrangements with the farmers and growers in four of our fresh produce value chains with the goal of increasing crop utilisation by 25%, significantly reducing on-farm crop loss and waste. </w:t>
            </w:r>
          </w:p>
        </w:tc>
      </w:tr>
      <w:tr w:rsidR="00951D6D" w14:paraId="74CEACEC" w14:textId="77777777" w:rsidTr="00435487">
        <w:tc>
          <w:tcPr>
            <w:cnfStyle w:val="001000000000" w:firstRow="0" w:lastRow="0" w:firstColumn="1" w:lastColumn="0" w:oddVBand="0" w:evenVBand="0" w:oddHBand="0" w:evenHBand="0" w:firstRowFirstColumn="0" w:firstRowLastColumn="0" w:lastRowFirstColumn="0" w:lastRowLastColumn="0"/>
            <w:tcW w:w="3114" w:type="dxa"/>
          </w:tcPr>
          <w:p w14:paraId="480877F6" w14:textId="0644EBC5" w:rsidR="00951D6D" w:rsidRPr="00951D6D" w:rsidRDefault="00951D6D" w:rsidP="00262A58">
            <w:pPr>
              <w:spacing w:after="80"/>
              <w:rPr>
                <w:rFonts w:cstheme="minorHAnsi"/>
                <w:b w:val="0"/>
                <w:bCs w:val="0"/>
                <w:color w:val="000000" w:themeColor="text1"/>
                <w:sz w:val="24"/>
                <w:szCs w:val="24"/>
              </w:rPr>
            </w:pPr>
            <w:r w:rsidRPr="00951D6D">
              <w:rPr>
                <w:rFonts w:cstheme="minorHAnsi"/>
                <w:b w:val="0"/>
                <w:bCs w:val="0"/>
                <w:color w:val="000000" w:themeColor="text1"/>
                <w:sz w:val="24"/>
                <w:szCs w:val="24"/>
              </w:rPr>
              <w:t xml:space="preserve">Agree future activities to reduce food waste. </w:t>
            </w:r>
          </w:p>
        </w:tc>
        <w:tc>
          <w:tcPr>
            <w:tcW w:w="10834" w:type="dxa"/>
          </w:tcPr>
          <w:p w14:paraId="4F9AF450" w14:textId="5D9D4745" w:rsidR="00951D6D" w:rsidRDefault="00C912D9" w:rsidP="00F2143E">
            <w:pPr>
              <w:pStyle w:val="ListParagraph"/>
              <w:numPr>
                <w:ilvl w:val="0"/>
                <w:numId w:val="13"/>
              </w:numPr>
              <w:ind w:left="325" w:hanging="283"/>
              <w:cnfStyle w:val="000000000000" w:firstRow="0" w:lastRow="0" w:firstColumn="0" w:lastColumn="0" w:oddVBand="0" w:evenVBand="0" w:oddHBand="0" w:evenHBand="0" w:firstRowFirstColumn="0" w:firstRowLastColumn="0" w:lastRowFirstColumn="0" w:lastRowLastColumn="0"/>
            </w:pPr>
            <w:r>
              <w:t xml:space="preserve">We will agree </w:t>
            </w:r>
            <w:r w:rsidR="006657D8">
              <w:t xml:space="preserve">to </w:t>
            </w:r>
            <w:r>
              <w:t xml:space="preserve">an initial implementation plan with the VCP delivery team and work collaboratively with them to realise the food waste saving opportunities we have agreed to pursue. We will review the progress we are making </w:t>
            </w:r>
            <w:r>
              <w:lastRenderedPageBreak/>
              <w:t xml:space="preserve">against our plan every six months and agree an updated plan with the </w:t>
            </w:r>
            <w:r w:rsidR="00F81FFE">
              <w:t xml:space="preserve">VCP </w:t>
            </w:r>
            <w:r>
              <w:t xml:space="preserve">delivery team </w:t>
            </w:r>
            <w:r w:rsidR="00F81FFE">
              <w:t xml:space="preserve">in the budgeting period preceding the next financial year to ensure that we have the resources at our disposal to deliver our plan. </w:t>
            </w:r>
          </w:p>
          <w:p w14:paraId="71075A41" w14:textId="667BB633" w:rsidR="001A3190" w:rsidRDefault="003D4D9C" w:rsidP="00F2143E">
            <w:pPr>
              <w:pStyle w:val="ListParagraph"/>
              <w:numPr>
                <w:ilvl w:val="0"/>
                <w:numId w:val="13"/>
              </w:numPr>
              <w:ind w:left="325" w:hanging="283"/>
              <w:cnfStyle w:val="000000000000" w:firstRow="0" w:lastRow="0" w:firstColumn="0" w:lastColumn="0" w:oddVBand="0" w:evenVBand="0" w:oddHBand="0" w:evenHBand="0" w:firstRowFirstColumn="0" w:firstRowLastColumn="0" w:lastRowFirstColumn="0" w:lastRowLastColumn="0"/>
            </w:pPr>
            <w:r>
              <w:t xml:space="preserve">We will work with the New Product Development and Innovation Manager in the VCP delivery team to embed consideration of food waste into our existing and new product development </w:t>
            </w:r>
            <w:r w:rsidR="001A3190">
              <w:t xml:space="preserve">(EPD and NPD) </w:t>
            </w:r>
            <w:r>
              <w:t>process by 20xx</w:t>
            </w:r>
            <w:r w:rsidR="001A3190">
              <w:t xml:space="preserve"> and pilot this new process with xx of our major supply partners.</w:t>
            </w:r>
          </w:p>
          <w:p w14:paraId="2EA9BBC5" w14:textId="57FBB4CE" w:rsidR="003D4D9C" w:rsidRDefault="001A3190" w:rsidP="00A074C6">
            <w:pPr>
              <w:pStyle w:val="ListParagraph"/>
              <w:numPr>
                <w:ilvl w:val="0"/>
                <w:numId w:val="13"/>
              </w:numPr>
              <w:ind w:left="324" w:hanging="284"/>
              <w:contextualSpacing w:val="0"/>
              <w:cnfStyle w:val="000000000000" w:firstRow="0" w:lastRow="0" w:firstColumn="0" w:lastColumn="0" w:oddVBand="0" w:evenVBand="0" w:oddHBand="0" w:evenHBand="0" w:firstRowFirstColumn="0" w:firstRowLastColumn="0" w:lastRowFirstColumn="0" w:lastRowLastColumn="0"/>
            </w:pPr>
            <w:r>
              <w:t>We will</w:t>
            </w:r>
            <w:r w:rsidR="003D4D9C">
              <w:t xml:space="preserve"> report the proportion of our own brand products that have gone through </w:t>
            </w:r>
            <w:r>
              <w:t>the new NPD</w:t>
            </w:r>
            <w:r w:rsidR="003D4D9C">
              <w:t xml:space="preserve"> process each year, including </w:t>
            </w:r>
            <w:r>
              <w:t xml:space="preserve">x </w:t>
            </w:r>
            <w:r w:rsidR="003D4D9C">
              <w:t>best practice case studies that we would like to showcase to other signatories or publicly.</w:t>
            </w:r>
          </w:p>
          <w:p w14:paraId="07EEF236" w14:textId="6C748817" w:rsidR="00435487" w:rsidRDefault="00435487" w:rsidP="00F2143E">
            <w:pPr>
              <w:pStyle w:val="ListParagraph"/>
              <w:numPr>
                <w:ilvl w:val="0"/>
                <w:numId w:val="13"/>
              </w:numPr>
              <w:spacing w:after="80"/>
              <w:ind w:left="324" w:hanging="284"/>
              <w:contextualSpacing w:val="0"/>
              <w:cnfStyle w:val="000000000000" w:firstRow="0" w:lastRow="0" w:firstColumn="0" w:lastColumn="0" w:oddVBand="0" w:evenVBand="0" w:oddHBand="0" w:evenHBand="0" w:firstRowFirstColumn="0" w:firstRowLastColumn="0" w:lastRowFirstColumn="0" w:lastRowLastColumn="0"/>
            </w:pPr>
            <w:r>
              <w:t>Support consumer and business-facing awareness-raising and behaviour change campaigns.</w:t>
            </w:r>
          </w:p>
        </w:tc>
      </w:tr>
      <w:tr w:rsidR="00951D6D" w14:paraId="16FE3ED7" w14:textId="77777777" w:rsidTr="004354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7CCD97D" w14:textId="31F12428" w:rsidR="00951D6D" w:rsidRPr="00951D6D" w:rsidRDefault="00951D6D" w:rsidP="00703C10">
            <w:pPr>
              <w:spacing w:after="80"/>
              <w:rPr>
                <w:rFonts w:cstheme="minorHAnsi"/>
                <w:b w:val="0"/>
                <w:bCs w:val="0"/>
                <w:color w:val="000000" w:themeColor="text1"/>
                <w:sz w:val="24"/>
                <w:szCs w:val="24"/>
              </w:rPr>
            </w:pPr>
            <w:r w:rsidRPr="00951D6D">
              <w:rPr>
                <w:rFonts w:cstheme="minorHAnsi"/>
                <w:b w:val="0"/>
                <w:bCs w:val="0"/>
                <w:color w:val="000000" w:themeColor="text1"/>
                <w:sz w:val="24"/>
                <w:szCs w:val="24"/>
              </w:rPr>
              <w:lastRenderedPageBreak/>
              <w:t>Establish a food waste baseline</w:t>
            </w:r>
            <w:r w:rsidR="006657D8">
              <w:rPr>
                <w:rFonts w:cstheme="minorHAnsi"/>
                <w:b w:val="0"/>
                <w:bCs w:val="0"/>
                <w:color w:val="000000" w:themeColor="text1"/>
                <w:sz w:val="24"/>
                <w:szCs w:val="24"/>
              </w:rPr>
              <w:t xml:space="preserve"> specific to their business,</w:t>
            </w:r>
            <w:r w:rsidRPr="00951D6D">
              <w:rPr>
                <w:rFonts w:cstheme="minorHAnsi"/>
                <w:b w:val="0"/>
                <w:bCs w:val="0"/>
                <w:color w:val="000000" w:themeColor="text1"/>
                <w:sz w:val="24"/>
                <w:szCs w:val="24"/>
              </w:rPr>
              <w:t xml:space="preserve"> and regularly review the baseline in the light of better evidence, as well as report annually on the progress they are making to reduce food waste</w:t>
            </w:r>
          </w:p>
        </w:tc>
        <w:tc>
          <w:tcPr>
            <w:tcW w:w="10834" w:type="dxa"/>
          </w:tcPr>
          <w:p w14:paraId="56F1E15F" w14:textId="77777777" w:rsidR="00951D6D" w:rsidRDefault="00F81FFE" w:rsidP="00F2143E">
            <w:pPr>
              <w:pStyle w:val="ListParagraph"/>
              <w:numPr>
                <w:ilvl w:val="0"/>
                <w:numId w:val="13"/>
              </w:numPr>
              <w:ind w:left="325" w:hanging="283"/>
              <w:cnfStyle w:val="000000100000" w:firstRow="0" w:lastRow="0" w:firstColumn="0" w:lastColumn="0" w:oddVBand="0" w:evenVBand="0" w:oddHBand="1" w:evenHBand="0" w:firstRowFirstColumn="0" w:firstRowLastColumn="0" w:lastRowFirstColumn="0" w:lastRowLastColumn="0"/>
            </w:pPr>
            <w:r>
              <w:t>We will regularly review our baseline in the light of new data and insight and communicate any significant changes (&gt;5%) to the VCP delivery team.</w:t>
            </w:r>
          </w:p>
          <w:p w14:paraId="48C05EB6" w14:textId="76DE7695" w:rsidR="003D4D9C" w:rsidRDefault="003D4D9C" w:rsidP="00F2143E">
            <w:pPr>
              <w:pStyle w:val="ListParagraph"/>
              <w:numPr>
                <w:ilvl w:val="0"/>
                <w:numId w:val="13"/>
              </w:numPr>
              <w:ind w:left="325" w:hanging="283"/>
              <w:cnfStyle w:val="000000100000" w:firstRow="0" w:lastRow="0" w:firstColumn="0" w:lastColumn="0" w:oddVBand="0" w:evenVBand="0" w:oddHBand="1" w:evenHBand="0" w:firstRowFirstColumn="0" w:firstRowLastColumn="0" w:lastRowFirstColumn="0" w:lastRowLastColumn="0"/>
            </w:pPr>
            <w:r>
              <w:t>We will report annually to the VCP delivery team on the progress we are making towards our food waste reduction</w:t>
            </w:r>
            <w:r w:rsidR="001A3190">
              <w:t xml:space="preserve"> target</w:t>
            </w:r>
            <w:r>
              <w:t>, providing at least x case studies of our work each year.</w:t>
            </w:r>
          </w:p>
        </w:tc>
      </w:tr>
      <w:tr w:rsidR="00951D6D" w14:paraId="5B693E1F" w14:textId="77777777" w:rsidTr="00435487">
        <w:tc>
          <w:tcPr>
            <w:cnfStyle w:val="001000000000" w:firstRow="0" w:lastRow="0" w:firstColumn="1" w:lastColumn="0" w:oddVBand="0" w:evenVBand="0" w:oddHBand="0" w:evenHBand="0" w:firstRowFirstColumn="0" w:firstRowLastColumn="0" w:lastRowFirstColumn="0" w:lastRowLastColumn="0"/>
            <w:tcW w:w="3114" w:type="dxa"/>
          </w:tcPr>
          <w:p w14:paraId="32BD85F6" w14:textId="35A6C107" w:rsidR="00951D6D" w:rsidRPr="00951D6D" w:rsidRDefault="00951D6D" w:rsidP="00262A58">
            <w:pPr>
              <w:spacing w:after="80"/>
              <w:rPr>
                <w:rFonts w:cstheme="minorHAnsi"/>
                <w:b w:val="0"/>
                <w:bCs w:val="0"/>
                <w:sz w:val="24"/>
                <w:szCs w:val="24"/>
              </w:rPr>
            </w:pPr>
            <w:r w:rsidRPr="00951D6D">
              <w:rPr>
                <w:rFonts w:cstheme="minorHAnsi"/>
                <w:b w:val="0"/>
                <w:bCs w:val="0"/>
                <w:sz w:val="24"/>
                <w:szCs w:val="24"/>
              </w:rPr>
              <w:t>Maximise the potential to donate surplus food to food rescue and relief organisations</w:t>
            </w:r>
            <w:r w:rsidR="00DC6FDA">
              <w:rPr>
                <w:rFonts w:cstheme="minorHAnsi"/>
                <w:b w:val="0"/>
                <w:bCs w:val="0"/>
                <w:sz w:val="24"/>
                <w:szCs w:val="24"/>
              </w:rPr>
              <w:t xml:space="preserve"> and farmers (animal feed)</w:t>
            </w:r>
          </w:p>
        </w:tc>
        <w:tc>
          <w:tcPr>
            <w:tcW w:w="10834" w:type="dxa"/>
          </w:tcPr>
          <w:p w14:paraId="4D0B086C" w14:textId="77777777" w:rsidR="00951D6D" w:rsidRDefault="003D4D9C" w:rsidP="00F2143E">
            <w:pPr>
              <w:pStyle w:val="ListParagraph"/>
              <w:numPr>
                <w:ilvl w:val="0"/>
                <w:numId w:val="14"/>
              </w:numPr>
              <w:ind w:left="321" w:hanging="284"/>
              <w:cnfStyle w:val="000000000000" w:firstRow="0" w:lastRow="0" w:firstColumn="0" w:lastColumn="0" w:oddVBand="0" w:evenVBand="0" w:oddHBand="0" w:evenHBand="0" w:firstRowFirstColumn="0" w:firstRowLastColumn="0" w:lastRowFirstColumn="0" w:lastRowLastColumn="0"/>
            </w:pPr>
            <w:r>
              <w:t>We will set-up the business policies and processes, partnerships and infrastructure to maximise the potential for donating safe surplus food to food rescue and relief charities and to farmers for use as animal feed.</w:t>
            </w:r>
          </w:p>
          <w:p w14:paraId="4808978B" w14:textId="77777777" w:rsidR="001A3190" w:rsidRDefault="001A3190" w:rsidP="00F2143E">
            <w:pPr>
              <w:pStyle w:val="ListParagraph"/>
              <w:numPr>
                <w:ilvl w:val="0"/>
                <w:numId w:val="14"/>
              </w:numPr>
              <w:ind w:left="321" w:hanging="284"/>
              <w:cnfStyle w:val="000000000000" w:firstRow="0" w:lastRow="0" w:firstColumn="0" w:lastColumn="0" w:oddVBand="0" w:evenVBand="0" w:oddHBand="0" w:evenHBand="0" w:firstRowFirstColumn="0" w:firstRowLastColumn="0" w:lastRowFirstColumn="0" w:lastRowLastColumn="0"/>
            </w:pPr>
            <w:r>
              <w:t>We will encourage our staff to volunteer xx days a year with our food rescue and relief partners.</w:t>
            </w:r>
          </w:p>
          <w:p w14:paraId="2BC90FA0" w14:textId="77F911C8" w:rsidR="001A3190" w:rsidRDefault="001A3190" w:rsidP="00F2143E">
            <w:pPr>
              <w:pStyle w:val="ListParagraph"/>
              <w:numPr>
                <w:ilvl w:val="0"/>
                <w:numId w:val="14"/>
              </w:numPr>
              <w:spacing w:after="80"/>
              <w:ind w:left="324" w:hanging="284"/>
              <w:contextualSpacing w:val="0"/>
              <w:cnfStyle w:val="000000000000" w:firstRow="0" w:lastRow="0" w:firstColumn="0" w:lastColumn="0" w:oddVBand="0" w:evenVBand="0" w:oddHBand="0" w:evenHBand="0" w:firstRowFirstColumn="0" w:firstRowLastColumn="0" w:lastRowFirstColumn="0" w:lastRowLastColumn="0"/>
            </w:pPr>
            <w:r>
              <w:t>We will seek to grow our donations of surplus food; and offer space on our logistics fleet and in our distribution centres where it is available to maintain the quality and shelf-life of donated food.</w:t>
            </w:r>
          </w:p>
        </w:tc>
      </w:tr>
      <w:tr w:rsidR="00951D6D" w14:paraId="6B149E92" w14:textId="77777777" w:rsidTr="004354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F8112A9" w14:textId="13961815" w:rsidR="00951D6D" w:rsidRPr="00951D6D" w:rsidRDefault="00951D6D" w:rsidP="00703C10">
            <w:pPr>
              <w:spacing w:after="80"/>
              <w:rPr>
                <w:rFonts w:cstheme="minorHAnsi"/>
                <w:b w:val="0"/>
                <w:bCs w:val="0"/>
                <w:sz w:val="24"/>
                <w:szCs w:val="24"/>
              </w:rPr>
            </w:pPr>
            <w:r w:rsidRPr="00951D6D">
              <w:rPr>
                <w:rFonts w:cstheme="minorHAnsi"/>
                <w:b w:val="0"/>
                <w:bCs w:val="0"/>
                <w:sz w:val="24"/>
                <w:szCs w:val="24"/>
              </w:rPr>
              <w:t xml:space="preserve">Explore the potential to create new value from co-products derived from food waste streams  </w:t>
            </w:r>
          </w:p>
        </w:tc>
        <w:tc>
          <w:tcPr>
            <w:tcW w:w="10834" w:type="dxa"/>
          </w:tcPr>
          <w:p w14:paraId="30E4FCA0" w14:textId="77777777" w:rsidR="00951D6D" w:rsidRDefault="001A3190" w:rsidP="00F2143E">
            <w:pPr>
              <w:pStyle w:val="ListParagraph"/>
              <w:numPr>
                <w:ilvl w:val="0"/>
                <w:numId w:val="15"/>
              </w:numPr>
              <w:ind w:left="321" w:hanging="284"/>
              <w:cnfStyle w:val="000000100000" w:firstRow="0" w:lastRow="0" w:firstColumn="0" w:lastColumn="0" w:oddVBand="0" w:evenVBand="0" w:oddHBand="1" w:evenHBand="0" w:firstRowFirstColumn="0" w:firstRowLastColumn="0" w:lastRowFirstColumn="0" w:lastRowLastColumn="0"/>
            </w:pPr>
            <w:r>
              <w:t xml:space="preserve">By 20xx we will have </w:t>
            </w:r>
            <w:r w:rsidR="002D39B6">
              <w:t>worked with the Valorisation Manager in the VCP delivery team to identify waste valorisation opportunities with a net value of A$xxxK.</w:t>
            </w:r>
          </w:p>
          <w:p w14:paraId="45B5D0B6" w14:textId="1AE2FB35" w:rsidR="002D39B6" w:rsidRDefault="002D39B6" w:rsidP="00F2143E">
            <w:pPr>
              <w:pStyle w:val="ListParagraph"/>
              <w:numPr>
                <w:ilvl w:val="0"/>
                <w:numId w:val="15"/>
              </w:numPr>
              <w:ind w:left="321" w:hanging="284"/>
              <w:cnfStyle w:val="000000100000" w:firstRow="0" w:lastRow="0" w:firstColumn="0" w:lastColumn="0" w:oddVBand="0" w:evenVBand="0" w:oddHBand="1" w:evenHBand="0" w:firstRowFirstColumn="0" w:firstRowLastColumn="0" w:lastRowFirstColumn="0" w:lastRowLastColumn="0"/>
            </w:pPr>
            <w:r>
              <w:t>We will co-chair a VCP working group to realise fresh produce co-product opportunities.</w:t>
            </w:r>
          </w:p>
        </w:tc>
      </w:tr>
    </w:tbl>
    <w:p w14:paraId="72E864DE" w14:textId="77777777" w:rsidR="00951D6D" w:rsidRDefault="00951D6D" w:rsidP="00365438">
      <w:pPr>
        <w:spacing w:after="0"/>
      </w:pPr>
    </w:p>
    <w:p w14:paraId="791C9D93" w14:textId="022FA8E8" w:rsidR="00365438" w:rsidRPr="009B6D57" w:rsidRDefault="009B6D57" w:rsidP="009B6D57">
      <w:pPr>
        <w:pStyle w:val="Caption"/>
        <w:keepNext/>
        <w:rPr>
          <w:i w:val="0"/>
          <w:iCs w:val="0"/>
          <w:sz w:val="20"/>
          <w:szCs w:val="20"/>
        </w:rPr>
        <w:sectPr w:rsidR="00365438" w:rsidRPr="009B6D57" w:rsidSect="00FC24AE">
          <w:headerReference w:type="default" r:id="rId35"/>
          <w:pgSz w:w="16838" w:h="11906" w:orient="landscape"/>
          <w:pgMar w:top="1440" w:right="1440" w:bottom="1440" w:left="1440" w:header="708" w:footer="708" w:gutter="0"/>
          <w:cols w:space="708"/>
          <w:docGrid w:linePitch="360"/>
        </w:sectPr>
      </w:pPr>
      <w:bookmarkStart w:id="31" w:name="_Ref37935035"/>
      <w:r w:rsidRPr="009B6D57">
        <w:rPr>
          <w:b/>
          <w:bCs/>
          <w:i w:val="0"/>
          <w:iCs w:val="0"/>
          <w:color w:val="2F5496" w:themeColor="accent1" w:themeShade="BF"/>
          <w:sz w:val="20"/>
          <w:szCs w:val="20"/>
        </w:rPr>
        <w:t xml:space="preserve">Table </w:t>
      </w:r>
      <w:r w:rsidRPr="009B6D57">
        <w:rPr>
          <w:b/>
          <w:bCs/>
          <w:i w:val="0"/>
          <w:iCs w:val="0"/>
          <w:color w:val="2F5496" w:themeColor="accent1" w:themeShade="BF"/>
          <w:sz w:val="20"/>
          <w:szCs w:val="20"/>
        </w:rPr>
        <w:fldChar w:fldCharType="begin"/>
      </w:r>
      <w:r w:rsidRPr="009B6D57">
        <w:rPr>
          <w:b/>
          <w:bCs/>
          <w:i w:val="0"/>
          <w:iCs w:val="0"/>
          <w:color w:val="2F5496" w:themeColor="accent1" w:themeShade="BF"/>
          <w:sz w:val="20"/>
          <w:szCs w:val="20"/>
        </w:rPr>
        <w:instrText xml:space="preserve"> SEQ Table \* ARABIC </w:instrText>
      </w:r>
      <w:r w:rsidRPr="009B6D57">
        <w:rPr>
          <w:b/>
          <w:bCs/>
          <w:i w:val="0"/>
          <w:iCs w:val="0"/>
          <w:color w:val="2F5496" w:themeColor="accent1" w:themeShade="BF"/>
          <w:sz w:val="20"/>
          <w:szCs w:val="20"/>
        </w:rPr>
        <w:fldChar w:fldCharType="separate"/>
      </w:r>
      <w:r w:rsidR="0076147C">
        <w:rPr>
          <w:b/>
          <w:bCs/>
          <w:i w:val="0"/>
          <w:iCs w:val="0"/>
          <w:noProof/>
          <w:color w:val="2F5496" w:themeColor="accent1" w:themeShade="BF"/>
          <w:sz w:val="20"/>
          <w:szCs w:val="20"/>
        </w:rPr>
        <w:t>2</w:t>
      </w:r>
      <w:r w:rsidRPr="009B6D57">
        <w:rPr>
          <w:b/>
          <w:bCs/>
          <w:i w:val="0"/>
          <w:iCs w:val="0"/>
          <w:color w:val="2F5496" w:themeColor="accent1" w:themeShade="BF"/>
          <w:sz w:val="20"/>
          <w:szCs w:val="20"/>
        </w:rPr>
        <w:fldChar w:fldCharType="end"/>
      </w:r>
      <w:bookmarkEnd w:id="31"/>
      <w:r w:rsidR="00365438" w:rsidRPr="009B6D57">
        <w:rPr>
          <w:i w:val="0"/>
          <w:iCs w:val="0"/>
          <w:sz w:val="20"/>
          <w:szCs w:val="20"/>
        </w:rPr>
        <w:t xml:space="preserve">:    </w:t>
      </w:r>
      <w:r w:rsidR="00365438" w:rsidRPr="009B6D57">
        <w:rPr>
          <w:i w:val="0"/>
          <w:iCs w:val="0"/>
          <w:color w:val="auto"/>
          <w:sz w:val="20"/>
          <w:szCs w:val="20"/>
        </w:rPr>
        <w:t>Proposed signatory commitment areas and illustrative examples of how commitments might be framed</w:t>
      </w:r>
    </w:p>
    <w:p w14:paraId="46A76C0B" w14:textId="4BC36514" w:rsidR="003231B0" w:rsidRPr="003231B0" w:rsidRDefault="00AF0004" w:rsidP="003231B0">
      <w:pPr>
        <w:jc w:val="both"/>
        <w:rPr>
          <w:rFonts w:cstheme="minorHAnsi"/>
          <w:sz w:val="24"/>
          <w:szCs w:val="24"/>
        </w:rPr>
      </w:pPr>
      <w:r>
        <w:rPr>
          <w:rFonts w:cstheme="minorHAnsi"/>
          <w:sz w:val="24"/>
          <w:szCs w:val="24"/>
        </w:rPr>
        <w:lastRenderedPageBreak/>
        <w:t>The</w:t>
      </w:r>
      <w:r w:rsidR="003231B0" w:rsidRPr="003231B0">
        <w:rPr>
          <w:rFonts w:cstheme="minorHAnsi"/>
          <w:sz w:val="24"/>
          <w:szCs w:val="24"/>
        </w:rPr>
        <w:t xml:space="preserve"> </w:t>
      </w:r>
      <w:r w:rsidR="003231B0" w:rsidRPr="003231B0">
        <w:rPr>
          <w:rFonts w:cstheme="minorHAnsi"/>
          <w:b/>
          <w:bCs/>
          <w:color w:val="2F5496" w:themeColor="accent1" w:themeShade="BF"/>
          <w:sz w:val="24"/>
          <w:szCs w:val="24"/>
        </w:rPr>
        <w:t xml:space="preserve">Target, Measure, Act </w:t>
      </w:r>
      <w:r w:rsidR="003231B0" w:rsidRPr="003231B0">
        <w:rPr>
          <w:rFonts w:cstheme="minorHAnsi"/>
          <w:sz w:val="24"/>
          <w:szCs w:val="24"/>
        </w:rPr>
        <w:t xml:space="preserve">approach </w:t>
      </w:r>
      <w:r>
        <w:rPr>
          <w:rFonts w:cstheme="minorHAnsi"/>
          <w:sz w:val="24"/>
          <w:szCs w:val="24"/>
        </w:rPr>
        <w:t xml:space="preserve">embedded in the Food Loss and Waste Accounting and Reporting Standard </w:t>
      </w:r>
      <w:r w:rsidR="003231B0" w:rsidRPr="003231B0">
        <w:rPr>
          <w:rFonts w:cstheme="minorHAnsi"/>
          <w:sz w:val="24"/>
          <w:szCs w:val="24"/>
        </w:rPr>
        <w:t xml:space="preserve">has been successful all over the world in helping agri-food businesses to better understand and reduce their food waste; at the same time as supporting the delivery of the policy and strategy objectives of national, </w:t>
      </w:r>
      <w:r w:rsidR="003A2F4C">
        <w:rPr>
          <w:rFonts w:cstheme="minorHAnsi"/>
          <w:sz w:val="24"/>
          <w:szCs w:val="24"/>
        </w:rPr>
        <w:t xml:space="preserve">state and </w:t>
      </w:r>
      <w:r w:rsidR="003231B0" w:rsidRPr="003231B0">
        <w:rPr>
          <w:rFonts w:cstheme="minorHAnsi"/>
          <w:sz w:val="24"/>
          <w:szCs w:val="24"/>
        </w:rPr>
        <w:t>local government</w:t>
      </w:r>
      <w:r w:rsidR="003A2F4C">
        <w:rPr>
          <w:rFonts w:cstheme="minorHAnsi"/>
          <w:sz w:val="24"/>
          <w:szCs w:val="24"/>
        </w:rPr>
        <w:t>s</w:t>
      </w:r>
      <w:r w:rsidR="003231B0" w:rsidRPr="003231B0">
        <w:rPr>
          <w:rFonts w:cstheme="minorHAnsi"/>
          <w:sz w:val="24"/>
          <w:szCs w:val="24"/>
        </w:rPr>
        <w:t xml:space="preserve"> and NGOs</w:t>
      </w:r>
      <w:r w:rsidR="00F94DBE">
        <w:rPr>
          <w:rFonts w:cstheme="minorHAnsi"/>
          <w:sz w:val="24"/>
          <w:szCs w:val="24"/>
        </w:rPr>
        <w:t xml:space="preserve"> – and meeting the expectations of their customers and consumers</w:t>
      </w:r>
      <w:r w:rsidR="003231B0" w:rsidRPr="003231B0">
        <w:rPr>
          <w:rFonts w:cstheme="minorHAnsi"/>
          <w:sz w:val="24"/>
          <w:szCs w:val="24"/>
        </w:rPr>
        <w:t xml:space="preserve">.  </w:t>
      </w:r>
    </w:p>
    <w:p w14:paraId="1FE8B402" w14:textId="4A8C925F" w:rsidR="003231B0" w:rsidRPr="00DB5FB3" w:rsidRDefault="003231B0" w:rsidP="00DB5FB3">
      <w:pPr>
        <w:jc w:val="both"/>
        <w:rPr>
          <w:sz w:val="24"/>
          <w:szCs w:val="24"/>
        </w:rPr>
      </w:pPr>
      <w:r w:rsidRPr="00DB5FB3">
        <w:rPr>
          <w:sz w:val="24"/>
          <w:szCs w:val="24"/>
        </w:rPr>
        <w:t>Signatories report on progress against an agreed program of actions in reducing their food waste. This transparent monitoring and reporting against agreed individual and collective actions provides much needed evidence to track and report progress against collective food waste reduction targets and a trajectory to be agreed with signatory organisations.</w:t>
      </w:r>
    </w:p>
    <w:p w14:paraId="2DC7E02C" w14:textId="77777777" w:rsidR="00365438" w:rsidRPr="00365438" w:rsidRDefault="00365438" w:rsidP="00365438"/>
    <w:p w14:paraId="782A05AE" w14:textId="4458E42E" w:rsidR="00365438" w:rsidRPr="00BD537E" w:rsidRDefault="00365438" w:rsidP="00437509">
      <w:pPr>
        <w:pStyle w:val="Heading2"/>
        <w:rPr>
          <w:rStyle w:val="BookTitle"/>
          <w:b/>
          <w:bCs w:val="0"/>
        </w:rPr>
      </w:pPr>
      <w:bookmarkStart w:id="32" w:name="_Toc39140010"/>
      <w:r w:rsidRPr="00BD537E">
        <w:rPr>
          <w:rStyle w:val="BookTitle"/>
          <w:b/>
          <w:bCs w:val="0"/>
        </w:rPr>
        <w:t>What support would signatories receive in return?</w:t>
      </w:r>
      <w:bookmarkEnd w:id="32"/>
    </w:p>
    <w:p w14:paraId="3D4E6FF7" w14:textId="659E5B39" w:rsidR="003231B0" w:rsidRDefault="003231B0" w:rsidP="003231B0">
      <w:pPr>
        <w:jc w:val="both"/>
        <w:rPr>
          <w:rFonts w:ascii="Arial" w:hAnsi="Arial" w:cs="Arial"/>
          <w:sz w:val="20"/>
          <w:szCs w:val="20"/>
        </w:rPr>
      </w:pPr>
      <w:r w:rsidRPr="003231B0">
        <w:rPr>
          <w:rFonts w:cstheme="minorHAnsi"/>
          <w:sz w:val="24"/>
          <w:szCs w:val="24"/>
        </w:rPr>
        <w:t>Signatories to the Voluntary Commitment Program will receive support from an expert implementation support team</w:t>
      </w:r>
      <w:r w:rsidR="00E4292D">
        <w:rPr>
          <w:rFonts w:cstheme="minorHAnsi"/>
          <w:sz w:val="24"/>
          <w:szCs w:val="24"/>
        </w:rPr>
        <w:t xml:space="preserve"> within the governance entity overseeing the delivery of the national target</w:t>
      </w:r>
      <w:r w:rsidRPr="003231B0">
        <w:rPr>
          <w:rFonts w:cstheme="minorHAnsi"/>
          <w:sz w:val="24"/>
          <w:szCs w:val="24"/>
        </w:rPr>
        <w:t xml:space="preserve">, who will work alongside their own teams to establish the food waste reduction activities that form part of each organisation’s implementation plan. They will also be encouraged to work with relevant state-based and local government programs where these exist. Signatories will also benefit from the research done by others and the tools and resources developed </w:t>
      </w:r>
      <w:r w:rsidR="00E4292D">
        <w:rPr>
          <w:rFonts w:cstheme="minorHAnsi"/>
          <w:sz w:val="24"/>
          <w:szCs w:val="24"/>
        </w:rPr>
        <w:t xml:space="preserve">by the </w:t>
      </w:r>
      <w:r w:rsidR="003411D1">
        <w:rPr>
          <w:rFonts w:cstheme="minorHAnsi"/>
          <w:sz w:val="24"/>
          <w:szCs w:val="24"/>
        </w:rPr>
        <w:t>governance entity</w:t>
      </w:r>
      <w:r w:rsidR="00E4292D">
        <w:rPr>
          <w:rFonts w:cstheme="minorHAnsi"/>
          <w:sz w:val="24"/>
          <w:szCs w:val="24"/>
        </w:rPr>
        <w:t xml:space="preserve"> </w:t>
      </w:r>
      <w:r w:rsidRPr="003231B0">
        <w:rPr>
          <w:rFonts w:cstheme="minorHAnsi"/>
          <w:sz w:val="24"/>
          <w:szCs w:val="24"/>
        </w:rPr>
        <w:t>as part of this pre-competitive program. They are free to mainstream the findings from pilot projects in their own operations and value chains and promote their own efforts and those of partners in the market.</w:t>
      </w:r>
      <w:r>
        <w:rPr>
          <w:rFonts w:ascii="Arial" w:hAnsi="Arial" w:cs="Arial"/>
          <w:sz w:val="20"/>
          <w:szCs w:val="20"/>
        </w:rPr>
        <w:t xml:space="preserve"> </w:t>
      </w:r>
    </w:p>
    <w:p w14:paraId="0427CFC9" w14:textId="42298D30" w:rsidR="00365438" w:rsidRPr="00365438" w:rsidRDefault="00BB7DD5" w:rsidP="003231B0">
      <w:pPr>
        <w:jc w:val="both"/>
        <w:rPr>
          <w:rFonts w:eastAsiaTheme="majorEastAsia" w:cstheme="minorHAnsi"/>
          <w:color w:val="000000" w:themeColor="text1"/>
          <w:sz w:val="24"/>
          <w:szCs w:val="24"/>
        </w:rPr>
      </w:pPr>
      <w:r w:rsidRPr="00BB7DD5">
        <w:rPr>
          <w:rFonts w:cstheme="minorHAnsi"/>
          <w:b/>
          <w:bCs/>
          <w:color w:val="2F5496" w:themeColor="accent1" w:themeShade="BF"/>
          <w:sz w:val="24"/>
          <w:szCs w:val="24"/>
        </w:rPr>
        <w:fldChar w:fldCharType="begin"/>
      </w:r>
      <w:r w:rsidRPr="00BB7DD5">
        <w:rPr>
          <w:rFonts w:cstheme="minorHAnsi"/>
          <w:sz w:val="24"/>
          <w:szCs w:val="24"/>
        </w:rPr>
        <w:instrText xml:space="preserve"> REF _Ref37935122 \h </w:instrText>
      </w:r>
      <w:r w:rsidRPr="00BB7DD5">
        <w:rPr>
          <w:rFonts w:cstheme="minorHAnsi"/>
          <w:b/>
          <w:bCs/>
          <w:color w:val="2F5496" w:themeColor="accent1" w:themeShade="BF"/>
          <w:sz w:val="24"/>
          <w:szCs w:val="24"/>
        </w:rPr>
        <w:instrText xml:space="preserve"> \* MERGEFORMAT </w:instrText>
      </w:r>
      <w:r w:rsidRPr="00BB7DD5">
        <w:rPr>
          <w:rFonts w:cstheme="minorHAnsi"/>
          <w:b/>
          <w:bCs/>
          <w:color w:val="2F5496" w:themeColor="accent1" w:themeShade="BF"/>
          <w:sz w:val="24"/>
          <w:szCs w:val="24"/>
        </w:rPr>
      </w:r>
      <w:r w:rsidRPr="00BB7DD5">
        <w:rPr>
          <w:rFonts w:cstheme="minorHAnsi"/>
          <w:b/>
          <w:bCs/>
          <w:color w:val="2F5496" w:themeColor="accent1" w:themeShade="BF"/>
          <w:sz w:val="24"/>
          <w:szCs w:val="24"/>
        </w:rPr>
        <w:fldChar w:fldCharType="separate"/>
      </w:r>
      <w:r w:rsidRPr="00BB7DD5">
        <w:rPr>
          <w:b/>
          <w:bCs/>
          <w:color w:val="2F5496" w:themeColor="accent1" w:themeShade="BF"/>
          <w:sz w:val="24"/>
          <w:szCs w:val="24"/>
        </w:rPr>
        <w:t xml:space="preserve">Table </w:t>
      </w:r>
      <w:r w:rsidRPr="00BB7DD5">
        <w:rPr>
          <w:b/>
          <w:bCs/>
          <w:noProof/>
          <w:color w:val="2F5496" w:themeColor="accent1" w:themeShade="BF"/>
          <w:sz w:val="24"/>
          <w:szCs w:val="24"/>
        </w:rPr>
        <w:t>3</w:t>
      </w:r>
      <w:r w:rsidRPr="00BB7DD5">
        <w:rPr>
          <w:rFonts w:cstheme="minorHAnsi"/>
          <w:b/>
          <w:bCs/>
          <w:color w:val="2F5496" w:themeColor="accent1" w:themeShade="BF"/>
          <w:sz w:val="24"/>
          <w:szCs w:val="24"/>
        </w:rPr>
        <w:fldChar w:fldCharType="end"/>
      </w:r>
      <w:r>
        <w:rPr>
          <w:rFonts w:cstheme="minorHAnsi"/>
          <w:b/>
          <w:bCs/>
          <w:color w:val="2F5496" w:themeColor="accent1" w:themeShade="BF"/>
          <w:sz w:val="24"/>
          <w:szCs w:val="24"/>
        </w:rPr>
        <w:t xml:space="preserve"> </w:t>
      </w:r>
      <w:r w:rsidR="00365438" w:rsidRPr="00365438">
        <w:rPr>
          <w:rFonts w:cstheme="minorHAnsi"/>
          <w:sz w:val="24"/>
          <w:szCs w:val="24"/>
        </w:rPr>
        <w:t xml:space="preserve">below provides additional </w:t>
      </w:r>
      <w:r w:rsidR="00365438">
        <w:rPr>
          <w:rFonts w:cstheme="minorHAnsi"/>
          <w:sz w:val="24"/>
          <w:szCs w:val="24"/>
        </w:rPr>
        <w:t xml:space="preserve">information on the </w:t>
      </w:r>
      <w:r w:rsidR="00757D52">
        <w:rPr>
          <w:rFonts w:cstheme="minorHAnsi"/>
          <w:sz w:val="24"/>
          <w:szCs w:val="24"/>
        </w:rPr>
        <w:t>range of</w:t>
      </w:r>
      <w:r w:rsidR="00365438">
        <w:rPr>
          <w:rFonts w:cstheme="minorHAnsi"/>
          <w:sz w:val="24"/>
          <w:szCs w:val="24"/>
        </w:rPr>
        <w:t xml:space="preserve"> support </w:t>
      </w:r>
      <w:r w:rsidR="00757D52">
        <w:rPr>
          <w:rFonts w:cstheme="minorHAnsi"/>
          <w:sz w:val="24"/>
          <w:szCs w:val="24"/>
        </w:rPr>
        <w:t xml:space="preserve">that organisations joining </w:t>
      </w:r>
      <w:r w:rsidR="00365438">
        <w:rPr>
          <w:rFonts w:cstheme="minorHAnsi"/>
          <w:sz w:val="24"/>
          <w:szCs w:val="24"/>
        </w:rPr>
        <w:t>the voluntary commitment program</w:t>
      </w:r>
      <w:r w:rsidR="00757D52">
        <w:rPr>
          <w:rFonts w:cstheme="minorHAnsi"/>
          <w:sz w:val="24"/>
          <w:szCs w:val="24"/>
        </w:rPr>
        <w:t xml:space="preserve"> could expect to receive</w:t>
      </w:r>
      <w:r w:rsidR="00365438">
        <w:rPr>
          <w:rFonts w:cstheme="minorHAnsi"/>
          <w:sz w:val="24"/>
          <w:szCs w:val="24"/>
        </w:rPr>
        <w:t>.</w:t>
      </w:r>
    </w:p>
    <w:p w14:paraId="738E1698" w14:textId="7ACB260D" w:rsidR="00262A58" w:rsidRDefault="0042532E" w:rsidP="00517D78">
      <w:pPr>
        <w:jc w:val="both"/>
        <w:rPr>
          <w:rFonts w:cstheme="minorHAnsi"/>
          <w:sz w:val="24"/>
          <w:szCs w:val="24"/>
        </w:rPr>
      </w:pPr>
      <w:r w:rsidRPr="0042532E">
        <w:rPr>
          <w:rFonts w:cstheme="minorHAnsi"/>
          <w:b/>
          <w:bCs/>
          <w:color w:val="2F5496" w:themeColor="accent1" w:themeShade="BF"/>
          <w:sz w:val="24"/>
          <w:szCs w:val="24"/>
        </w:rPr>
        <w:fldChar w:fldCharType="begin"/>
      </w:r>
      <w:r w:rsidRPr="0042532E">
        <w:rPr>
          <w:rFonts w:cstheme="minorHAnsi"/>
          <w:sz w:val="24"/>
          <w:szCs w:val="24"/>
        </w:rPr>
        <w:instrText xml:space="preserve"> REF _Ref37935267 \h </w:instrText>
      </w:r>
      <w:r>
        <w:rPr>
          <w:rFonts w:cstheme="minorHAnsi"/>
          <w:b/>
          <w:bCs/>
          <w:color w:val="2F5496" w:themeColor="accent1" w:themeShade="BF"/>
          <w:sz w:val="24"/>
          <w:szCs w:val="24"/>
        </w:rPr>
        <w:instrText xml:space="preserve"> \* MERGEFORMAT </w:instrText>
      </w:r>
      <w:r w:rsidRPr="0042532E">
        <w:rPr>
          <w:rFonts w:cstheme="minorHAnsi"/>
          <w:b/>
          <w:bCs/>
          <w:color w:val="2F5496" w:themeColor="accent1" w:themeShade="BF"/>
          <w:sz w:val="24"/>
          <w:szCs w:val="24"/>
        </w:rPr>
      </w:r>
      <w:r w:rsidRPr="0042532E">
        <w:rPr>
          <w:rFonts w:cstheme="minorHAnsi"/>
          <w:b/>
          <w:bCs/>
          <w:color w:val="2F5496" w:themeColor="accent1" w:themeShade="BF"/>
          <w:sz w:val="24"/>
          <w:szCs w:val="24"/>
        </w:rPr>
        <w:fldChar w:fldCharType="separate"/>
      </w:r>
      <w:r w:rsidRPr="0042532E">
        <w:rPr>
          <w:rFonts w:cstheme="minorHAnsi"/>
          <w:b/>
          <w:bCs/>
          <w:color w:val="2F5496" w:themeColor="accent1" w:themeShade="BF"/>
          <w:sz w:val="24"/>
          <w:szCs w:val="24"/>
        </w:rPr>
        <w:t xml:space="preserve">Figure </w:t>
      </w:r>
      <w:r w:rsidRPr="0042532E">
        <w:rPr>
          <w:b/>
          <w:bCs/>
          <w:noProof/>
          <w:color w:val="2F5496" w:themeColor="accent1" w:themeShade="BF"/>
          <w:sz w:val="24"/>
          <w:szCs w:val="24"/>
        </w:rPr>
        <w:t>10</w:t>
      </w:r>
      <w:r w:rsidRPr="0042532E">
        <w:rPr>
          <w:rFonts w:cstheme="minorHAnsi"/>
          <w:b/>
          <w:bCs/>
          <w:color w:val="2F5496" w:themeColor="accent1" w:themeShade="BF"/>
          <w:sz w:val="24"/>
          <w:szCs w:val="24"/>
        </w:rPr>
        <w:fldChar w:fldCharType="end"/>
      </w:r>
      <w:r>
        <w:rPr>
          <w:rFonts w:cstheme="minorHAnsi"/>
          <w:b/>
          <w:bCs/>
          <w:color w:val="2F5496" w:themeColor="accent1" w:themeShade="BF"/>
          <w:sz w:val="24"/>
          <w:szCs w:val="24"/>
        </w:rPr>
        <w:t xml:space="preserve"> </w:t>
      </w:r>
      <w:r w:rsidR="00517D78">
        <w:rPr>
          <w:rFonts w:cstheme="minorHAnsi"/>
          <w:sz w:val="24"/>
          <w:szCs w:val="24"/>
        </w:rPr>
        <w:t>below illustrates the ‘give and take’ of the voluntary commitment program, drawing on the illustrative examples of signatory’s commitments and the support that organisations joining the voluntary commitment program can expect to receive.</w:t>
      </w:r>
    </w:p>
    <w:p w14:paraId="4F9C2731" w14:textId="77777777" w:rsidR="004C07F2" w:rsidRDefault="004C07F2" w:rsidP="004C07F2">
      <w:pPr>
        <w:rPr>
          <w:rFonts w:cstheme="minorHAnsi"/>
          <w:sz w:val="24"/>
          <w:szCs w:val="24"/>
        </w:rPr>
      </w:pPr>
    </w:p>
    <w:p w14:paraId="52ED7F58" w14:textId="77777777" w:rsidR="004C07F2" w:rsidRDefault="004C07F2" w:rsidP="004C07F2">
      <w:pPr>
        <w:rPr>
          <w:rFonts w:cstheme="minorHAnsi"/>
          <w:sz w:val="24"/>
          <w:szCs w:val="24"/>
        </w:rPr>
      </w:pPr>
    </w:p>
    <w:p w14:paraId="613E951E" w14:textId="34985479" w:rsidR="004C07F2" w:rsidRPr="004C07F2" w:rsidRDefault="004C07F2" w:rsidP="004C07F2">
      <w:pPr>
        <w:rPr>
          <w:rFonts w:cstheme="minorHAnsi"/>
          <w:sz w:val="24"/>
          <w:szCs w:val="24"/>
        </w:rPr>
        <w:sectPr w:rsidR="004C07F2" w:rsidRPr="004C07F2">
          <w:headerReference w:type="default" r:id="rId36"/>
          <w:pgSz w:w="11906" w:h="16838"/>
          <w:pgMar w:top="1440" w:right="1440" w:bottom="1440" w:left="1440" w:header="708" w:footer="708" w:gutter="0"/>
          <w:cols w:space="708"/>
          <w:docGrid w:linePitch="360"/>
        </w:sectPr>
      </w:pPr>
    </w:p>
    <w:p w14:paraId="328DB389" w14:textId="05893004" w:rsidR="00757D52" w:rsidRPr="00BB7DD5" w:rsidRDefault="00BB7DD5" w:rsidP="00BB7DD5">
      <w:pPr>
        <w:pStyle w:val="Caption"/>
        <w:keepNext/>
        <w:rPr>
          <w:i w:val="0"/>
          <w:iCs w:val="0"/>
          <w:sz w:val="20"/>
          <w:szCs w:val="20"/>
        </w:rPr>
      </w:pPr>
      <w:bookmarkStart w:id="33" w:name="_Ref37935122"/>
      <w:r w:rsidRPr="00BB7DD5">
        <w:rPr>
          <w:b/>
          <w:bCs/>
          <w:i w:val="0"/>
          <w:iCs w:val="0"/>
          <w:color w:val="2F5496" w:themeColor="accent1" w:themeShade="BF"/>
          <w:sz w:val="20"/>
          <w:szCs w:val="20"/>
        </w:rPr>
        <w:lastRenderedPageBreak/>
        <w:t xml:space="preserve">Table </w:t>
      </w:r>
      <w:r w:rsidRPr="00BB7DD5">
        <w:rPr>
          <w:b/>
          <w:bCs/>
          <w:i w:val="0"/>
          <w:iCs w:val="0"/>
          <w:color w:val="2F5496" w:themeColor="accent1" w:themeShade="BF"/>
          <w:sz w:val="20"/>
          <w:szCs w:val="20"/>
        </w:rPr>
        <w:fldChar w:fldCharType="begin"/>
      </w:r>
      <w:r w:rsidRPr="00BB7DD5">
        <w:rPr>
          <w:b/>
          <w:bCs/>
          <w:i w:val="0"/>
          <w:iCs w:val="0"/>
          <w:color w:val="2F5496" w:themeColor="accent1" w:themeShade="BF"/>
          <w:sz w:val="20"/>
          <w:szCs w:val="20"/>
        </w:rPr>
        <w:instrText xml:space="preserve"> SEQ Table \* ARABIC </w:instrText>
      </w:r>
      <w:r w:rsidRPr="00BB7DD5">
        <w:rPr>
          <w:b/>
          <w:bCs/>
          <w:i w:val="0"/>
          <w:iCs w:val="0"/>
          <w:color w:val="2F5496" w:themeColor="accent1" w:themeShade="BF"/>
          <w:sz w:val="20"/>
          <w:szCs w:val="20"/>
        </w:rPr>
        <w:fldChar w:fldCharType="separate"/>
      </w:r>
      <w:r w:rsidR="0076147C">
        <w:rPr>
          <w:b/>
          <w:bCs/>
          <w:i w:val="0"/>
          <w:iCs w:val="0"/>
          <w:noProof/>
          <w:color w:val="2F5496" w:themeColor="accent1" w:themeShade="BF"/>
          <w:sz w:val="20"/>
          <w:szCs w:val="20"/>
        </w:rPr>
        <w:t>3</w:t>
      </w:r>
      <w:r w:rsidRPr="00BB7DD5">
        <w:rPr>
          <w:b/>
          <w:bCs/>
          <w:i w:val="0"/>
          <w:iCs w:val="0"/>
          <w:color w:val="2F5496" w:themeColor="accent1" w:themeShade="BF"/>
          <w:sz w:val="20"/>
          <w:szCs w:val="20"/>
        </w:rPr>
        <w:fldChar w:fldCharType="end"/>
      </w:r>
      <w:bookmarkEnd w:id="33"/>
      <w:r w:rsidR="00262A58" w:rsidRPr="00BB7DD5">
        <w:rPr>
          <w:rFonts w:cstheme="minorHAnsi"/>
          <w:b/>
          <w:bCs/>
          <w:i w:val="0"/>
          <w:iCs w:val="0"/>
          <w:sz w:val="20"/>
          <w:szCs w:val="20"/>
        </w:rPr>
        <w:t>:</w:t>
      </w:r>
      <w:r w:rsidR="00262A58" w:rsidRPr="00BB7DD5">
        <w:rPr>
          <w:rFonts w:cstheme="minorHAnsi"/>
          <w:i w:val="0"/>
          <w:iCs w:val="0"/>
          <w:sz w:val="20"/>
          <w:szCs w:val="20"/>
        </w:rPr>
        <w:t xml:space="preserve">  Examples of the type of support available to organisations joining the voluntary commitment program</w:t>
      </w:r>
    </w:p>
    <w:tbl>
      <w:tblPr>
        <w:tblStyle w:val="GridTable4-Accent1"/>
        <w:tblW w:w="0" w:type="auto"/>
        <w:tblLook w:val="04A0" w:firstRow="1" w:lastRow="0" w:firstColumn="1" w:lastColumn="0" w:noHBand="0" w:noVBand="1"/>
      </w:tblPr>
      <w:tblGrid>
        <w:gridCol w:w="2547"/>
        <w:gridCol w:w="11401"/>
      </w:tblGrid>
      <w:tr w:rsidR="00757D52" w:rsidRPr="00703C10" w14:paraId="075F00A2" w14:textId="77777777" w:rsidTr="00C92E4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7" w:type="dxa"/>
          </w:tcPr>
          <w:p w14:paraId="27236263" w14:textId="33118B0F" w:rsidR="00757D52" w:rsidRPr="00703C10" w:rsidRDefault="00703C10" w:rsidP="00703C10">
            <w:pPr>
              <w:spacing w:before="80" w:after="80"/>
              <w:rPr>
                <w:rFonts w:cstheme="minorHAnsi"/>
                <w:sz w:val="24"/>
                <w:szCs w:val="24"/>
              </w:rPr>
            </w:pPr>
            <w:r w:rsidRPr="00703C10">
              <w:rPr>
                <w:rFonts w:cstheme="minorHAnsi"/>
                <w:sz w:val="24"/>
                <w:szCs w:val="24"/>
              </w:rPr>
              <w:t xml:space="preserve">Stages in the voluntary commitment </w:t>
            </w:r>
            <w:r w:rsidR="00FA5539">
              <w:rPr>
                <w:rFonts w:cstheme="minorHAnsi"/>
                <w:sz w:val="24"/>
                <w:szCs w:val="24"/>
              </w:rPr>
              <w:t>process</w:t>
            </w:r>
          </w:p>
        </w:tc>
        <w:tc>
          <w:tcPr>
            <w:tcW w:w="11401" w:type="dxa"/>
          </w:tcPr>
          <w:p w14:paraId="1382435D" w14:textId="7232959B" w:rsidR="00757D52" w:rsidRPr="00703C10" w:rsidRDefault="0015148F" w:rsidP="00703C10">
            <w:pPr>
              <w:spacing w:before="80" w:after="80"/>
              <w:cnfStyle w:val="100000000000" w:firstRow="1"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Examples of support available to organisations joining the voluntary commitment program</w:t>
            </w:r>
          </w:p>
        </w:tc>
      </w:tr>
      <w:tr w:rsidR="00757D52" w14:paraId="301C1825" w14:textId="77777777" w:rsidTr="00C92E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2A80304" w14:textId="44B7D467" w:rsidR="00757D52" w:rsidRPr="003411D1" w:rsidRDefault="00703C10" w:rsidP="003231B0">
            <w:pPr>
              <w:rPr>
                <w:rFonts w:cstheme="minorHAnsi"/>
                <w:b w:val="0"/>
                <w:bCs w:val="0"/>
                <w:sz w:val="24"/>
                <w:szCs w:val="24"/>
              </w:rPr>
            </w:pPr>
            <w:r w:rsidRPr="003411D1">
              <w:rPr>
                <w:rFonts w:cstheme="minorHAnsi"/>
                <w:b w:val="0"/>
                <w:bCs w:val="0"/>
                <w:sz w:val="24"/>
                <w:szCs w:val="24"/>
              </w:rPr>
              <w:t>Engagement and recruitment</w:t>
            </w:r>
          </w:p>
        </w:tc>
        <w:tc>
          <w:tcPr>
            <w:tcW w:w="11401" w:type="dxa"/>
          </w:tcPr>
          <w:p w14:paraId="6C3693A3" w14:textId="11F0F367" w:rsidR="00757D52" w:rsidRDefault="00D2047A" w:rsidP="00F2143E">
            <w:pPr>
              <w:pStyle w:val="ListParagraph"/>
              <w:numPr>
                <w:ilvl w:val="0"/>
                <w:numId w:val="16"/>
              </w:numPr>
              <w:ind w:left="322" w:hanging="283"/>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Face-to-face briefings and presentations through peak industry bodies,</w:t>
            </w:r>
            <w:r w:rsidR="00FA5539">
              <w:rPr>
                <w:rFonts w:cstheme="minorHAnsi"/>
                <w:sz w:val="24"/>
                <w:szCs w:val="24"/>
              </w:rPr>
              <w:t xml:space="preserve"> or directly to</w:t>
            </w:r>
            <w:r>
              <w:rPr>
                <w:rFonts w:cstheme="minorHAnsi"/>
                <w:sz w:val="24"/>
                <w:szCs w:val="24"/>
              </w:rPr>
              <w:t xml:space="preserve"> </w:t>
            </w:r>
            <w:r w:rsidR="00FA5539">
              <w:rPr>
                <w:rFonts w:cstheme="minorHAnsi"/>
                <w:sz w:val="24"/>
                <w:szCs w:val="24"/>
              </w:rPr>
              <w:t>prospective signatory’s</w:t>
            </w:r>
            <w:r>
              <w:rPr>
                <w:rFonts w:cstheme="minorHAnsi"/>
                <w:sz w:val="24"/>
                <w:szCs w:val="24"/>
              </w:rPr>
              <w:t xml:space="preserve"> operational teams and senior decision-makers</w:t>
            </w:r>
          </w:p>
          <w:p w14:paraId="60C9C9BF" w14:textId="43DA361E" w:rsidR="00D2047A" w:rsidRDefault="00D2047A" w:rsidP="00F2143E">
            <w:pPr>
              <w:pStyle w:val="ListParagraph"/>
              <w:numPr>
                <w:ilvl w:val="0"/>
                <w:numId w:val="16"/>
              </w:numPr>
              <w:ind w:left="322" w:hanging="283"/>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 xml:space="preserve">Supporting </w:t>
            </w:r>
            <w:r w:rsidR="004223C7">
              <w:rPr>
                <w:rFonts w:cstheme="minorHAnsi"/>
                <w:sz w:val="24"/>
                <w:szCs w:val="24"/>
              </w:rPr>
              <w:t xml:space="preserve">individual </w:t>
            </w:r>
            <w:r>
              <w:rPr>
                <w:rFonts w:cstheme="minorHAnsi"/>
                <w:sz w:val="24"/>
                <w:szCs w:val="24"/>
              </w:rPr>
              <w:t>business case development</w:t>
            </w:r>
            <w:r w:rsidR="004223C7">
              <w:rPr>
                <w:rFonts w:cstheme="minorHAnsi"/>
                <w:sz w:val="24"/>
                <w:szCs w:val="24"/>
              </w:rPr>
              <w:t xml:space="preserve"> (where required)</w:t>
            </w:r>
          </w:p>
          <w:p w14:paraId="6288AB2F" w14:textId="199205B0" w:rsidR="004223C7" w:rsidRPr="00D2047A" w:rsidRDefault="004223C7" w:rsidP="00F2143E">
            <w:pPr>
              <w:pStyle w:val="ListParagraph"/>
              <w:numPr>
                <w:ilvl w:val="0"/>
                <w:numId w:val="16"/>
              </w:numPr>
              <w:spacing w:after="80"/>
              <w:ind w:left="324" w:hanging="284"/>
              <w:contextualSpacing w:val="0"/>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Provision of recruitment pack, template commitment letters</w:t>
            </w:r>
            <w:r w:rsidR="00FA5539">
              <w:rPr>
                <w:rFonts w:cstheme="minorHAnsi"/>
                <w:sz w:val="24"/>
                <w:szCs w:val="24"/>
              </w:rPr>
              <w:t xml:space="preserve"> and</w:t>
            </w:r>
            <w:r>
              <w:rPr>
                <w:rFonts w:cstheme="minorHAnsi"/>
                <w:sz w:val="24"/>
                <w:szCs w:val="24"/>
              </w:rPr>
              <w:t xml:space="preserve"> press releases</w:t>
            </w:r>
            <w:r w:rsidR="00FA5539">
              <w:rPr>
                <w:rFonts w:cstheme="minorHAnsi"/>
                <w:sz w:val="24"/>
                <w:szCs w:val="24"/>
              </w:rPr>
              <w:t>, etc.</w:t>
            </w:r>
          </w:p>
        </w:tc>
      </w:tr>
      <w:tr w:rsidR="00757D52" w14:paraId="5622B5EB" w14:textId="77777777" w:rsidTr="00C92E46">
        <w:tc>
          <w:tcPr>
            <w:cnfStyle w:val="001000000000" w:firstRow="0" w:lastRow="0" w:firstColumn="1" w:lastColumn="0" w:oddVBand="0" w:evenVBand="0" w:oddHBand="0" w:evenHBand="0" w:firstRowFirstColumn="0" w:firstRowLastColumn="0" w:lastRowFirstColumn="0" w:lastRowLastColumn="0"/>
            <w:tcW w:w="2547" w:type="dxa"/>
          </w:tcPr>
          <w:p w14:paraId="40D716C3" w14:textId="1C439329" w:rsidR="00757D52" w:rsidRPr="003411D1" w:rsidRDefault="00D2047A" w:rsidP="003231B0">
            <w:pPr>
              <w:rPr>
                <w:rFonts w:cstheme="minorHAnsi"/>
                <w:b w:val="0"/>
                <w:bCs w:val="0"/>
                <w:sz w:val="24"/>
                <w:szCs w:val="24"/>
              </w:rPr>
            </w:pPr>
            <w:r w:rsidRPr="003411D1">
              <w:rPr>
                <w:rFonts w:cstheme="minorHAnsi"/>
                <w:b w:val="0"/>
                <w:bCs w:val="0"/>
                <w:sz w:val="24"/>
                <w:szCs w:val="24"/>
              </w:rPr>
              <w:t>Key account management</w:t>
            </w:r>
          </w:p>
        </w:tc>
        <w:tc>
          <w:tcPr>
            <w:tcW w:w="11401" w:type="dxa"/>
          </w:tcPr>
          <w:p w14:paraId="257A7F2F" w14:textId="7518B24F" w:rsidR="00757D52" w:rsidRDefault="00C9245E" w:rsidP="00F2143E">
            <w:pPr>
              <w:pStyle w:val="ListParagraph"/>
              <w:numPr>
                <w:ilvl w:val="0"/>
                <w:numId w:val="17"/>
              </w:numPr>
              <w:ind w:left="322" w:hanging="283"/>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A designated f</w:t>
            </w:r>
            <w:r w:rsidR="004223C7">
              <w:rPr>
                <w:rFonts w:cstheme="minorHAnsi"/>
                <w:sz w:val="24"/>
                <w:szCs w:val="24"/>
              </w:rPr>
              <w:t>ocal point of contact with the VCP delivery team, conduit to delivery team expertise and specialist external expertise if required</w:t>
            </w:r>
          </w:p>
          <w:p w14:paraId="26F1E233" w14:textId="100C9C01" w:rsidR="004223C7" w:rsidRDefault="004223C7" w:rsidP="00F2143E">
            <w:pPr>
              <w:pStyle w:val="ListParagraph"/>
              <w:numPr>
                <w:ilvl w:val="0"/>
                <w:numId w:val="17"/>
              </w:numPr>
              <w:ind w:left="322" w:hanging="283"/>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Scheduling of regular meetings, helps to coordinate internal teams</w:t>
            </w:r>
            <w:r w:rsidR="00C9245E">
              <w:rPr>
                <w:rFonts w:cstheme="minorHAnsi"/>
                <w:sz w:val="24"/>
                <w:szCs w:val="24"/>
              </w:rPr>
              <w:t xml:space="preserve"> and projects where required</w:t>
            </w:r>
          </w:p>
          <w:p w14:paraId="74F285DB" w14:textId="1ED7499E" w:rsidR="00E86758" w:rsidRPr="00E86758" w:rsidRDefault="004223C7" w:rsidP="00F2143E">
            <w:pPr>
              <w:pStyle w:val="ListParagraph"/>
              <w:numPr>
                <w:ilvl w:val="0"/>
                <w:numId w:val="17"/>
              </w:numPr>
              <w:ind w:left="322" w:hanging="283"/>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Highlights potential research projects and piloting activities of interest to signatory</w:t>
            </w:r>
          </w:p>
          <w:p w14:paraId="16911015" w14:textId="0B94ED27" w:rsidR="004223C7" w:rsidRPr="004223C7" w:rsidRDefault="004223C7" w:rsidP="00F2143E">
            <w:pPr>
              <w:pStyle w:val="ListParagraph"/>
              <w:numPr>
                <w:ilvl w:val="0"/>
                <w:numId w:val="17"/>
              </w:numPr>
              <w:spacing w:after="80"/>
              <w:ind w:left="324" w:hanging="284"/>
              <w:contextualSpacing w:val="0"/>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 xml:space="preserve">Manages reviews, approvals and signatory feedback on </w:t>
            </w:r>
            <w:r w:rsidR="00E86758">
              <w:rPr>
                <w:rFonts w:cstheme="minorHAnsi"/>
                <w:sz w:val="24"/>
                <w:szCs w:val="24"/>
              </w:rPr>
              <w:t xml:space="preserve">implementation plans, </w:t>
            </w:r>
            <w:r w:rsidR="00B856C6">
              <w:rPr>
                <w:rFonts w:cstheme="minorHAnsi"/>
                <w:sz w:val="24"/>
                <w:szCs w:val="24"/>
              </w:rPr>
              <w:t xml:space="preserve">VCP projects and pilots, </w:t>
            </w:r>
            <w:r>
              <w:rPr>
                <w:rFonts w:cstheme="minorHAnsi"/>
                <w:sz w:val="24"/>
                <w:szCs w:val="24"/>
              </w:rPr>
              <w:t>research reports, press releases,</w:t>
            </w:r>
            <w:r w:rsidR="00E86758">
              <w:rPr>
                <w:rFonts w:cstheme="minorHAnsi"/>
                <w:sz w:val="24"/>
                <w:szCs w:val="24"/>
              </w:rPr>
              <w:t xml:space="preserve"> annual progress reports,</w:t>
            </w:r>
            <w:r>
              <w:rPr>
                <w:rFonts w:cstheme="minorHAnsi"/>
                <w:sz w:val="24"/>
                <w:szCs w:val="24"/>
              </w:rPr>
              <w:t xml:space="preserve"> case studies, etc.</w:t>
            </w:r>
          </w:p>
        </w:tc>
      </w:tr>
      <w:tr w:rsidR="00757D52" w14:paraId="723233CC" w14:textId="77777777" w:rsidTr="00C92E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CA9CC5F" w14:textId="4EB146C7" w:rsidR="00757D52" w:rsidRPr="003411D1" w:rsidRDefault="00D2047A" w:rsidP="003231B0">
            <w:pPr>
              <w:rPr>
                <w:rFonts w:cstheme="minorHAnsi"/>
                <w:b w:val="0"/>
                <w:bCs w:val="0"/>
                <w:sz w:val="24"/>
                <w:szCs w:val="24"/>
              </w:rPr>
            </w:pPr>
            <w:r w:rsidRPr="003411D1">
              <w:rPr>
                <w:rFonts w:cstheme="minorHAnsi"/>
                <w:b w:val="0"/>
                <w:bCs w:val="0"/>
                <w:sz w:val="24"/>
                <w:szCs w:val="24"/>
              </w:rPr>
              <w:t>Implementation planning</w:t>
            </w:r>
          </w:p>
        </w:tc>
        <w:tc>
          <w:tcPr>
            <w:tcW w:w="11401" w:type="dxa"/>
          </w:tcPr>
          <w:p w14:paraId="110ECCBC" w14:textId="4B962596" w:rsidR="00E86758" w:rsidRDefault="00E86758" w:rsidP="00F2143E">
            <w:pPr>
              <w:pStyle w:val="ListParagraph"/>
              <w:numPr>
                <w:ilvl w:val="0"/>
                <w:numId w:val="18"/>
              </w:numPr>
              <w:ind w:left="322" w:hanging="283"/>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Provision of implementation plan template and briefings on how to start and complete the process</w:t>
            </w:r>
          </w:p>
          <w:p w14:paraId="342C3382" w14:textId="67A8EF00" w:rsidR="004223C7" w:rsidRDefault="00FA5539" w:rsidP="00F2143E">
            <w:pPr>
              <w:pStyle w:val="ListParagraph"/>
              <w:numPr>
                <w:ilvl w:val="0"/>
                <w:numId w:val="18"/>
              </w:numPr>
              <w:ind w:left="322" w:hanging="283"/>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Support and facilitate</w:t>
            </w:r>
            <w:r w:rsidR="004223C7">
              <w:rPr>
                <w:rFonts w:cstheme="minorHAnsi"/>
                <w:sz w:val="24"/>
                <w:szCs w:val="24"/>
              </w:rPr>
              <w:t xml:space="preserve"> internal and external stakeholder engagement</w:t>
            </w:r>
            <w:r w:rsidR="0015148F">
              <w:rPr>
                <w:rFonts w:cstheme="minorHAnsi"/>
                <w:sz w:val="24"/>
                <w:szCs w:val="24"/>
              </w:rPr>
              <w:t xml:space="preserve"> and help to identify </w:t>
            </w:r>
            <w:r>
              <w:rPr>
                <w:rFonts w:cstheme="minorHAnsi"/>
                <w:sz w:val="24"/>
                <w:szCs w:val="24"/>
              </w:rPr>
              <w:t>signatory priorities</w:t>
            </w:r>
            <w:r w:rsidR="00E86758">
              <w:rPr>
                <w:rFonts w:cstheme="minorHAnsi"/>
                <w:sz w:val="24"/>
                <w:szCs w:val="24"/>
              </w:rPr>
              <w:t>, existing activities</w:t>
            </w:r>
            <w:r>
              <w:rPr>
                <w:rFonts w:cstheme="minorHAnsi"/>
                <w:sz w:val="24"/>
                <w:szCs w:val="24"/>
              </w:rPr>
              <w:t xml:space="preserve"> and </w:t>
            </w:r>
            <w:r w:rsidR="0015148F">
              <w:rPr>
                <w:rFonts w:cstheme="minorHAnsi"/>
                <w:sz w:val="24"/>
                <w:szCs w:val="24"/>
              </w:rPr>
              <w:t>pre-competitive collaboration opportunities</w:t>
            </w:r>
            <w:r>
              <w:rPr>
                <w:rFonts w:cstheme="minorHAnsi"/>
                <w:sz w:val="24"/>
                <w:szCs w:val="24"/>
              </w:rPr>
              <w:t xml:space="preserve"> (e.g. through workshops and webinars)</w:t>
            </w:r>
          </w:p>
          <w:p w14:paraId="56E5B169" w14:textId="66BD637F" w:rsidR="00EC4D87" w:rsidRDefault="00EC4D87" w:rsidP="00F2143E">
            <w:pPr>
              <w:pStyle w:val="ListParagraph"/>
              <w:numPr>
                <w:ilvl w:val="0"/>
                <w:numId w:val="18"/>
              </w:numPr>
              <w:ind w:left="322" w:hanging="283"/>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Help to identify existing external initiatives (e.g. industry and State-based initiatives, Love Food, Hate Waste campaign) that could be incorporated into signatory’s implementation plans</w:t>
            </w:r>
          </w:p>
          <w:p w14:paraId="6F305D40" w14:textId="0C8316E4" w:rsidR="00757D52" w:rsidRDefault="004223C7" w:rsidP="00F2143E">
            <w:pPr>
              <w:pStyle w:val="ListParagraph"/>
              <w:numPr>
                <w:ilvl w:val="0"/>
                <w:numId w:val="18"/>
              </w:numPr>
              <w:ind w:left="322" w:hanging="283"/>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 xml:space="preserve">Help to identify initial range of projects and activities </w:t>
            </w:r>
            <w:r w:rsidR="00E86758">
              <w:rPr>
                <w:rFonts w:cstheme="minorHAnsi"/>
                <w:sz w:val="24"/>
                <w:szCs w:val="24"/>
              </w:rPr>
              <w:t xml:space="preserve">(and their likely impact) </w:t>
            </w:r>
            <w:r w:rsidR="0015148F">
              <w:rPr>
                <w:rFonts w:cstheme="minorHAnsi"/>
                <w:sz w:val="24"/>
                <w:szCs w:val="24"/>
              </w:rPr>
              <w:t xml:space="preserve">that </w:t>
            </w:r>
            <w:r w:rsidR="00E86758">
              <w:rPr>
                <w:rFonts w:cstheme="minorHAnsi"/>
                <w:sz w:val="24"/>
                <w:szCs w:val="24"/>
              </w:rPr>
              <w:t xml:space="preserve">form the basis for the implementation plan and that </w:t>
            </w:r>
            <w:r w:rsidR="0015148F">
              <w:rPr>
                <w:rFonts w:cstheme="minorHAnsi"/>
                <w:sz w:val="24"/>
                <w:szCs w:val="24"/>
              </w:rPr>
              <w:t>contribute to the national target to halve food waste by 2030</w:t>
            </w:r>
          </w:p>
          <w:p w14:paraId="6911FD60" w14:textId="26167205" w:rsidR="00E86758" w:rsidRPr="004223C7" w:rsidRDefault="00EC4D87" w:rsidP="00F2143E">
            <w:pPr>
              <w:pStyle w:val="ListParagraph"/>
              <w:numPr>
                <w:ilvl w:val="0"/>
                <w:numId w:val="18"/>
              </w:numPr>
              <w:spacing w:after="80"/>
              <w:ind w:left="324" w:hanging="284"/>
              <w:contextualSpacing w:val="0"/>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Finalising content, securing approval and agreement and communicating the plan to signatory teams</w:t>
            </w:r>
          </w:p>
        </w:tc>
      </w:tr>
      <w:tr w:rsidR="00757D52" w14:paraId="54849609" w14:textId="77777777" w:rsidTr="00C92E46">
        <w:tc>
          <w:tcPr>
            <w:cnfStyle w:val="001000000000" w:firstRow="0" w:lastRow="0" w:firstColumn="1" w:lastColumn="0" w:oddVBand="0" w:evenVBand="0" w:oddHBand="0" w:evenHBand="0" w:firstRowFirstColumn="0" w:firstRowLastColumn="0" w:lastRowFirstColumn="0" w:lastRowLastColumn="0"/>
            <w:tcW w:w="2547" w:type="dxa"/>
          </w:tcPr>
          <w:p w14:paraId="0AFA16D8" w14:textId="65E7271A" w:rsidR="00757D52" w:rsidRPr="003411D1" w:rsidRDefault="00D2047A" w:rsidP="003231B0">
            <w:pPr>
              <w:rPr>
                <w:rFonts w:cstheme="minorHAnsi"/>
                <w:b w:val="0"/>
                <w:bCs w:val="0"/>
                <w:sz w:val="24"/>
                <w:szCs w:val="24"/>
              </w:rPr>
            </w:pPr>
            <w:r w:rsidRPr="003411D1">
              <w:rPr>
                <w:rFonts w:cstheme="minorHAnsi"/>
                <w:b w:val="0"/>
                <w:bCs w:val="0"/>
                <w:sz w:val="24"/>
                <w:szCs w:val="24"/>
              </w:rPr>
              <w:t>Quantification, baselining and target-setting</w:t>
            </w:r>
            <w:r w:rsidR="009234A0" w:rsidRPr="003411D1">
              <w:rPr>
                <w:rFonts w:cstheme="minorHAnsi"/>
                <w:b w:val="0"/>
                <w:bCs w:val="0"/>
                <w:sz w:val="24"/>
                <w:szCs w:val="24"/>
              </w:rPr>
              <w:t xml:space="preserve"> </w:t>
            </w:r>
          </w:p>
        </w:tc>
        <w:tc>
          <w:tcPr>
            <w:tcW w:w="11401" w:type="dxa"/>
          </w:tcPr>
          <w:p w14:paraId="647DF9B0" w14:textId="6EC55BEA" w:rsidR="00757D52" w:rsidRDefault="00E86758" w:rsidP="00F2143E">
            <w:pPr>
              <w:pStyle w:val="ListParagraph"/>
              <w:numPr>
                <w:ilvl w:val="0"/>
                <w:numId w:val="19"/>
              </w:numPr>
              <w:ind w:left="320" w:hanging="283"/>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Expert support in scoping</w:t>
            </w:r>
            <w:r w:rsidR="00C55973">
              <w:rPr>
                <w:rFonts w:cstheme="minorHAnsi"/>
                <w:sz w:val="24"/>
                <w:szCs w:val="24"/>
              </w:rPr>
              <w:t xml:space="preserve">, boundary and goal setting, </w:t>
            </w:r>
            <w:r w:rsidR="00C9245E">
              <w:rPr>
                <w:rFonts w:cstheme="minorHAnsi"/>
                <w:sz w:val="24"/>
                <w:szCs w:val="24"/>
              </w:rPr>
              <w:t xml:space="preserve">selecting the most appropriate </w:t>
            </w:r>
            <w:r w:rsidR="00C55973">
              <w:rPr>
                <w:rFonts w:cstheme="minorHAnsi"/>
                <w:sz w:val="24"/>
                <w:szCs w:val="24"/>
              </w:rPr>
              <w:t xml:space="preserve">accounting and reporting </w:t>
            </w:r>
            <w:r w:rsidR="00C9245E">
              <w:rPr>
                <w:rFonts w:cstheme="minorHAnsi"/>
                <w:sz w:val="24"/>
                <w:szCs w:val="24"/>
              </w:rPr>
              <w:t xml:space="preserve">principles and </w:t>
            </w:r>
            <w:r w:rsidR="00C55973">
              <w:rPr>
                <w:rFonts w:cstheme="minorHAnsi"/>
                <w:sz w:val="24"/>
                <w:szCs w:val="24"/>
              </w:rPr>
              <w:t>methodologies</w:t>
            </w:r>
            <w:r w:rsidR="00C9245E">
              <w:rPr>
                <w:rFonts w:cstheme="minorHAnsi"/>
                <w:sz w:val="24"/>
                <w:szCs w:val="24"/>
              </w:rPr>
              <w:t xml:space="preserve"> for each signatory, calculating and building a food loss and waste</w:t>
            </w:r>
            <w:r w:rsidR="009234A0">
              <w:rPr>
                <w:rFonts w:cstheme="minorHAnsi"/>
                <w:sz w:val="24"/>
                <w:szCs w:val="24"/>
              </w:rPr>
              <w:t xml:space="preserve"> (FLW)</w:t>
            </w:r>
            <w:r w:rsidR="00C9245E">
              <w:rPr>
                <w:rFonts w:cstheme="minorHAnsi"/>
                <w:sz w:val="24"/>
                <w:szCs w:val="24"/>
              </w:rPr>
              <w:t xml:space="preserve"> inventory, dealing with imperfect data, uncertainty and assumptions, reporting and performance review</w:t>
            </w:r>
          </w:p>
          <w:p w14:paraId="374B0827" w14:textId="4E394867" w:rsidR="009234A0" w:rsidRPr="009234A0" w:rsidRDefault="00C55973" w:rsidP="00F2143E">
            <w:pPr>
              <w:pStyle w:val="ListParagraph"/>
              <w:numPr>
                <w:ilvl w:val="0"/>
                <w:numId w:val="19"/>
              </w:numPr>
              <w:spacing w:after="80"/>
              <w:ind w:left="324" w:hanging="284"/>
              <w:contextualSpacing w:val="0"/>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Access and use of the Fight Food Waste CRC’s DIRECT Tool to support quantification of food loss and waste, development of an inventory of food loss and waste</w:t>
            </w:r>
            <w:r w:rsidR="009234A0">
              <w:rPr>
                <w:rFonts w:cstheme="minorHAnsi"/>
                <w:sz w:val="24"/>
                <w:szCs w:val="24"/>
              </w:rPr>
              <w:t xml:space="preserve"> and identifying solutions to food waste</w:t>
            </w:r>
          </w:p>
        </w:tc>
      </w:tr>
      <w:tr w:rsidR="00757D52" w14:paraId="6DEF32E4" w14:textId="77777777" w:rsidTr="00C92E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D7CB740" w14:textId="5F4FC0DB" w:rsidR="00757D52" w:rsidRPr="003411D1" w:rsidRDefault="00D2047A" w:rsidP="003231B0">
            <w:pPr>
              <w:rPr>
                <w:rFonts w:cstheme="minorHAnsi"/>
                <w:b w:val="0"/>
                <w:bCs w:val="0"/>
                <w:sz w:val="24"/>
                <w:szCs w:val="24"/>
              </w:rPr>
            </w:pPr>
            <w:r w:rsidRPr="003411D1">
              <w:rPr>
                <w:rFonts w:cstheme="minorHAnsi"/>
                <w:b w:val="0"/>
                <w:bCs w:val="0"/>
                <w:sz w:val="24"/>
                <w:szCs w:val="24"/>
              </w:rPr>
              <w:lastRenderedPageBreak/>
              <w:t>Program and project management</w:t>
            </w:r>
          </w:p>
        </w:tc>
        <w:tc>
          <w:tcPr>
            <w:tcW w:w="11401" w:type="dxa"/>
          </w:tcPr>
          <w:p w14:paraId="4AD5FC88" w14:textId="77777777" w:rsidR="00757D52" w:rsidRDefault="009234A0" w:rsidP="00F2143E">
            <w:pPr>
              <w:pStyle w:val="ListParagraph"/>
              <w:numPr>
                <w:ilvl w:val="0"/>
                <w:numId w:val="19"/>
              </w:numPr>
              <w:ind w:left="320" w:hanging="283"/>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A dedicated program and project management team to help deliver collaborative projects under the VCP; and larger / more complex programs of work instigated by signatory organisations</w:t>
            </w:r>
          </w:p>
          <w:p w14:paraId="348F063D" w14:textId="3C174208" w:rsidR="003248C6" w:rsidRPr="00B856C6" w:rsidRDefault="003248C6" w:rsidP="00F2143E">
            <w:pPr>
              <w:pStyle w:val="ListParagraph"/>
              <w:numPr>
                <w:ilvl w:val="0"/>
                <w:numId w:val="19"/>
              </w:numPr>
              <w:spacing w:after="80"/>
              <w:ind w:left="324" w:hanging="284"/>
              <w:contextualSpacing w:val="0"/>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Project and program monitoring, evaluation and reporting</w:t>
            </w:r>
          </w:p>
        </w:tc>
      </w:tr>
      <w:tr w:rsidR="00757D52" w14:paraId="49ABA9FF" w14:textId="77777777" w:rsidTr="00C92E46">
        <w:tc>
          <w:tcPr>
            <w:cnfStyle w:val="001000000000" w:firstRow="0" w:lastRow="0" w:firstColumn="1" w:lastColumn="0" w:oddVBand="0" w:evenVBand="0" w:oddHBand="0" w:evenHBand="0" w:firstRowFirstColumn="0" w:firstRowLastColumn="0" w:lastRowFirstColumn="0" w:lastRowLastColumn="0"/>
            <w:tcW w:w="2547" w:type="dxa"/>
          </w:tcPr>
          <w:p w14:paraId="0C8041C7" w14:textId="1DD70C1C" w:rsidR="00757D52" w:rsidRPr="003411D1" w:rsidRDefault="00D2047A" w:rsidP="003231B0">
            <w:pPr>
              <w:rPr>
                <w:rFonts w:cstheme="minorHAnsi"/>
                <w:b w:val="0"/>
                <w:bCs w:val="0"/>
                <w:sz w:val="24"/>
                <w:szCs w:val="24"/>
              </w:rPr>
            </w:pPr>
            <w:r w:rsidRPr="003411D1">
              <w:rPr>
                <w:rFonts w:cstheme="minorHAnsi"/>
                <w:b w:val="0"/>
                <w:bCs w:val="0"/>
                <w:sz w:val="24"/>
                <w:szCs w:val="24"/>
              </w:rPr>
              <w:t>Expert support</w:t>
            </w:r>
          </w:p>
        </w:tc>
        <w:tc>
          <w:tcPr>
            <w:tcW w:w="11401" w:type="dxa"/>
          </w:tcPr>
          <w:p w14:paraId="01EA42D3" w14:textId="77777777" w:rsidR="00757D52" w:rsidRDefault="00A17A8B" w:rsidP="00F2143E">
            <w:pPr>
              <w:pStyle w:val="ListParagraph"/>
              <w:numPr>
                <w:ilvl w:val="0"/>
                <w:numId w:val="19"/>
              </w:numPr>
              <w:ind w:left="320" w:hanging="283"/>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Expert support will be available from within the delivery team in the following areas / topics:</w:t>
            </w:r>
          </w:p>
          <w:p w14:paraId="66CD889D" w14:textId="360152F0" w:rsidR="00A17A8B" w:rsidRDefault="00A17A8B" w:rsidP="00F2143E">
            <w:pPr>
              <w:pStyle w:val="ListParagraph"/>
              <w:numPr>
                <w:ilvl w:val="1"/>
                <w:numId w:val="19"/>
              </w:numPr>
              <w:ind w:left="604" w:hanging="284"/>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 xml:space="preserve">New </w:t>
            </w:r>
            <w:r w:rsidR="003248C6">
              <w:rPr>
                <w:rFonts w:cstheme="minorHAnsi"/>
                <w:sz w:val="24"/>
                <w:szCs w:val="24"/>
              </w:rPr>
              <w:t>p</w:t>
            </w:r>
            <w:r>
              <w:rPr>
                <w:rFonts w:cstheme="minorHAnsi"/>
                <w:sz w:val="24"/>
                <w:szCs w:val="24"/>
              </w:rPr>
              <w:t xml:space="preserve">roduct </w:t>
            </w:r>
            <w:r w:rsidR="003248C6">
              <w:rPr>
                <w:rFonts w:cstheme="minorHAnsi"/>
                <w:sz w:val="24"/>
                <w:szCs w:val="24"/>
              </w:rPr>
              <w:t>d</w:t>
            </w:r>
            <w:r>
              <w:rPr>
                <w:rFonts w:cstheme="minorHAnsi"/>
                <w:sz w:val="24"/>
                <w:szCs w:val="24"/>
              </w:rPr>
              <w:t>evelopment and innovation</w:t>
            </w:r>
            <w:r w:rsidR="003248C6">
              <w:rPr>
                <w:rFonts w:cstheme="minorHAnsi"/>
                <w:sz w:val="24"/>
                <w:szCs w:val="24"/>
              </w:rPr>
              <w:t>, product category reviews</w:t>
            </w:r>
          </w:p>
          <w:p w14:paraId="081042F3" w14:textId="77777777" w:rsidR="00A17A8B" w:rsidRDefault="00A17A8B" w:rsidP="00F2143E">
            <w:pPr>
              <w:pStyle w:val="ListParagraph"/>
              <w:numPr>
                <w:ilvl w:val="1"/>
                <w:numId w:val="19"/>
              </w:numPr>
              <w:ind w:left="604" w:hanging="284"/>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Packaging technology, systems and innovation</w:t>
            </w:r>
          </w:p>
          <w:p w14:paraId="0CEF970F" w14:textId="7B079B59" w:rsidR="00A17A8B" w:rsidRDefault="00A17A8B" w:rsidP="00F2143E">
            <w:pPr>
              <w:pStyle w:val="ListParagraph"/>
              <w:numPr>
                <w:ilvl w:val="1"/>
                <w:numId w:val="19"/>
              </w:numPr>
              <w:ind w:left="604" w:hanging="284"/>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Agricultural science and technology and agronomy</w:t>
            </w:r>
          </w:p>
          <w:p w14:paraId="6DDFA8AE" w14:textId="26F4CCCC" w:rsidR="009D4F6A" w:rsidRDefault="009D4F6A" w:rsidP="00F2143E">
            <w:pPr>
              <w:pStyle w:val="ListParagraph"/>
              <w:numPr>
                <w:ilvl w:val="1"/>
                <w:numId w:val="19"/>
              </w:numPr>
              <w:ind w:left="604" w:hanging="284"/>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Food science, safety and technology</w:t>
            </w:r>
          </w:p>
          <w:p w14:paraId="2BB2F922" w14:textId="77777777" w:rsidR="00A17A8B" w:rsidRDefault="00A17A8B" w:rsidP="00F2143E">
            <w:pPr>
              <w:pStyle w:val="ListParagraph"/>
              <w:numPr>
                <w:ilvl w:val="1"/>
                <w:numId w:val="19"/>
              </w:numPr>
              <w:ind w:left="604" w:hanging="284"/>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Value chain waste mapping and lean manufacturing, including hotspots and root cause analysis</w:t>
            </w:r>
          </w:p>
          <w:p w14:paraId="6C7E87C5" w14:textId="77777777" w:rsidR="00A17A8B" w:rsidRDefault="00A17A8B" w:rsidP="00F2143E">
            <w:pPr>
              <w:pStyle w:val="ListParagraph"/>
              <w:numPr>
                <w:ilvl w:val="1"/>
                <w:numId w:val="19"/>
              </w:numPr>
              <w:ind w:left="604" w:hanging="284"/>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Data gathering, analytics and visualisation</w:t>
            </w:r>
          </w:p>
          <w:p w14:paraId="7BBF7565" w14:textId="77777777" w:rsidR="00A17A8B" w:rsidRDefault="00A17A8B" w:rsidP="00F2143E">
            <w:pPr>
              <w:pStyle w:val="ListParagraph"/>
              <w:numPr>
                <w:ilvl w:val="1"/>
                <w:numId w:val="19"/>
              </w:numPr>
              <w:ind w:left="604" w:hanging="284"/>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 xml:space="preserve">Waste valorisation </w:t>
            </w:r>
            <w:r w:rsidR="009D4F6A">
              <w:rPr>
                <w:rFonts w:cstheme="minorHAnsi"/>
                <w:sz w:val="24"/>
                <w:szCs w:val="24"/>
              </w:rPr>
              <w:t xml:space="preserve">research </w:t>
            </w:r>
            <w:r>
              <w:rPr>
                <w:rFonts w:cstheme="minorHAnsi"/>
                <w:sz w:val="24"/>
                <w:szCs w:val="24"/>
              </w:rPr>
              <w:t>and co-product development</w:t>
            </w:r>
            <w:r w:rsidR="009D4F6A">
              <w:rPr>
                <w:rFonts w:cstheme="minorHAnsi"/>
                <w:sz w:val="24"/>
                <w:szCs w:val="24"/>
              </w:rPr>
              <w:t xml:space="preserve"> and road-mapping/decision-support tools</w:t>
            </w:r>
          </w:p>
          <w:p w14:paraId="19FC5A06" w14:textId="10C56CD0" w:rsidR="009D4F6A" w:rsidRDefault="009D4F6A" w:rsidP="00F2143E">
            <w:pPr>
              <w:pStyle w:val="ListParagraph"/>
              <w:numPr>
                <w:ilvl w:val="1"/>
                <w:numId w:val="19"/>
              </w:numPr>
              <w:ind w:left="604" w:hanging="284"/>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Consumer insight, behavioural science</w:t>
            </w:r>
            <w:r w:rsidR="002F0231">
              <w:rPr>
                <w:rFonts w:cstheme="minorHAnsi"/>
                <w:sz w:val="24"/>
                <w:szCs w:val="24"/>
              </w:rPr>
              <w:t xml:space="preserve"> and testing</w:t>
            </w:r>
            <w:r w:rsidR="00EF16A1">
              <w:rPr>
                <w:rFonts w:cstheme="minorHAnsi"/>
                <w:sz w:val="24"/>
                <w:szCs w:val="24"/>
              </w:rPr>
              <w:t>/scaling</w:t>
            </w:r>
            <w:r w:rsidR="002F0231">
              <w:rPr>
                <w:rFonts w:cstheme="minorHAnsi"/>
                <w:sz w:val="24"/>
                <w:szCs w:val="24"/>
              </w:rPr>
              <w:t xml:space="preserve"> </w:t>
            </w:r>
            <w:r w:rsidR="00EF16A1">
              <w:rPr>
                <w:rFonts w:cstheme="minorHAnsi"/>
                <w:sz w:val="24"/>
                <w:szCs w:val="24"/>
              </w:rPr>
              <w:t xml:space="preserve">of </w:t>
            </w:r>
            <w:r w:rsidR="002F0231">
              <w:rPr>
                <w:rFonts w:cstheme="minorHAnsi"/>
                <w:sz w:val="24"/>
                <w:szCs w:val="24"/>
              </w:rPr>
              <w:t>behavioural interventions with signatories</w:t>
            </w:r>
            <w:r>
              <w:rPr>
                <w:rFonts w:cstheme="minorHAnsi"/>
                <w:sz w:val="24"/>
                <w:szCs w:val="24"/>
              </w:rPr>
              <w:t xml:space="preserve"> </w:t>
            </w:r>
          </w:p>
          <w:p w14:paraId="36221773" w14:textId="77777777" w:rsidR="003248C6" w:rsidRDefault="003248C6" w:rsidP="00F2143E">
            <w:pPr>
              <w:pStyle w:val="ListParagraph"/>
              <w:numPr>
                <w:ilvl w:val="1"/>
                <w:numId w:val="19"/>
              </w:numPr>
              <w:ind w:left="604" w:hanging="284"/>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Technical research and technology appraisal</w:t>
            </w:r>
          </w:p>
          <w:p w14:paraId="7952D452" w14:textId="77777777" w:rsidR="002F0231" w:rsidRDefault="002F0231" w:rsidP="00F2143E">
            <w:pPr>
              <w:pStyle w:val="ListParagraph"/>
              <w:numPr>
                <w:ilvl w:val="1"/>
                <w:numId w:val="19"/>
              </w:numPr>
              <w:ind w:left="604" w:hanging="284"/>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Stakeholder engagement, workshop planning and facilitation</w:t>
            </w:r>
          </w:p>
          <w:p w14:paraId="2F6826F7" w14:textId="1CEB3465" w:rsidR="002F0231" w:rsidRPr="00B856C6" w:rsidRDefault="002F0231" w:rsidP="00F2143E">
            <w:pPr>
              <w:pStyle w:val="ListParagraph"/>
              <w:numPr>
                <w:ilvl w:val="0"/>
                <w:numId w:val="19"/>
              </w:numPr>
              <w:spacing w:after="80"/>
              <w:ind w:left="318" w:hanging="284"/>
              <w:contextualSpacing w:val="0"/>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 xml:space="preserve">Additional specialist expertise can also be drafted in to support signatories where the impact of a project or </w:t>
            </w:r>
            <w:r w:rsidR="00ED5404">
              <w:rPr>
                <w:rFonts w:cstheme="minorHAnsi"/>
                <w:sz w:val="24"/>
                <w:szCs w:val="24"/>
              </w:rPr>
              <w:t>initiative justifies this</w:t>
            </w:r>
          </w:p>
        </w:tc>
      </w:tr>
      <w:tr w:rsidR="00757D52" w14:paraId="60A51131" w14:textId="77777777" w:rsidTr="00C92E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9A5746D" w14:textId="64FBEF59" w:rsidR="00757D52" w:rsidRPr="003411D1" w:rsidRDefault="00803CC0" w:rsidP="003231B0">
            <w:pPr>
              <w:rPr>
                <w:rFonts w:cstheme="minorHAnsi"/>
                <w:b w:val="0"/>
                <w:bCs w:val="0"/>
                <w:sz w:val="24"/>
                <w:szCs w:val="24"/>
              </w:rPr>
            </w:pPr>
            <w:r w:rsidRPr="003411D1">
              <w:rPr>
                <w:rFonts w:cstheme="minorHAnsi"/>
                <w:b w:val="0"/>
                <w:bCs w:val="0"/>
                <w:sz w:val="24"/>
                <w:szCs w:val="24"/>
              </w:rPr>
              <w:t>Reporting</w:t>
            </w:r>
          </w:p>
        </w:tc>
        <w:tc>
          <w:tcPr>
            <w:tcW w:w="11401" w:type="dxa"/>
          </w:tcPr>
          <w:p w14:paraId="24349774" w14:textId="6ACAF357" w:rsidR="009234A0" w:rsidRDefault="009234A0" w:rsidP="00F2143E">
            <w:pPr>
              <w:pStyle w:val="ListParagraph"/>
              <w:numPr>
                <w:ilvl w:val="0"/>
                <w:numId w:val="19"/>
              </w:numPr>
              <w:ind w:left="320" w:hanging="283"/>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Independent review of individual signatory FLW reporting</w:t>
            </w:r>
          </w:p>
          <w:p w14:paraId="3B705CCE" w14:textId="634CFE47" w:rsidR="00757D52" w:rsidRPr="002E4B30" w:rsidRDefault="009234A0" w:rsidP="00F2143E">
            <w:pPr>
              <w:pStyle w:val="ListParagraph"/>
              <w:numPr>
                <w:ilvl w:val="0"/>
                <w:numId w:val="19"/>
              </w:numPr>
              <w:spacing w:after="80"/>
              <w:ind w:left="324" w:hanging="284"/>
              <w:contextualSpacing w:val="0"/>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Assistance with compiling your annual progress report to the governance entity overseeing the delivery of the NFWS Roadmap (NOTE: an online reporting portal may be available to signatories via the DIRECT Tool</w:t>
            </w:r>
            <w:r w:rsidR="003248C6">
              <w:rPr>
                <w:rFonts w:cstheme="minorHAnsi"/>
                <w:sz w:val="24"/>
                <w:szCs w:val="24"/>
              </w:rPr>
              <w:t>)</w:t>
            </w:r>
            <w:r>
              <w:rPr>
                <w:rFonts w:cstheme="minorHAnsi"/>
                <w:sz w:val="24"/>
                <w:szCs w:val="24"/>
              </w:rPr>
              <w:t>.</w:t>
            </w:r>
          </w:p>
        </w:tc>
      </w:tr>
      <w:tr w:rsidR="00EC4D87" w14:paraId="7CE61B7B" w14:textId="77777777" w:rsidTr="00C92E46">
        <w:tc>
          <w:tcPr>
            <w:cnfStyle w:val="001000000000" w:firstRow="0" w:lastRow="0" w:firstColumn="1" w:lastColumn="0" w:oddVBand="0" w:evenVBand="0" w:oddHBand="0" w:evenHBand="0" w:firstRowFirstColumn="0" w:firstRowLastColumn="0" w:lastRowFirstColumn="0" w:lastRowLastColumn="0"/>
            <w:tcW w:w="2547" w:type="dxa"/>
          </w:tcPr>
          <w:p w14:paraId="2454D189" w14:textId="02921FFC" w:rsidR="00EC4D87" w:rsidRPr="003411D1" w:rsidRDefault="00EC4D87" w:rsidP="003231B0">
            <w:pPr>
              <w:rPr>
                <w:rFonts w:cstheme="minorHAnsi"/>
                <w:b w:val="0"/>
                <w:bCs w:val="0"/>
                <w:sz w:val="24"/>
                <w:szCs w:val="24"/>
              </w:rPr>
            </w:pPr>
            <w:r w:rsidRPr="003411D1">
              <w:rPr>
                <w:rFonts w:cstheme="minorHAnsi"/>
                <w:b w:val="0"/>
                <w:bCs w:val="0"/>
                <w:sz w:val="24"/>
                <w:szCs w:val="24"/>
              </w:rPr>
              <w:t>Tools, guidance and resource development</w:t>
            </w:r>
          </w:p>
        </w:tc>
        <w:tc>
          <w:tcPr>
            <w:tcW w:w="11401" w:type="dxa"/>
          </w:tcPr>
          <w:p w14:paraId="64F74384" w14:textId="6E714758" w:rsidR="00EC4D87" w:rsidRPr="002E4B30" w:rsidRDefault="00ED5404" w:rsidP="00F2143E">
            <w:pPr>
              <w:pStyle w:val="ListParagraph"/>
              <w:numPr>
                <w:ilvl w:val="0"/>
                <w:numId w:val="19"/>
              </w:numPr>
              <w:spacing w:after="80"/>
              <w:ind w:left="324" w:hanging="284"/>
              <w:contextualSpacing w:val="0"/>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Leading or supporting the develop of best practice guidance (e.g. food labelling, food cold chain compliance); tools and resources (e.g. decision trees, checklists, packaging innovation databases, food waste impact calculators, product and supermarket surveys)</w:t>
            </w:r>
          </w:p>
        </w:tc>
      </w:tr>
      <w:tr w:rsidR="00D2047A" w14:paraId="5052ADA8" w14:textId="77777777" w:rsidTr="00C92E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35E8CDD" w14:textId="09740EE1" w:rsidR="00D2047A" w:rsidRPr="003411D1" w:rsidRDefault="00EC4D87" w:rsidP="003231B0">
            <w:pPr>
              <w:rPr>
                <w:rFonts w:cstheme="minorHAnsi"/>
                <w:b w:val="0"/>
                <w:bCs w:val="0"/>
                <w:sz w:val="24"/>
                <w:szCs w:val="24"/>
              </w:rPr>
            </w:pPr>
            <w:r w:rsidRPr="003411D1">
              <w:rPr>
                <w:rFonts w:cstheme="minorHAnsi"/>
                <w:b w:val="0"/>
                <w:bCs w:val="0"/>
                <w:sz w:val="24"/>
                <w:szCs w:val="24"/>
              </w:rPr>
              <w:t>Communications, campaigns and events</w:t>
            </w:r>
          </w:p>
        </w:tc>
        <w:tc>
          <w:tcPr>
            <w:tcW w:w="11401" w:type="dxa"/>
          </w:tcPr>
          <w:p w14:paraId="4914DFB8" w14:textId="77777777" w:rsidR="00D2047A" w:rsidRDefault="0051316B" w:rsidP="00F2143E">
            <w:pPr>
              <w:pStyle w:val="ListParagraph"/>
              <w:numPr>
                <w:ilvl w:val="0"/>
                <w:numId w:val="19"/>
              </w:numPr>
              <w:ind w:left="320" w:hanging="283"/>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Licensing of Love Food, Hate Waste / Guardians of Grub campaigns (consumer and business-facing)</w:t>
            </w:r>
          </w:p>
          <w:p w14:paraId="2226DAA2" w14:textId="3DA7C3AC" w:rsidR="0051316B" w:rsidRDefault="0051316B" w:rsidP="00F2143E">
            <w:pPr>
              <w:pStyle w:val="ListParagraph"/>
              <w:numPr>
                <w:ilvl w:val="0"/>
                <w:numId w:val="19"/>
              </w:numPr>
              <w:ind w:left="320" w:hanging="283"/>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PR and communications support</w:t>
            </w:r>
            <w:r w:rsidR="00F9462F">
              <w:rPr>
                <w:rFonts w:cstheme="minorHAnsi"/>
                <w:sz w:val="24"/>
                <w:szCs w:val="24"/>
              </w:rPr>
              <w:t>; and</w:t>
            </w:r>
            <w:r>
              <w:rPr>
                <w:rFonts w:cstheme="minorHAnsi"/>
                <w:sz w:val="24"/>
                <w:szCs w:val="24"/>
              </w:rPr>
              <w:t xml:space="preserve"> use of </w:t>
            </w:r>
            <w:r w:rsidR="00F9462F">
              <w:rPr>
                <w:rFonts w:cstheme="minorHAnsi"/>
                <w:sz w:val="24"/>
                <w:szCs w:val="24"/>
              </w:rPr>
              <w:t>VCP branding and materials</w:t>
            </w:r>
          </w:p>
          <w:p w14:paraId="7D4EBA6C" w14:textId="6AFB1DAE" w:rsidR="0051316B" w:rsidRPr="002E4B30" w:rsidRDefault="0051316B" w:rsidP="00F2143E">
            <w:pPr>
              <w:pStyle w:val="ListParagraph"/>
              <w:numPr>
                <w:ilvl w:val="0"/>
                <w:numId w:val="19"/>
              </w:numPr>
              <w:ind w:left="320" w:hanging="283"/>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Seminars, signatory workshops and brainstorming sessions, annual signatories conference to share learning</w:t>
            </w:r>
          </w:p>
        </w:tc>
      </w:tr>
    </w:tbl>
    <w:p w14:paraId="704B5EDD" w14:textId="47DE57E5" w:rsidR="00517D78" w:rsidRPr="00BB7DD5" w:rsidRDefault="00517D78" w:rsidP="00BB7DD5">
      <w:pPr>
        <w:keepNext/>
      </w:pPr>
      <w:bookmarkStart w:id="34" w:name="_Ref37935267"/>
      <w:bookmarkStart w:id="35" w:name="_Toc37943004"/>
      <w:r w:rsidRPr="0042532E">
        <w:rPr>
          <w:rFonts w:cstheme="minorHAnsi"/>
          <w:b/>
          <w:bCs/>
          <w:color w:val="2F5496" w:themeColor="accent1" w:themeShade="BF"/>
          <w:sz w:val="20"/>
          <w:szCs w:val="20"/>
        </w:rPr>
        <w:lastRenderedPageBreak/>
        <w:t xml:space="preserve">Figure </w:t>
      </w:r>
      <w:r w:rsidR="00BB7DD5" w:rsidRPr="0042532E">
        <w:rPr>
          <w:b/>
          <w:bCs/>
          <w:color w:val="2F5496" w:themeColor="accent1" w:themeShade="BF"/>
          <w:sz w:val="20"/>
          <w:szCs w:val="20"/>
        </w:rPr>
        <w:fldChar w:fldCharType="begin"/>
      </w:r>
      <w:r w:rsidR="00BB7DD5" w:rsidRPr="0042532E">
        <w:rPr>
          <w:b/>
          <w:bCs/>
          <w:color w:val="2F5496" w:themeColor="accent1" w:themeShade="BF"/>
          <w:sz w:val="20"/>
          <w:szCs w:val="20"/>
        </w:rPr>
        <w:instrText xml:space="preserve"> SEQ Figure \* ARABIC </w:instrText>
      </w:r>
      <w:r w:rsidR="00BB7DD5" w:rsidRPr="0042532E">
        <w:rPr>
          <w:b/>
          <w:bCs/>
          <w:color w:val="2F5496" w:themeColor="accent1" w:themeShade="BF"/>
          <w:sz w:val="20"/>
          <w:szCs w:val="20"/>
        </w:rPr>
        <w:fldChar w:fldCharType="separate"/>
      </w:r>
      <w:r w:rsidR="00FE6444">
        <w:rPr>
          <w:b/>
          <w:bCs/>
          <w:noProof/>
          <w:color w:val="2F5496" w:themeColor="accent1" w:themeShade="BF"/>
          <w:sz w:val="20"/>
          <w:szCs w:val="20"/>
        </w:rPr>
        <w:t>10</w:t>
      </w:r>
      <w:r w:rsidR="00BB7DD5" w:rsidRPr="0042532E">
        <w:rPr>
          <w:b/>
          <w:bCs/>
          <w:color w:val="2F5496" w:themeColor="accent1" w:themeShade="BF"/>
          <w:sz w:val="20"/>
          <w:szCs w:val="20"/>
        </w:rPr>
        <w:fldChar w:fldCharType="end"/>
      </w:r>
      <w:bookmarkEnd w:id="34"/>
      <w:r w:rsidRPr="00517D78">
        <w:rPr>
          <w:rFonts w:cstheme="minorHAnsi"/>
          <w:sz w:val="20"/>
          <w:szCs w:val="20"/>
        </w:rPr>
        <w:t>: the ‘give and take’ of the voluntary commitment program, with illustrative examples of potential signatory’s commitments and the support that organisations joining the voluntary commitment program can expect to receive</w:t>
      </w:r>
      <w:bookmarkEnd w:id="35"/>
    </w:p>
    <w:p w14:paraId="0BA8500C" w14:textId="16AC172D" w:rsidR="00517D78" w:rsidRPr="00517D78" w:rsidRDefault="00517D78" w:rsidP="00517D78">
      <w:pPr>
        <w:jc w:val="center"/>
        <w:rPr>
          <w:rFonts w:cstheme="minorHAnsi"/>
          <w:sz w:val="20"/>
          <w:szCs w:val="20"/>
        </w:rPr>
        <w:sectPr w:rsidR="00517D78" w:rsidRPr="00517D78" w:rsidSect="00262A58">
          <w:headerReference w:type="default" r:id="rId37"/>
          <w:pgSz w:w="16838" w:h="11906" w:orient="landscape"/>
          <w:pgMar w:top="1440" w:right="1440" w:bottom="1440" w:left="1440" w:header="708" w:footer="708" w:gutter="0"/>
          <w:cols w:space="708"/>
          <w:docGrid w:linePitch="360"/>
        </w:sectPr>
      </w:pPr>
      <w:r>
        <w:rPr>
          <w:rFonts w:cstheme="minorHAnsi"/>
          <w:noProof/>
          <w:sz w:val="20"/>
          <w:szCs w:val="20"/>
        </w:rPr>
        <w:drawing>
          <wp:inline distT="0" distB="0" distL="0" distR="0" wp14:anchorId="2E50049D" wp14:editId="521BCEF6">
            <wp:extent cx="8229600" cy="504988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280738" cy="5081263"/>
                    </a:xfrm>
                    <a:prstGeom prst="rect">
                      <a:avLst/>
                    </a:prstGeom>
                    <a:noFill/>
                  </pic:spPr>
                </pic:pic>
              </a:graphicData>
            </a:graphic>
          </wp:inline>
        </w:drawing>
      </w:r>
    </w:p>
    <w:p w14:paraId="40568E89" w14:textId="3347B949" w:rsidR="004F40E7" w:rsidRPr="00DB5FB3" w:rsidRDefault="00001391" w:rsidP="00DB5FB3">
      <w:pPr>
        <w:pStyle w:val="Heading1"/>
        <w:rPr>
          <w:rStyle w:val="Strong"/>
          <w:b/>
          <w:bCs w:val="0"/>
        </w:rPr>
      </w:pPr>
      <w:bookmarkStart w:id="36" w:name="_Toc39140011"/>
      <w:r w:rsidRPr="00DB5FB3">
        <w:rPr>
          <w:rStyle w:val="Strong"/>
          <w:b/>
          <w:bCs w:val="0"/>
        </w:rPr>
        <w:lastRenderedPageBreak/>
        <w:t>Delivering the voluntary commitme</w:t>
      </w:r>
      <w:r w:rsidR="004F40E7" w:rsidRPr="00DB5FB3">
        <w:rPr>
          <w:rStyle w:val="Strong"/>
          <w:b/>
          <w:bCs w:val="0"/>
        </w:rPr>
        <w:t>nt</w:t>
      </w:r>
      <w:r w:rsidR="0045693B" w:rsidRPr="00DB5FB3">
        <w:rPr>
          <w:rStyle w:val="Strong"/>
          <w:b/>
          <w:bCs w:val="0"/>
        </w:rPr>
        <w:t xml:space="preserve"> program</w:t>
      </w:r>
      <w:r w:rsidR="00F9744F" w:rsidRPr="00DB5FB3">
        <w:rPr>
          <w:rStyle w:val="Strong"/>
          <w:b/>
          <w:bCs w:val="0"/>
        </w:rPr>
        <w:t xml:space="preserve">: </w:t>
      </w:r>
      <w:r w:rsidR="008B7C8A">
        <w:rPr>
          <w:rStyle w:val="Strong"/>
          <w:b/>
          <w:bCs w:val="0"/>
        </w:rPr>
        <w:t>g</w:t>
      </w:r>
      <w:r w:rsidR="00F9744F" w:rsidRPr="00DB5FB3">
        <w:rPr>
          <w:rStyle w:val="Strong"/>
          <w:b/>
          <w:bCs w:val="0"/>
        </w:rPr>
        <w:t>uidance and recommendations for a future governance and delivery entity</w:t>
      </w:r>
      <w:bookmarkEnd w:id="36"/>
    </w:p>
    <w:p w14:paraId="5357E472" w14:textId="2AAAF1B3" w:rsidR="00C9632A" w:rsidRDefault="00C9632A" w:rsidP="0032062B">
      <w:pPr>
        <w:jc w:val="both"/>
        <w:rPr>
          <w:sz w:val="24"/>
          <w:szCs w:val="24"/>
        </w:rPr>
      </w:pPr>
      <w:r>
        <w:rPr>
          <w:sz w:val="24"/>
          <w:szCs w:val="24"/>
        </w:rPr>
        <w:t>The following sections offer guidance and recommendation to a future governance and delivery entity charged with delivering the activities and initiatives included in the National Food Waste Strategy Roadmap (published in March 2020), including the voluntary commitment program proposed in this paper.</w:t>
      </w:r>
      <w:r w:rsidR="00DE1E23">
        <w:rPr>
          <w:sz w:val="24"/>
          <w:szCs w:val="24"/>
        </w:rPr>
        <w:t xml:space="preserve"> </w:t>
      </w:r>
    </w:p>
    <w:p w14:paraId="53A70073" w14:textId="456418A8" w:rsidR="0032062B" w:rsidRDefault="0032062B" w:rsidP="0032062B">
      <w:pPr>
        <w:jc w:val="both"/>
        <w:rPr>
          <w:sz w:val="24"/>
          <w:szCs w:val="24"/>
        </w:rPr>
      </w:pPr>
      <w:r>
        <w:rPr>
          <w:sz w:val="24"/>
          <w:szCs w:val="24"/>
        </w:rPr>
        <w:t xml:space="preserve">Subject to funding being available to implement the voluntary commitment program, the development of the program </w:t>
      </w:r>
      <w:r w:rsidR="00D74FE8">
        <w:rPr>
          <w:sz w:val="24"/>
          <w:szCs w:val="24"/>
        </w:rPr>
        <w:t>should</w:t>
      </w:r>
      <w:r>
        <w:rPr>
          <w:sz w:val="24"/>
          <w:szCs w:val="24"/>
        </w:rPr>
        <w:t xml:space="preserve"> follow a process that reflects international best practice drawn from the experience of over 20 countries and codified as part of the EU REFRESH Project as shown in </w:t>
      </w:r>
      <w:r w:rsidR="0042532E" w:rsidRPr="0042532E">
        <w:rPr>
          <w:b/>
          <w:bCs/>
          <w:color w:val="2F5496" w:themeColor="accent1" w:themeShade="BF"/>
          <w:sz w:val="24"/>
          <w:szCs w:val="24"/>
        </w:rPr>
        <w:fldChar w:fldCharType="begin"/>
      </w:r>
      <w:r w:rsidR="0042532E" w:rsidRPr="0042532E">
        <w:rPr>
          <w:color w:val="2F5496" w:themeColor="accent1" w:themeShade="BF"/>
          <w:sz w:val="24"/>
          <w:szCs w:val="24"/>
        </w:rPr>
        <w:instrText xml:space="preserve"> REF _Ref37935350 \h </w:instrText>
      </w:r>
      <w:r w:rsidR="0042532E" w:rsidRPr="0042532E">
        <w:rPr>
          <w:b/>
          <w:bCs/>
          <w:color w:val="2F5496" w:themeColor="accent1" w:themeShade="BF"/>
          <w:sz w:val="24"/>
          <w:szCs w:val="24"/>
        </w:rPr>
        <w:instrText xml:space="preserve"> \* MERGEFORMAT </w:instrText>
      </w:r>
      <w:r w:rsidR="0042532E" w:rsidRPr="0042532E">
        <w:rPr>
          <w:b/>
          <w:bCs/>
          <w:color w:val="2F5496" w:themeColor="accent1" w:themeShade="BF"/>
          <w:sz w:val="24"/>
          <w:szCs w:val="24"/>
        </w:rPr>
      </w:r>
      <w:r w:rsidR="0042532E" w:rsidRPr="0042532E">
        <w:rPr>
          <w:b/>
          <w:bCs/>
          <w:color w:val="2F5496" w:themeColor="accent1" w:themeShade="BF"/>
          <w:sz w:val="24"/>
          <w:szCs w:val="24"/>
        </w:rPr>
        <w:fldChar w:fldCharType="separate"/>
      </w:r>
      <w:r w:rsidR="0042532E" w:rsidRPr="0042532E">
        <w:rPr>
          <w:b/>
          <w:bCs/>
          <w:color w:val="2F5496" w:themeColor="accent1" w:themeShade="BF"/>
          <w:sz w:val="24"/>
          <w:szCs w:val="24"/>
        </w:rPr>
        <w:t xml:space="preserve">Figure </w:t>
      </w:r>
      <w:r w:rsidR="0042532E" w:rsidRPr="0042532E">
        <w:rPr>
          <w:b/>
          <w:bCs/>
          <w:noProof/>
          <w:color w:val="2F5496" w:themeColor="accent1" w:themeShade="BF"/>
          <w:sz w:val="24"/>
          <w:szCs w:val="24"/>
        </w:rPr>
        <w:t>11</w:t>
      </w:r>
      <w:r w:rsidR="0042532E" w:rsidRPr="0042532E">
        <w:rPr>
          <w:b/>
          <w:bCs/>
          <w:color w:val="2F5496" w:themeColor="accent1" w:themeShade="BF"/>
          <w:sz w:val="24"/>
          <w:szCs w:val="24"/>
        </w:rPr>
        <w:fldChar w:fldCharType="end"/>
      </w:r>
      <w:r w:rsidR="0042532E">
        <w:rPr>
          <w:b/>
          <w:bCs/>
          <w:color w:val="2F5496" w:themeColor="accent1" w:themeShade="BF"/>
          <w:sz w:val="24"/>
          <w:szCs w:val="24"/>
        </w:rPr>
        <w:t xml:space="preserve"> </w:t>
      </w:r>
      <w:r>
        <w:rPr>
          <w:sz w:val="24"/>
          <w:szCs w:val="24"/>
        </w:rPr>
        <w:t>below.</w:t>
      </w:r>
      <w:r w:rsidR="00B57CDE">
        <w:rPr>
          <w:sz w:val="24"/>
          <w:szCs w:val="24"/>
        </w:rPr>
        <w:t xml:space="preserve"> Whilst </w:t>
      </w:r>
      <w:r w:rsidR="0076147C" w:rsidRPr="0076147C">
        <w:rPr>
          <w:b/>
          <w:bCs/>
          <w:color w:val="2F5496" w:themeColor="accent1" w:themeShade="BF"/>
          <w:sz w:val="24"/>
          <w:szCs w:val="24"/>
        </w:rPr>
        <w:fldChar w:fldCharType="begin"/>
      </w:r>
      <w:r w:rsidR="0076147C" w:rsidRPr="0076147C">
        <w:rPr>
          <w:sz w:val="24"/>
          <w:szCs w:val="24"/>
        </w:rPr>
        <w:instrText xml:space="preserve"> REF _Ref37935965 \h </w:instrText>
      </w:r>
      <w:r w:rsidR="0076147C" w:rsidRPr="0076147C">
        <w:rPr>
          <w:b/>
          <w:bCs/>
          <w:color w:val="2F5496" w:themeColor="accent1" w:themeShade="BF"/>
          <w:sz w:val="24"/>
          <w:szCs w:val="24"/>
        </w:rPr>
        <w:instrText xml:space="preserve"> \* MERGEFORMAT </w:instrText>
      </w:r>
      <w:r w:rsidR="0076147C" w:rsidRPr="0076147C">
        <w:rPr>
          <w:b/>
          <w:bCs/>
          <w:color w:val="2F5496" w:themeColor="accent1" w:themeShade="BF"/>
          <w:sz w:val="24"/>
          <w:szCs w:val="24"/>
        </w:rPr>
      </w:r>
      <w:r w:rsidR="0076147C" w:rsidRPr="0076147C">
        <w:rPr>
          <w:b/>
          <w:bCs/>
          <w:color w:val="2F5496" w:themeColor="accent1" w:themeShade="BF"/>
          <w:sz w:val="24"/>
          <w:szCs w:val="24"/>
        </w:rPr>
        <w:fldChar w:fldCharType="separate"/>
      </w:r>
      <w:r w:rsidR="0076147C" w:rsidRPr="0076147C">
        <w:rPr>
          <w:b/>
          <w:bCs/>
          <w:color w:val="2F5496" w:themeColor="accent1" w:themeShade="BF"/>
          <w:sz w:val="24"/>
          <w:szCs w:val="24"/>
        </w:rPr>
        <w:t xml:space="preserve">Figure </w:t>
      </w:r>
      <w:r w:rsidR="0076147C" w:rsidRPr="0076147C">
        <w:rPr>
          <w:b/>
          <w:bCs/>
          <w:noProof/>
          <w:color w:val="2F5496" w:themeColor="accent1" w:themeShade="BF"/>
          <w:sz w:val="24"/>
          <w:szCs w:val="24"/>
        </w:rPr>
        <w:t>13</w:t>
      </w:r>
      <w:r w:rsidR="0076147C" w:rsidRPr="0076147C">
        <w:rPr>
          <w:b/>
          <w:bCs/>
          <w:color w:val="2F5496" w:themeColor="accent1" w:themeShade="BF"/>
          <w:sz w:val="24"/>
          <w:szCs w:val="24"/>
        </w:rPr>
        <w:fldChar w:fldCharType="end"/>
      </w:r>
      <w:r w:rsidR="0076147C">
        <w:rPr>
          <w:b/>
          <w:bCs/>
          <w:color w:val="2F5496" w:themeColor="accent1" w:themeShade="BF"/>
          <w:sz w:val="24"/>
          <w:szCs w:val="24"/>
        </w:rPr>
        <w:t xml:space="preserve"> </w:t>
      </w:r>
      <w:r w:rsidR="00B57CDE">
        <w:rPr>
          <w:sz w:val="24"/>
          <w:szCs w:val="24"/>
        </w:rPr>
        <w:t>below provides an indicative development and launch timeline for the voluntary commitment program, subject to implementation funding being made available.</w:t>
      </w:r>
    </w:p>
    <w:p w14:paraId="3DDB06ED" w14:textId="77777777" w:rsidR="00B57CDE" w:rsidRDefault="00B57CDE" w:rsidP="00B57CDE">
      <w:pPr>
        <w:jc w:val="both"/>
        <w:rPr>
          <w:sz w:val="24"/>
          <w:szCs w:val="24"/>
        </w:rPr>
      </w:pPr>
      <w:r>
        <w:rPr>
          <w:sz w:val="24"/>
          <w:szCs w:val="24"/>
        </w:rPr>
        <w:t>The following sections cover the governance requirements for the voluntary commitment program, critical success factors, underpinning operating principles, target companies and organisations, the likely phasing of the voluntary commitment program from 2020-2030 and initial thinking on target setting and the use of a balanced scorecard approach.</w:t>
      </w:r>
    </w:p>
    <w:p w14:paraId="48C91E15" w14:textId="77777777" w:rsidR="0032062B" w:rsidRDefault="0032062B" w:rsidP="0032062B">
      <w:pPr>
        <w:jc w:val="both"/>
        <w:rPr>
          <w:sz w:val="24"/>
          <w:szCs w:val="24"/>
        </w:rPr>
      </w:pPr>
    </w:p>
    <w:p w14:paraId="6693F174" w14:textId="77777777" w:rsidR="0032062B" w:rsidRDefault="0032062B" w:rsidP="0032062B">
      <w:pPr>
        <w:jc w:val="both"/>
        <w:rPr>
          <w:sz w:val="24"/>
          <w:szCs w:val="24"/>
        </w:rPr>
      </w:pPr>
      <w:r>
        <w:rPr>
          <w:noProof/>
          <w:sz w:val="24"/>
          <w:szCs w:val="24"/>
          <w:lang w:eastAsia="en-AU"/>
        </w:rPr>
        <w:drawing>
          <wp:inline distT="0" distB="0" distL="0" distR="0" wp14:anchorId="093C7C63" wp14:editId="707CA1E0">
            <wp:extent cx="5735637" cy="307586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55360" cy="3086439"/>
                    </a:xfrm>
                    <a:prstGeom prst="rect">
                      <a:avLst/>
                    </a:prstGeom>
                    <a:noFill/>
                  </pic:spPr>
                </pic:pic>
              </a:graphicData>
            </a:graphic>
          </wp:inline>
        </w:drawing>
      </w:r>
    </w:p>
    <w:p w14:paraId="08E77E9A" w14:textId="5CB08E6B" w:rsidR="00991BBB" w:rsidRPr="008062CA" w:rsidRDefault="0032062B" w:rsidP="0042532E">
      <w:pPr>
        <w:keepNext/>
        <w:jc w:val="both"/>
        <w:rPr>
          <w:sz w:val="20"/>
          <w:szCs w:val="20"/>
        </w:rPr>
      </w:pPr>
      <w:bookmarkStart w:id="37" w:name="_Ref37935350"/>
      <w:bookmarkStart w:id="38" w:name="_Toc37943005"/>
      <w:r w:rsidRPr="0042532E">
        <w:rPr>
          <w:b/>
          <w:bCs/>
          <w:color w:val="2F5496" w:themeColor="accent1" w:themeShade="BF"/>
          <w:sz w:val="20"/>
          <w:szCs w:val="20"/>
        </w:rPr>
        <w:t xml:space="preserve">Figure </w:t>
      </w:r>
      <w:r w:rsidR="0042532E" w:rsidRPr="0042532E">
        <w:rPr>
          <w:sz w:val="20"/>
          <w:szCs w:val="20"/>
        </w:rPr>
        <w:fldChar w:fldCharType="begin"/>
      </w:r>
      <w:r w:rsidR="0042532E" w:rsidRPr="0042532E">
        <w:rPr>
          <w:sz w:val="20"/>
          <w:szCs w:val="20"/>
        </w:rPr>
        <w:instrText xml:space="preserve"> SEQ Figure \* ARABIC </w:instrText>
      </w:r>
      <w:r w:rsidR="0042532E" w:rsidRPr="0042532E">
        <w:rPr>
          <w:sz w:val="20"/>
          <w:szCs w:val="20"/>
        </w:rPr>
        <w:fldChar w:fldCharType="separate"/>
      </w:r>
      <w:r w:rsidR="00FE6444">
        <w:rPr>
          <w:noProof/>
          <w:sz w:val="20"/>
          <w:szCs w:val="20"/>
        </w:rPr>
        <w:t>11</w:t>
      </w:r>
      <w:r w:rsidR="0042532E" w:rsidRPr="0042532E">
        <w:rPr>
          <w:sz w:val="20"/>
          <w:szCs w:val="20"/>
        </w:rPr>
        <w:fldChar w:fldCharType="end"/>
      </w:r>
      <w:bookmarkEnd w:id="37"/>
      <w:r w:rsidRPr="004F3EFE">
        <w:rPr>
          <w:color w:val="2F5496" w:themeColor="accent1" w:themeShade="BF"/>
          <w:sz w:val="20"/>
          <w:szCs w:val="20"/>
        </w:rPr>
        <w:t xml:space="preserve">: </w:t>
      </w:r>
      <w:r w:rsidRPr="004F3EFE">
        <w:rPr>
          <w:sz w:val="20"/>
          <w:szCs w:val="20"/>
        </w:rPr>
        <w:t>Five key steps to developing a voluntary commitment program to reduce food waste</w:t>
      </w:r>
      <w:r w:rsidR="003C1B19" w:rsidRPr="004F3EFE">
        <w:rPr>
          <w:sz w:val="20"/>
          <w:szCs w:val="20"/>
        </w:rPr>
        <w:t>, with process step checklists and milestones (EU REFRESH Project 2019)</w:t>
      </w:r>
      <w:bookmarkEnd w:id="38"/>
    </w:p>
    <w:p w14:paraId="32F77053" w14:textId="77777777" w:rsidR="004A2466" w:rsidRDefault="004A2466" w:rsidP="0032062B">
      <w:pPr>
        <w:jc w:val="both"/>
        <w:rPr>
          <w:sz w:val="24"/>
          <w:szCs w:val="24"/>
        </w:rPr>
      </w:pPr>
    </w:p>
    <w:p w14:paraId="12B74DBE" w14:textId="23C2CF4D" w:rsidR="004A2466" w:rsidRPr="00BD537E" w:rsidRDefault="004A2466" w:rsidP="00437509">
      <w:pPr>
        <w:pStyle w:val="Heading2"/>
        <w:rPr>
          <w:rStyle w:val="BookTitle"/>
          <w:b/>
          <w:bCs w:val="0"/>
        </w:rPr>
      </w:pPr>
      <w:bookmarkStart w:id="39" w:name="_Toc39140012"/>
      <w:r w:rsidRPr="00BD537E">
        <w:rPr>
          <w:rStyle w:val="BookTitle"/>
          <w:b/>
          <w:bCs w:val="0"/>
        </w:rPr>
        <w:t>Independent lead organisation and governance model and structure</w:t>
      </w:r>
      <w:bookmarkEnd w:id="39"/>
    </w:p>
    <w:p w14:paraId="1D2E3F94" w14:textId="436A6EC0" w:rsidR="004A2466" w:rsidRDefault="004A2466" w:rsidP="004A2466">
      <w:pPr>
        <w:jc w:val="both"/>
        <w:rPr>
          <w:sz w:val="24"/>
          <w:szCs w:val="24"/>
        </w:rPr>
      </w:pPr>
      <w:r w:rsidRPr="0032062B">
        <w:rPr>
          <w:sz w:val="24"/>
          <w:szCs w:val="24"/>
        </w:rPr>
        <w:t xml:space="preserve">In most existing examples of voluntary commitments, the governance model and structure reflect in some way both the sources and composition of funding. It is common to have an </w:t>
      </w:r>
      <w:r w:rsidRPr="0032062B">
        <w:rPr>
          <w:sz w:val="24"/>
          <w:szCs w:val="24"/>
        </w:rPr>
        <w:lastRenderedPageBreak/>
        <w:t>independent board or steering committee that provides direction and / or guidance to those running the voluntary commitment program. Usually this board or steering committee is made up of 7-10 members. Whilst focussed sub-committees or working groups help to coordinate and deliver different workstreams within the voluntary commitment framework. Subcommittee or working group chairs would usually have a seat on the independent board or steering committee to communicate progress and receive feedback and direction.</w:t>
      </w:r>
    </w:p>
    <w:p w14:paraId="394E01E9" w14:textId="0D14F23D" w:rsidR="0086221B" w:rsidRPr="0086221B" w:rsidRDefault="0076147C" w:rsidP="0086221B">
      <w:pPr>
        <w:spacing w:after="240"/>
        <w:jc w:val="both"/>
        <w:rPr>
          <w:sz w:val="24"/>
          <w:szCs w:val="24"/>
        </w:rPr>
      </w:pPr>
      <w:r w:rsidRPr="0076147C">
        <w:rPr>
          <w:b/>
          <w:bCs/>
          <w:color w:val="2F5496" w:themeColor="accent1" w:themeShade="BF"/>
          <w:sz w:val="24"/>
          <w:szCs w:val="24"/>
        </w:rPr>
        <w:fldChar w:fldCharType="begin"/>
      </w:r>
      <w:r w:rsidRPr="0076147C">
        <w:rPr>
          <w:sz w:val="24"/>
          <w:szCs w:val="24"/>
        </w:rPr>
        <w:instrText xml:space="preserve"> REF _Ref37935907 \h </w:instrText>
      </w:r>
      <w:r>
        <w:rPr>
          <w:b/>
          <w:bCs/>
          <w:color w:val="2F5496" w:themeColor="accent1" w:themeShade="BF"/>
          <w:sz w:val="24"/>
          <w:szCs w:val="24"/>
        </w:rPr>
        <w:instrText xml:space="preserve"> \* MERGEFORMAT </w:instrText>
      </w:r>
      <w:r w:rsidRPr="0076147C">
        <w:rPr>
          <w:b/>
          <w:bCs/>
          <w:color w:val="2F5496" w:themeColor="accent1" w:themeShade="BF"/>
          <w:sz w:val="24"/>
          <w:szCs w:val="24"/>
        </w:rPr>
      </w:r>
      <w:r w:rsidRPr="0076147C">
        <w:rPr>
          <w:b/>
          <w:bCs/>
          <w:color w:val="2F5496" w:themeColor="accent1" w:themeShade="BF"/>
          <w:sz w:val="24"/>
          <w:szCs w:val="24"/>
        </w:rPr>
        <w:fldChar w:fldCharType="separate"/>
      </w:r>
      <w:r w:rsidRPr="0076147C">
        <w:rPr>
          <w:b/>
          <w:bCs/>
          <w:color w:val="2F5496" w:themeColor="accent1" w:themeShade="BF"/>
          <w:sz w:val="24"/>
          <w:szCs w:val="24"/>
        </w:rPr>
        <w:t xml:space="preserve">Figure </w:t>
      </w:r>
      <w:r w:rsidRPr="0076147C">
        <w:rPr>
          <w:b/>
          <w:bCs/>
          <w:noProof/>
          <w:color w:val="2F5496" w:themeColor="accent1" w:themeShade="BF"/>
          <w:sz w:val="24"/>
          <w:szCs w:val="24"/>
        </w:rPr>
        <w:t>12</w:t>
      </w:r>
      <w:r w:rsidRPr="0076147C">
        <w:rPr>
          <w:b/>
          <w:bCs/>
          <w:color w:val="2F5496" w:themeColor="accent1" w:themeShade="BF"/>
          <w:sz w:val="24"/>
          <w:szCs w:val="24"/>
        </w:rPr>
        <w:fldChar w:fldCharType="end"/>
      </w:r>
      <w:r>
        <w:rPr>
          <w:b/>
          <w:bCs/>
          <w:color w:val="2F5496" w:themeColor="accent1" w:themeShade="BF"/>
          <w:sz w:val="24"/>
          <w:szCs w:val="24"/>
        </w:rPr>
        <w:t xml:space="preserve"> </w:t>
      </w:r>
      <w:r w:rsidR="008062CA">
        <w:rPr>
          <w:sz w:val="24"/>
          <w:szCs w:val="24"/>
        </w:rPr>
        <w:t>below provides an illustrative example of the governance structure for a voluntary commitment program, including the role of the governance entity and that of experts representing signatory organisations</w:t>
      </w:r>
      <w:r w:rsidR="00B57CDE">
        <w:rPr>
          <w:sz w:val="24"/>
          <w:szCs w:val="24"/>
        </w:rPr>
        <w:t>.</w:t>
      </w:r>
    </w:p>
    <w:p w14:paraId="220849E9" w14:textId="3C0D7D3D" w:rsidR="0086221B" w:rsidRPr="0076147C" w:rsidRDefault="0086221B" w:rsidP="0076147C">
      <w:pPr>
        <w:keepNext/>
        <w:jc w:val="both"/>
      </w:pPr>
      <w:bookmarkStart w:id="40" w:name="_Ref37935907"/>
      <w:bookmarkStart w:id="41" w:name="_Toc37943006"/>
      <w:r w:rsidRPr="0076147C">
        <w:rPr>
          <w:b/>
          <w:bCs/>
          <w:color w:val="2F5496" w:themeColor="accent1" w:themeShade="BF"/>
          <w:sz w:val="20"/>
          <w:szCs w:val="20"/>
        </w:rPr>
        <w:t xml:space="preserve">Figure </w:t>
      </w:r>
      <w:r w:rsidR="0076147C" w:rsidRPr="0076147C">
        <w:rPr>
          <w:b/>
          <w:bCs/>
          <w:color w:val="2F5496" w:themeColor="accent1" w:themeShade="BF"/>
          <w:sz w:val="20"/>
          <w:szCs w:val="20"/>
        </w:rPr>
        <w:fldChar w:fldCharType="begin"/>
      </w:r>
      <w:r w:rsidR="0076147C" w:rsidRPr="0076147C">
        <w:rPr>
          <w:b/>
          <w:bCs/>
          <w:color w:val="2F5496" w:themeColor="accent1" w:themeShade="BF"/>
          <w:sz w:val="20"/>
          <w:szCs w:val="20"/>
        </w:rPr>
        <w:instrText xml:space="preserve"> SEQ Figure \* ARABIC </w:instrText>
      </w:r>
      <w:r w:rsidR="0076147C" w:rsidRPr="0076147C">
        <w:rPr>
          <w:b/>
          <w:bCs/>
          <w:color w:val="2F5496" w:themeColor="accent1" w:themeShade="BF"/>
          <w:sz w:val="20"/>
          <w:szCs w:val="20"/>
        </w:rPr>
        <w:fldChar w:fldCharType="separate"/>
      </w:r>
      <w:r w:rsidR="00FE6444">
        <w:rPr>
          <w:b/>
          <w:bCs/>
          <w:noProof/>
          <w:color w:val="2F5496" w:themeColor="accent1" w:themeShade="BF"/>
          <w:sz w:val="20"/>
          <w:szCs w:val="20"/>
        </w:rPr>
        <w:t>12</w:t>
      </w:r>
      <w:r w:rsidR="0076147C" w:rsidRPr="0076147C">
        <w:rPr>
          <w:b/>
          <w:bCs/>
          <w:color w:val="2F5496" w:themeColor="accent1" w:themeShade="BF"/>
          <w:sz w:val="20"/>
          <w:szCs w:val="20"/>
        </w:rPr>
        <w:fldChar w:fldCharType="end"/>
      </w:r>
      <w:bookmarkEnd w:id="40"/>
      <w:r w:rsidRPr="008062CA">
        <w:rPr>
          <w:sz w:val="20"/>
          <w:szCs w:val="20"/>
        </w:rPr>
        <w:t>: illustrative example of the governance structure for a voluntary commitment program</w:t>
      </w:r>
      <w:bookmarkEnd w:id="41"/>
    </w:p>
    <w:p w14:paraId="33082D29" w14:textId="77777777" w:rsidR="0086221B" w:rsidRDefault="0086221B" w:rsidP="0086221B">
      <w:pPr>
        <w:jc w:val="both"/>
        <w:rPr>
          <w:sz w:val="24"/>
          <w:szCs w:val="24"/>
        </w:rPr>
      </w:pPr>
      <w:r>
        <w:rPr>
          <w:noProof/>
          <w:sz w:val="24"/>
          <w:szCs w:val="24"/>
        </w:rPr>
        <w:drawing>
          <wp:inline distT="0" distB="0" distL="0" distR="0" wp14:anchorId="7122708F" wp14:editId="12923FA1">
            <wp:extent cx="5715957" cy="2895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4136" cy="2920006"/>
                    </a:xfrm>
                    <a:prstGeom prst="rect">
                      <a:avLst/>
                    </a:prstGeom>
                    <a:noFill/>
                  </pic:spPr>
                </pic:pic>
              </a:graphicData>
            </a:graphic>
          </wp:inline>
        </w:drawing>
      </w:r>
    </w:p>
    <w:p w14:paraId="5BB95C9A" w14:textId="45FA54FF" w:rsidR="0086221B" w:rsidRPr="0086221B" w:rsidRDefault="0086221B" w:rsidP="0086221B">
      <w:pPr>
        <w:jc w:val="both"/>
        <w:rPr>
          <w:sz w:val="20"/>
          <w:szCs w:val="20"/>
        </w:rPr>
      </w:pPr>
      <w:r w:rsidRPr="0032062B">
        <w:rPr>
          <w:sz w:val="24"/>
          <w:szCs w:val="24"/>
        </w:rPr>
        <w:t xml:space="preserve">It is widely recognised that strong leadership and effective management </w:t>
      </w:r>
      <w:r>
        <w:rPr>
          <w:sz w:val="24"/>
          <w:szCs w:val="24"/>
        </w:rPr>
        <w:t xml:space="preserve">by the independent third party charged with delivery </w:t>
      </w:r>
      <w:r w:rsidRPr="0032062B">
        <w:rPr>
          <w:sz w:val="24"/>
          <w:szCs w:val="24"/>
        </w:rPr>
        <w:t>is the central critical success factor in any voluntary commitment program. And in cases where a strong coordination function is required to deliver the collective impact of the voluntary commitment and / or a quick decision-making process is required, a model with one lead organisation, independent of government and business is generally considered more appropriate</w:t>
      </w:r>
      <w:r w:rsidRPr="0032062B">
        <w:rPr>
          <w:rStyle w:val="FootnoteReference"/>
          <w:sz w:val="24"/>
          <w:szCs w:val="24"/>
        </w:rPr>
        <w:footnoteReference w:id="12"/>
      </w:r>
      <w:r w:rsidRPr="0032062B">
        <w:rPr>
          <w:sz w:val="24"/>
          <w:szCs w:val="24"/>
        </w:rPr>
        <w:t>,</w:t>
      </w:r>
      <w:r w:rsidRPr="0032062B">
        <w:rPr>
          <w:rStyle w:val="FootnoteReference"/>
          <w:sz w:val="24"/>
          <w:szCs w:val="24"/>
        </w:rPr>
        <w:footnoteReference w:id="13"/>
      </w:r>
      <w:r w:rsidRPr="0032062B">
        <w:rPr>
          <w:sz w:val="24"/>
          <w:szCs w:val="24"/>
        </w:rPr>
        <w:t>,</w:t>
      </w:r>
      <w:r w:rsidRPr="0032062B">
        <w:rPr>
          <w:rStyle w:val="FootnoteReference"/>
          <w:sz w:val="24"/>
          <w:szCs w:val="24"/>
        </w:rPr>
        <w:footnoteReference w:id="14"/>
      </w:r>
      <w:r w:rsidRPr="0032062B">
        <w:rPr>
          <w:sz w:val="24"/>
          <w:szCs w:val="24"/>
        </w:rPr>
        <w:t xml:space="preserve">.  </w:t>
      </w:r>
    </w:p>
    <w:p w14:paraId="792FBAEF" w14:textId="1186DDCD" w:rsidR="0086221B" w:rsidRDefault="0086221B" w:rsidP="00B57CDE">
      <w:pPr>
        <w:jc w:val="both"/>
        <w:rPr>
          <w:sz w:val="24"/>
          <w:szCs w:val="24"/>
        </w:rPr>
        <w:sectPr w:rsidR="0086221B">
          <w:headerReference w:type="default" r:id="rId41"/>
          <w:pgSz w:w="11906" w:h="16838"/>
          <w:pgMar w:top="1440" w:right="1440" w:bottom="1440" w:left="1440" w:header="708" w:footer="708" w:gutter="0"/>
          <w:cols w:space="708"/>
          <w:docGrid w:linePitch="360"/>
        </w:sectPr>
      </w:pPr>
    </w:p>
    <w:p w14:paraId="7B7B1640" w14:textId="4453CB8A" w:rsidR="00F7740A" w:rsidRPr="0042532E" w:rsidRDefault="0042532E" w:rsidP="0042532E">
      <w:pPr>
        <w:pStyle w:val="Caption"/>
        <w:rPr>
          <w:i w:val="0"/>
          <w:iCs w:val="0"/>
          <w:sz w:val="20"/>
          <w:szCs w:val="20"/>
        </w:rPr>
      </w:pPr>
      <w:bookmarkStart w:id="42" w:name="_Ref37935965"/>
      <w:bookmarkStart w:id="43" w:name="_Toc37943007"/>
      <w:r w:rsidRPr="0042532E">
        <w:rPr>
          <w:b/>
          <w:bCs/>
          <w:i w:val="0"/>
          <w:iCs w:val="0"/>
          <w:color w:val="2F5496" w:themeColor="accent1" w:themeShade="BF"/>
          <w:sz w:val="20"/>
          <w:szCs w:val="20"/>
        </w:rPr>
        <w:lastRenderedPageBreak/>
        <w:t xml:space="preserve">Figure </w:t>
      </w:r>
      <w:r w:rsidRPr="0042532E">
        <w:rPr>
          <w:b/>
          <w:bCs/>
          <w:i w:val="0"/>
          <w:iCs w:val="0"/>
          <w:color w:val="2F5496" w:themeColor="accent1" w:themeShade="BF"/>
          <w:sz w:val="20"/>
          <w:szCs w:val="20"/>
        </w:rPr>
        <w:fldChar w:fldCharType="begin"/>
      </w:r>
      <w:r w:rsidRPr="0042532E">
        <w:rPr>
          <w:b/>
          <w:bCs/>
          <w:i w:val="0"/>
          <w:iCs w:val="0"/>
          <w:color w:val="2F5496" w:themeColor="accent1" w:themeShade="BF"/>
          <w:sz w:val="20"/>
          <w:szCs w:val="20"/>
        </w:rPr>
        <w:instrText xml:space="preserve"> SEQ Figure \* ARABIC </w:instrText>
      </w:r>
      <w:r w:rsidRPr="0042532E">
        <w:rPr>
          <w:b/>
          <w:bCs/>
          <w:i w:val="0"/>
          <w:iCs w:val="0"/>
          <w:color w:val="2F5496" w:themeColor="accent1" w:themeShade="BF"/>
          <w:sz w:val="20"/>
          <w:szCs w:val="20"/>
        </w:rPr>
        <w:fldChar w:fldCharType="separate"/>
      </w:r>
      <w:r w:rsidR="00FE6444">
        <w:rPr>
          <w:b/>
          <w:bCs/>
          <w:i w:val="0"/>
          <w:iCs w:val="0"/>
          <w:noProof/>
          <w:color w:val="2F5496" w:themeColor="accent1" w:themeShade="BF"/>
          <w:sz w:val="20"/>
          <w:szCs w:val="20"/>
        </w:rPr>
        <w:t>13</w:t>
      </w:r>
      <w:r w:rsidRPr="0042532E">
        <w:rPr>
          <w:b/>
          <w:bCs/>
          <w:i w:val="0"/>
          <w:iCs w:val="0"/>
          <w:color w:val="2F5496" w:themeColor="accent1" w:themeShade="BF"/>
          <w:sz w:val="20"/>
          <w:szCs w:val="20"/>
        </w:rPr>
        <w:fldChar w:fldCharType="end"/>
      </w:r>
      <w:bookmarkEnd w:id="42"/>
      <w:r w:rsidR="00F7740A" w:rsidRPr="0042532E">
        <w:rPr>
          <w:i w:val="0"/>
          <w:iCs w:val="0"/>
          <w:sz w:val="20"/>
          <w:szCs w:val="20"/>
        </w:rPr>
        <w:t>:  indicative development and launch timeline for a voluntary commitment program to reduce food waste (subject to implementation funding)</w:t>
      </w:r>
      <w:bookmarkEnd w:id="43"/>
    </w:p>
    <w:p w14:paraId="3C118079" w14:textId="77777777" w:rsidR="00F7740A" w:rsidRDefault="00F7740A" w:rsidP="00F7740A"/>
    <w:p w14:paraId="067A791A" w14:textId="77777777" w:rsidR="00F7740A" w:rsidRPr="00880225" w:rsidRDefault="00F7740A" w:rsidP="00F7740A">
      <w:pPr>
        <w:jc w:val="center"/>
        <w:sectPr w:rsidR="00F7740A" w:rsidRPr="00880225" w:rsidSect="00880225">
          <w:headerReference w:type="default" r:id="rId42"/>
          <w:pgSz w:w="16838" w:h="11906" w:orient="landscape"/>
          <w:pgMar w:top="1440" w:right="1440" w:bottom="1440" w:left="1440" w:header="708" w:footer="708" w:gutter="0"/>
          <w:cols w:space="708"/>
          <w:docGrid w:linePitch="360"/>
        </w:sectPr>
      </w:pPr>
      <w:r>
        <w:rPr>
          <w:noProof/>
        </w:rPr>
        <w:drawing>
          <wp:inline distT="0" distB="0" distL="0" distR="0" wp14:anchorId="23849770" wp14:editId="30B277FC">
            <wp:extent cx="9035901" cy="47720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068560" cy="4789273"/>
                    </a:xfrm>
                    <a:prstGeom prst="rect">
                      <a:avLst/>
                    </a:prstGeom>
                    <a:noFill/>
                  </pic:spPr>
                </pic:pic>
              </a:graphicData>
            </a:graphic>
          </wp:inline>
        </w:drawing>
      </w:r>
    </w:p>
    <w:p w14:paraId="7DB2C1CC" w14:textId="77777777" w:rsidR="0086221B" w:rsidRPr="0032062B" w:rsidRDefault="0086221B" w:rsidP="0086221B">
      <w:pPr>
        <w:jc w:val="both"/>
        <w:rPr>
          <w:rFonts w:cstheme="minorHAnsi"/>
          <w:sz w:val="24"/>
          <w:szCs w:val="24"/>
          <w:shd w:val="clear" w:color="auto" w:fill="FFFFFF"/>
        </w:rPr>
      </w:pPr>
      <w:r w:rsidRPr="0032062B">
        <w:rPr>
          <w:sz w:val="24"/>
          <w:szCs w:val="24"/>
        </w:rPr>
        <w:lastRenderedPageBreak/>
        <w:t xml:space="preserve">The </w:t>
      </w:r>
      <w:r w:rsidRPr="00913F43">
        <w:rPr>
          <w:rStyle w:val="Strong"/>
          <w:rFonts w:cstheme="minorHAnsi"/>
          <w:b w:val="0"/>
          <w:bCs w:val="0"/>
          <w:color w:val="auto"/>
          <w:sz w:val="24"/>
          <w:szCs w:val="24"/>
          <w:shd w:val="clear" w:color="auto" w:fill="FFFFFF"/>
        </w:rPr>
        <w:t>role of an independent third party is crucial in managing the voluntary commitment program,</w:t>
      </w:r>
      <w:r w:rsidRPr="00913F43">
        <w:rPr>
          <w:rFonts w:cstheme="minorHAnsi"/>
          <w:sz w:val="24"/>
          <w:szCs w:val="24"/>
          <w:shd w:val="clear" w:color="auto" w:fill="FFFFFF"/>
        </w:rPr>
        <w:t> notably to</w:t>
      </w:r>
      <w:r w:rsidRPr="0032062B">
        <w:rPr>
          <w:rFonts w:cstheme="minorHAnsi"/>
          <w:sz w:val="24"/>
          <w:szCs w:val="24"/>
          <w:shd w:val="clear" w:color="auto" w:fill="FFFFFF"/>
        </w:rPr>
        <w:t xml:space="preserve">: </w:t>
      </w:r>
    </w:p>
    <w:p w14:paraId="4DC1B89A" w14:textId="77777777" w:rsidR="0086221B" w:rsidRPr="0032062B" w:rsidRDefault="0086221B" w:rsidP="00F2143E">
      <w:pPr>
        <w:pStyle w:val="ListParagraph"/>
        <w:numPr>
          <w:ilvl w:val="0"/>
          <w:numId w:val="10"/>
        </w:numPr>
        <w:spacing w:after="80"/>
        <w:ind w:left="284" w:hanging="284"/>
        <w:contextualSpacing w:val="0"/>
        <w:jc w:val="both"/>
        <w:rPr>
          <w:rFonts w:cstheme="minorHAnsi"/>
          <w:sz w:val="24"/>
          <w:szCs w:val="24"/>
          <w:shd w:val="clear" w:color="auto" w:fill="FFFFFF"/>
        </w:rPr>
      </w:pPr>
      <w:r w:rsidRPr="0032062B">
        <w:rPr>
          <w:rFonts w:cstheme="minorHAnsi"/>
          <w:sz w:val="24"/>
          <w:szCs w:val="24"/>
          <w:shd w:val="clear" w:color="auto" w:fill="FFFFFF"/>
        </w:rPr>
        <w:t>Service the governance structure – e.g. plan, set-up, facilitate, record and chase actions from meetings</w:t>
      </w:r>
      <w:r>
        <w:rPr>
          <w:rFonts w:cstheme="minorHAnsi"/>
          <w:sz w:val="24"/>
          <w:szCs w:val="24"/>
          <w:shd w:val="clear" w:color="auto" w:fill="FFFFFF"/>
        </w:rPr>
        <w:t>, workshops and conferences.</w:t>
      </w:r>
      <w:r w:rsidRPr="0032062B">
        <w:rPr>
          <w:rFonts w:cstheme="minorHAnsi"/>
          <w:sz w:val="24"/>
          <w:szCs w:val="24"/>
          <w:shd w:val="clear" w:color="auto" w:fill="FFFFFF"/>
        </w:rPr>
        <w:t xml:space="preserve"> </w:t>
      </w:r>
    </w:p>
    <w:p w14:paraId="7E14C411" w14:textId="14EDE0EE" w:rsidR="0086221B" w:rsidRPr="0086221B" w:rsidRDefault="0086221B" w:rsidP="00F2143E">
      <w:pPr>
        <w:pStyle w:val="ListParagraph"/>
        <w:numPr>
          <w:ilvl w:val="0"/>
          <w:numId w:val="10"/>
        </w:numPr>
        <w:spacing w:after="80"/>
        <w:ind w:left="284" w:hanging="284"/>
        <w:contextualSpacing w:val="0"/>
        <w:jc w:val="both"/>
        <w:rPr>
          <w:rFonts w:cstheme="minorHAnsi"/>
          <w:sz w:val="24"/>
          <w:szCs w:val="24"/>
          <w:shd w:val="clear" w:color="auto" w:fill="FFFFFF"/>
        </w:rPr>
      </w:pPr>
      <w:r w:rsidRPr="0032062B">
        <w:rPr>
          <w:rFonts w:cstheme="minorHAnsi"/>
          <w:sz w:val="24"/>
          <w:szCs w:val="24"/>
          <w:shd w:val="clear" w:color="auto" w:fill="FFFFFF"/>
        </w:rPr>
        <w:t>Engage, recruit and manage relationships with signatory organisations</w:t>
      </w:r>
      <w:r>
        <w:rPr>
          <w:rFonts w:cstheme="minorHAnsi"/>
          <w:sz w:val="24"/>
          <w:szCs w:val="24"/>
          <w:shd w:val="clear" w:color="auto" w:fill="FFFFFF"/>
        </w:rPr>
        <w:t>.</w:t>
      </w:r>
      <w:r w:rsidRPr="0032062B">
        <w:rPr>
          <w:rFonts w:cstheme="minorHAnsi"/>
          <w:sz w:val="24"/>
          <w:szCs w:val="24"/>
          <w:shd w:val="clear" w:color="auto" w:fill="FFFFFF"/>
        </w:rPr>
        <w:t xml:space="preserve"> </w:t>
      </w:r>
    </w:p>
    <w:p w14:paraId="0A580E07" w14:textId="2F9B90F5" w:rsidR="001D75F9" w:rsidRPr="0032062B" w:rsidRDefault="001D75F9" w:rsidP="00F2143E">
      <w:pPr>
        <w:pStyle w:val="ListParagraph"/>
        <w:numPr>
          <w:ilvl w:val="0"/>
          <w:numId w:val="10"/>
        </w:numPr>
        <w:spacing w:after="80"/>
        <w:ind w:left="284" w:hanging="284"/>
        <w:contextualSpacing w:val="0"/>
        <w:jc w:val="both"/>
        <w:rPr>
          <w:rFonts w:cstheme="minorHAnsi"/>
          <w:sz w:val="24"/>
          <w:szCs w:val="24"/>
          <w:shd w:val="clear" w:color="auto" w:fill="FFFFFF"/>
        </w:rPr>
      </w:pPr>
      <w:r w:rsidRPr="0032062B">
        <w:rPr>
          <w:rFonts w:cstheme="minorHAnsi"/>
          <w:sz w:val="24"/>
          <w:szCs w:val="24"/>
          <w:shd w:val="clear" w:color="auto" w:fill="FFFFFF"/>
        </w:rPr>
        <w:t>S</w:t>
      </w:r>
      <w:r w:rsidR="002B2EBF" w:rsidRPr="0032062B">
        <w:rPr>
          <w:rFonts w:cstheme="minorHAnsi"/>
          <w:sz w:val="24"/>
          <w:szCs w:val="24"/>
          <w:shd w:val="clear" w:color="auto" w:fill="FFFFFF"/>
        </w:rPr>
        <w:t>upport</w:t>
      </w:r>
      <w:r w:rsidR="00A46E95" w:rsidRPr="0032062B">
        <w:rPr>
          <w:rFonts w:cstheme="minorHAnsi"/>
          <w:sz w:val="24"/>
          <w:szCs w:val="24"/>
          <w:shd w:val="clear" w:color="auto" w:fill="FFFFFF"/>
        </w:rPr>
        <w:t xml:space="preserve"> </w:t>
      </w:r>
      <w:r w:rsidR="00DB7254" w:rsidRPr="0032062B">
        <w:rPr>
          <w:rFonts w:cstheme="minorHAnsi"/>
          <w:sz w:val="24"/>
          <w:szCs w:val="24"/>
          <w:shd w:val="clear" w:color="auto" w:fill="FFFFFF"/>
        </w:rPr>
        <w:t>programs of work</w:t>
      </w:r>
      <w:r w:rsidRPr="0032062B">
        <w:rPr>
          <w:rFonts w:cstheme="minorHAnsi"/>
          <w:sz w:val="24"/>
          <w:szCs w:val="24"/>
          <w:shd w:val="clear" w:color="auto" w:fill="FFFFFF"/>
        </w:rPr>
        <w:t xml:space="preserve"> and specific projects</w:t>
      </w:r>
      <w:r w:rsidR="00DB7254" w:rsidRPr="0032062B">
        <w:rPr>
          <w:rFonts w:cstheme="minorHAnsi"/>
          <w:sz w:val="24"/>
          <w:szCs w:val="24"/>
          <w:shd w:val="clear" w:color="auto" w:fill="FFFFFF"/>
        </w:rPr>
        <w:t xml:space="preserve"> </w:t>
      </w:r>
      <w:r w:rsidRPr="0032062B">
        <w:rPr>
          <w:rFonts w:cstheme="minorHAnsi"/>
          <w:sz w:val="24"/>
          <w:szCs w:val="24"/>
          <w:shd w:val="clear" w:color="auto" w:fill="FFFFFF"/>
        </w:rPr>
        <w:t>with signatories and their value chain partners</w:t>
      </w:r>
      <w:r w:rsidR="002B6689">
        <w:rPr>
          <w:rFonts w:cstheme="minorHAnsi"/>
          <w:sz w:val="24"/>
          <w:szCs w:val="24"/>
          <w:shd w:val="clear" w:color="auto" w:fill="FFFFFF"/>
        </w:rPr>
        <w:t>.</w:t>
      </w:r>
      <w:r w:rsidRPr="0032062B">
        <w:rPr>
          <w:rFonts w:cstheme="minorHAnsi"/>
          <w:sz w:val="24"/>
          <w:szCs w:val="24"/>
          <w:shd w:val="clear" w:color="auto" w:fill="FFFFFF"/>
        </w:rPr>
        <w:t xml:space="preserve"> </w:t>
      </w:r>
    </w:p>
    <w:p w14:paraId="6F1EE706" w14:textId="600EE607" w:rsidR="001D75F9" w:rsidRPr="0032062B" w:rsidRDefault="001D75F9" w:rsidP="00F2143E">
      <w:pPr>
        <w:pStyle w:val="ListParagraph"/>
        <w:numPr>
          <w:ilvl w:val="0"/>
          <w:numId w:val="10"/>
        </w:numPr>
        <w:spacing w:after="80"/>
        <w:ind w:left="284" w:hanging="284"/>
        <w:contextualSpacing w:val="0"/>
        <w:jc w:val="both"/>
        <w:rPr>
          <w:rFonts w:cstheme="minorHAnsi"/>
          <w:sz w:val="24"/>
          <w:szCs w:val="24"/>
          <w:shd w:val="clear" w:color="auto" w:fill="FFFFFF"/>
        </w:rPr>
      </w:pPr>
      <w:r w:rsidRPr="0032062B">
        <w:rPr>
          <w:rFonts w:cstheme="minorHAnsi"/>
          <w:sz w:val="24"/>
          <w:szCs w:val="24"/>
          <w:shd w:val="clear" w:color="auto" w:fill="FFFFFF"/>
        </w:rPr>
        <w:t xml:space="preserve">Collect, analyse, manage and ensure the security of signatory’s confidential data and information, and that </w:t>
      </w:r>
      <w:r w:rsidR="00250987" w:rsidRPr="0032062B">
        <w:rPr>
          <w:rFonts w:cstheme="minorHAnsi"/>
          <w:sz w:val="24"/>
          <w:szCs w:val="24"/>
          <w:shd w:val="clear" w:color="auto" w:fill="FFFFFF"/>
        </w:rPr>
        <w:t>enough</w:t>
      </w:r>
      <w:r w:rsidRPr="0032062B">
        <w:rPr>
          <w:rFonts w:cstheme="minorHAnsi"/>
          <w:sz w:val="24"/>
          <w:szCs w:val="24"/>
          <w:shd w:val="clear" w:color="auto" w:fill="FFFFFF"/>
        </w:rPr>
        <w:t xml:space="preserve"> progress is being made against the targets and objectives of the voluntary commitment</w:t>
      </w:r>
      <w:r w:rsidR="002B6689">
        <w:rPr>
          <w:rFonts w:cstheme="minorHAnsi"/>
          <w:sz w:val="24"/>
          <w:szCs w:val="24"/>
          <w:shd w:val="clear" w:color="auto" w:fill="FFFFFF"/>
        </w:rPr>
        <w:t>.</w:t>
      </w:r>
      <w:r w:rsidRPr="0032062B">
        <w:rPr>
          <w:rFonts w:cstheme="minorHAnsi"/>
          <w:sz w:val="24"/>
          <w:szCs w:val="24"/>
          <w:shd w:val="clear" w:color="auto" w:fill="FFFFFF"/>
        </w:rPr>
        <w:t xml:space="preserve"> </w:t>
      </w:r>
    </w:p>
    <w:p w14:paraId="0F91D222" w14:textId="55AAD50C" w:rsidR="001D75F9" w:rsidRPr="0032062B" w:rsidRDefault="001D75F9" w:rsidP="00F2143E">
      <w:pPr>
        <w:pStyle w:val="ListParagraph"/>
        <w:numPr>
          <w:ilvl w:val="0"/>
          <w:numId w:val="10"/>
        </w:numPr>
        <w:spacing w:after="80"/>
        <w:ind w:left="284" w:hanging="284"/>
        <w:contextualSpacing w:val="0"/>
        <w:jc w:val="both"/>
        <w:rPr>
          <w:rFonts w:cstheme="minorHAnsi"/>
          <w:sz w:val="24"/>
          <w:szCs w:val="24"/>
          <w:shd w:val="clear" w:color="auto" w:fill="FFFFFF"/>
        </w:rPr>
      </w:pPr>
      <w:r w:rsidRPr="0032062B">
        <w:rPr>
          <w:rFonts w:cstheme="minorHAnsi"/>
          <w:sz w:val="24"/>
          <w:szCs w:val="24"/>
          <w:shd w:val="clear" w:color="auto" w:fill="FFFFFF"/>
        </w:rPr>
        <w:t xml:space="preserve">Liaise with other relevant organisations – for example, </w:t>
      </w:r>
      <w:r w:rsidR="00F7740A">
        <w:rPr>
          <w:rFonts w:cstheme="minorHAnsi"/>
          <w:sz w:val="24"/>
          <w:szCs w:val="24"/>
          <w:shd w:val="clear" w:color="auto" w:fill="FFFFFF"/>
        </w:rPr>
        <w:t xml:space="preserve">the Fight Food Waste CRC, Food Innovation Australia Limited (FIAL), the Australian Institute of Packaging (AIP), </w:t>
      </w:r>
      <w:r w:rsidRPr="0032062B">
        <w:rPr>
          <w:rFonts w:cstheme="minorHAnsi"/>
          <w:sz w:val="24"/>
          <w:szCs w:val="24"/>
          <w:shd w:val="clear" w:color="auto" w:fill="FFFFFF"/>
        </w:rPr>
        <w:t>CSIRO</w:t>
      </w:r>
      <w:r w:rsidR="0011098E" w:rsidRPr="0032062B">
        <w:rPr>
          <w:rFonts w:cstheme="minorHAnsi"/>
          <w:sz w:val="24"/>
          <w:szCs w:val="24"/>
          <w:shd w:val="clear" w:color="auto" w:fill="FFFFFF"/>
        </w:rPr>
        <w:t xml:space="preserve">, APCO, </w:t>
      </w:r>
      <w:r w:rsidR="00F7740A">
        <w:rPr>
          <w:rFonts w:cstheme="minorHAnsi"/>
          <w:sz w:val="24"/>
          <w:szCs w:val="24"/>
          <w:shd w:val="clear" w:color="auto" w:fill="FFFFFF"/>
        </w:rPr>
        <w:t xml:space="preserve">other </w:t>
      </w:r>
      <w:r w:rsidR="0011098E" w:rsidRPr="0032062B">
        <w:rPr>
          <w:rFonts w:cstheme="minorHAnsi"/>
          <w:sz w:val="24"/>
          <w:szCs w:val="24"/>
          <w:shd w:val="clear" w:color="auto" w:fill="FFFFFF"/>
        </w:rPr>
        <w:t>CRCs</w:t>
      </w:r>
      <w:r w:rsidR="00F7740A">
        <w:rPr>
          <w:rFonts w:cstheme="minorHAnsi"/>
          <w:sz w:val="24"/>
          <w:szCs w:val="24"/>
          <w:shd w:val="clear" w:color="auto" w:fill="FFFFFF"/>
        </w:rPr>
        <w:t xml:space="preserve"> and </w:t>
      </w:r>
      <w:r w:rsidR="0011098E" w:rsidRPr="0032062B">
        <w:rPr>
          <w:rFonts w:cstheme="minorHAnsi"/>
          <w:sz w:val="24"/>
          <w:szCs w:val="24"/>
          <w:shd w:val="clear" w:color="auto" w:fill="FFFFFF"/>
        </w:rPr>
        <w:t>Industry Growth Centres, RDAs for profit, peak industry bodies, etc.</w:t>
      </w:r>
    </w:p>
    <w:p w14:paraId="68372D0E" w14:textId="77777777" w:rsidR="002B0964" w:rsidRPr="0032062B" w:rsidRDefault="001D75F9" w:rsidP="00F2143E">
      <w:pPr>
        <w:pStyle w:val="ListParagraph"/>
        <w:numPr>
          <w:ilvl w:val="0"/>
          <w:numId w:val="10"/>
        </w:numPr>
        <w:ind w:left="284" w:hanging="284"/>
        <w:jc w:val="both"/>
        <w:rPr>
          <w:rFonts w:cstheme="minorHAnsi"/>
          <w:sz w:val="24"/>
          <w:szCs w:val="24"/>
          <w:shd w:val="clear" w:color="auto" w:fill="FFFFFF"/>
        </w:rPr>
      </w:pPr>
      <w:r w:rsidRPr="0032062B">
        <w:rPr>
          <w:rFonts w:cstheme="minorHAnsi"/>
          <w:sz w:val="24"/>
          <w:szCs w:val="24"/>
          <w:shd w:val="clear" w:color="auto" w:fill="FFFFFF"/>
        </w:rPr>
        <w:t>C</w:t>
      </w:r>
      <w:r w:rsidR="00DB7254" w:rsidRPr="0032062B">
        <w:rPr>
          <w:rFonts w:cstheme="minorHAnsi"/>
          <w:sz w:val="24"/>
          <w:szCs w:val="24"/>
          <w:shd w:val="clear" w:color="auto" w:fill="FFFFFF"/>
        </w:rPr>
        <w:t xml:space="preserve">oordinate </w:t>
      </w:r>
      <w:r w:rsidR="00A46E95" w:rsidRPr="0032062B">
        <w:rPr>
          <w:rFonts w:cstheme="minorHAnsi"/>
          <w:sz w:val="24"/>
          <w:szCs w:val="24"/>
          <w:shd w:val="clear" w:color="auto" w:fill="FFFFFF"/>
        </w:rPr>
        <w:t xml:space="preserve">internal and external communications. </w:t>
      </w:r>
    </w:p>
    <w:p w14:paraId="27C84F99" w14:textId="77777777" w:rsidR="00E15E1A" w:rsidRPr="0032062B" w:rsidRDefault="00DB7254" w:rsidP="002B0964">
      <w:pPr>
        <w:jc w:val="both"/>
        <w:rPr>
          <w:sz w:val="24"/>
          <w:szCs w:val="24"/>
        </w:rPr>
      </w:pPr>
      <w:r w:rsidRPr="0032062B">
        <w:rPr>
          <w:sz w:val="24"/>
          <w:szCs w:val="24"/>
        </w:rPr>
        <w:t xml:space="preserve">In existing </w:t>
      </w:r>
      <w:r w:rsidR="0011098E" w:rsidRPr="0032062B">
        <w:rPr>
          <w:sz w:val="24"/>
          <w:szCs w:val="24"/>
        </w:rPr>
        <w:t>voluntary commitment programs,</w:t>
      </w:r>
      <w:r w:rsidRPr="0032062B">
        <w:rPr>
          <w:sz w:val="24"/>
          <w:szCs w:val="24"/>
        </w:rPr>
        <w:t xml:space="preserve"> this third-party lead organisation can be a company, a university, research institution or another independent organisation. The neutral stance of the lead organisation is a fundamental marker of trust with signatory organisations in different parts of the food value chain, ensuring unbiased consideration of their different perspectives and concerns, the setting of collective objectives and targets and agreeing the means to deliver them.</w:t>
      </w:r>
      <w:r w:rsidR="00D93267" w:rsidRPr="0032062B">
        <w:rPr>
          <w:sz w:val="24"/>
          <w:szCs w:val="24"/>
        </w:rPr>
        <w:t xml:space="preserve"> Having an unbiased, independent third party running the </w:t>
      </w:r>
      <w:r w:rsidR="0011098E" w:rsidRPr="0032062B">
        <w:rPr>
          <w:sz w:val="24"/>
          <w:szCs w:val="24"/>
        </w:rPr>
        <w:t>voluntary commitment program</w:t>
      </w:r>
      <w:r w:rsidR="00D93267" w:rsidRPr="0032062B">
        <w:rPr>
          <w:sz w:val="24"/>
          <w:szCs w:val="24"/>
        </w:rPr>
        <w:t xml:space="preserve"> also helps to garner trust amongst signatories as the </w:t>
      </w:r>
      <w:r w:rsidR="0011098E" w:rsidRPr="0032062B">
        <w:rPr>
          <w:sz w:val="24"/>
          <w:szCs w:val="24"/>
        </w:rPr>
        <w:t>voluntary commitment</w:t>
      </w:r>
      <w:r w:rsidR="00D93267" w:rsidRPr="0032062B">
        <w:rPr>
          <w:sz w:val="24"/>
          <w:szCs w:val="24"/>
        </w:rPr>
        <w:t xml:space="preserve"> is shaped and delivered</w:t>
      </w:r>
      <w:r w:rsidR="0011098E" w:rsidRPr="0032062B">
        <w:rPr>
          <w:sz w:val="24"/>
          <w:szCs w:val="24"/>
        </w:rPr>
        <w:t>;</w:t>
      </w:r>
      <w:r w:rsidR="00D93267" w:rsidRPr="0032062B">
        <w:rPr>
          <w:sz w:val="24"/>
          <w:szCs w:val="24"/>
        </w:rPr>
        <w:t xml:space="preserve"> and provides assurance to those signatories sharing commercial confidential information, such as sales data, information on product innovation or key supply partners</w:t>
      </w:r>
      <w:r w:rsidR="0011098E" w:rsidRPr="0032062B">
        <w:rPr>
          <w:sz w:val="24"/>
          <w:szCs w:val="24"/>
        </w:rPr>
        <w:t>;</w:t>
      </w:r>
      <w:r w:rsidR="00D93267" w:rsidRPr="0032062B">
        <w:rPr>
          <w:sz w:val="24"/>
          <w:szCs w:val="24"/>
        </w:rPr>
        <w:t xml:space="preserve"> or existing and future </w:t>
      </w:r>
      <w:r w:rsidR="0011098E" w:rsidRPr="0032062B">
        <w:rPr>
          <w:sz w:val="24"/>
          <w:szCs w:val="24"/>
        </w:rPr>
        <w:t>organisational</w:t>
      </w:r>
      <w:r w:rsidR="00D93267" w:rsidRPr="0032062B">
        <w:rPr>
          <w:sz w:val="24"/>
          <w:szCs w:val="24"/>
        </w:rPr>
        <w:t xml:space="preserve"> strategy. </w:t>
      </w:r>
    </w:p>
    <w:p w14:paraId="4AA26E6F" w14:textId="77777777" w:rsidR="001E7D16" w:rsidRPr="001E7D16" w:rsidRDefault="001E7D16" w:rsidP="002B0964">
      <w:pPr>
        <w:jc w:val="both"/>
      </w:pPr>
    </w:p>
    <w:p w14:paraId="54736799" w14:textId="330679F5" w:rsidR="00B664EB" w:rsidRPr="00BD537E" w:rsidRDefault="00B664EB" w:rsidP="00437509">
      <w:pPr>
        <w:pStyle w:val="Heading2"/>
        <w:rPr>
          <w:rStyle w:val="BookTitle"/>
          <w:b/>
          <w:bCs w:val="0"/>
        </w:rPr>
      </w:pPr>
      <w:bookmarkStart w:id="44" w:name="_Toc39140013"/>
      <w:r w:rsidRPr="00437509">
        <w:rPr>
          <w:rStyle w:val="BookTitle"/>
          <w:b/>
          <w:bCs w:val="0"/>
        </w:rPr>
        <w:t>Critical</w:t>
      </w:r>
      <w:r w:rsidR="00BD537E">
        <w:rPr>
          <w:rStyle w:val="BookTitle"/>
          <w:b/>
          <w:bCs w:val="0"/>
        </w:rPr>
        <w:t xml:space="preserve"> success factors</w:t>
      </w:r>
      <w:bookmarkEnd w:id="44"/>
    </w:p>
    <w:p w14:paraId="6A5A392A" w14:textId="77777777" w:rsidR="00B664EB" w:rsidRDefault="00B664EB" w:rsidP="00B664EB">
      <w:pPr>
        <w:jc w:val="both"/>
        <w:rPr>
          <w:sz w:val="24"/>
          <w:szCs w:val="24"/>
        </w:rPr>
      </w:pPr>
      <w:r w:rsidRPr="00B664EB">
        <w:rPr>
          <w:sz w:val="24"/>
          <w:szCs w:val="24"/>
        </w:rPr>
        <w:t>Based</w:t>
      </w:r>
      <w:r>
        <w:rPr>
          <w:sz w:val="24"/>
          <w:szCs w:val="24"/>
        </w:rPr>
        <w:t xml:space="preserve"> on a review of the voluntary commitment programs in over 20 other countries</w:t>
      </w:r>
      <w:r w:rsidR="009574C7">
        <w:rPr>
          <w:rStyle w:val="FootnoteReference"/>
          <w:sz w:val="24"/>
          <w:szCs w:val="24"/>
        </w:rPr>
        <w:footnoteReference w:id="15"/>
      </w:r>
      <w:r>
        <w:rPr>
          <w:sz w:val="24"/>
          <w:szCs w:val="24"/>
        </w:rPr>
        <w:t xml:space="preserve"> and our experience of successfully delivering voluntary commitments elsewhere, the critical success factors required to develop, operate and manage a voluntary commitment program in Australia are as follows:</w:t>
      </w:r>
    </w:p>
    <w:p w14:paraId="224FDF45" w14:textId="77777777" w:rsidR="00A745E1" w:rsidRPr="00A745E1" w:rsidRDefault="00A745E1" w:rsidP="00F2143E">
      <w:pPr>
        <w:pStyle w:val="ListParagraph"/>
        <w:numPr>
          <w:ilvl w:val="0"/>
          <w:numId w:val="12"/>
        </w:numPr>
        <w:spacing w:after="80"/>
        <w:ind w:left="284" w:hanging="284"/>
        <w:contextualSpacing w:val="0"/>
        <w:jc w:val="both"/>
      </w:pPr>
      <w:r w:rsidRPr="00A745E1">
        <w:rPr>
          <w:b/>
          <w:bCs/>
          <w:color w:val="2F5496" w:themeColor="accent1" w:themeShade="BF"/>
          <w:sz w:val="24"/>
          <w:szCs w:val="24"/>
        </w:rPr>
        <w:t>A clearly defined timeframe, target and membership</w:t>
      </w:r>
      <w:r>
        <w:rPr>
          <w:sz w:val="24"/>
          <w:szCs w:val="24"/>
        </w:rPr>
        <w:t xml:space="preserve">: </w:t>
      </w:r>
      <w:r w:rsidRPr="00A745E1">
        <w:rPr>
          <w:sz w:val="24"/>
          <w:szCs w:val="24"/>
          <w:lang w:val="en-GB"/>
        </w:rPr>
        <w:t xml:space="preserve">e.g. </w:t>
      </w:r>
      <w:r>
        <w:rPr>
          <w:sz w:val="24"/>
          <w:szCs w:val="24"/>
          <w:lang w:val="en-GB"/>
        </w:rPr>
        <w:t xml:space="preserve">as per experience with the UK’s </w:t>
      </w:r>
      <w:r w:rsidRPr="00A745E1">
        <w:rPr>
          <w:sz w:val="24"/>
          <w:szCs w:val="24"/>
          <w:lang w:val="en-GB"/>
        </w:rPr>
        <w:t xml:space="preserve">Courtauld Commitment, </w:t>
      </w:r>
      <w:r>
        <w:rPr>
          <w:sz w:val="24"/>
          <w:szCs w:val="24"/>
          <w:lang w:val="en-GB"/>
        </w:rPr>
        <w:t xml:space="preserve">the </w:t>
      </w:r>
      <w:r w:rsidRPr="00A745E1">
        <w:rPr>
          <w:sz w:val="24"/>
          <w:szCs w:val="24"/>
          <w:lang w:val="en-GB"/>
        </w:rPr>
        <w:t xml:space="preserve">Taskforce Circular Economy in Food (Netherlands), Norway’s </w:t>
      </w:r>
      <w:r w:rsidRPr="00A745E1">
        <w:rPr>
          <w:sz w:val="24"/>
          <w:szCs w:val="24"/>
          <w:lang w:val="en-GB"/>
        </w:rPr>
        <w:lastRenderedPageBreak/>
        <w:t>Food Waste Agreement and Charter (Norway), the Retail Action Group (Ireland) and the Food Loss and Waste Champions (USA)</w:t>
      </w:r>
      <w:r>
        <w:rPr>
          <w:sz w:val="24"/>
          <w:szCs w:val="24"/>
          <w:lang w:val="en-GB"/>
        </w:rPr>
        <w:t>.</w:t>
      </w:r>
      <w:r w:rsidRPr="00A745E1">
        <w:rPr>
          <w:lang w:val="en-GB"/>
        </w:rPr>
        <w:t xml:space="preserve"> </w:t>
      </w:r>
    </w:p>
    <w:p w14:paraId="6D3519D4" w14:textId="77777777" w:rsidR="00B44E5C" w:rsidRPr="00B44E5C" w:rsidRDefault="00B44E5C" w:rsidP="00F2143E">
      <w:pPr>
        <w:pStyle w:val="ListParagraph"/>
        <w:numPr>
          <w:ilvl w:val="0"/>
          <w:numId w:val="12"/>
        </w:numPr>
        <w:spacing w:after="80"/>
        <w:ind w:left="284" w:hanging="284"/>
        <w:contextualSpacing w:val="0"/>
        <w:jc w:val="both"/>
      </w:pPr>
      <w:r w:rsidRPr="00B44E5C">
        <w:rPr>
          <w:b/>
          <w:bCs/>
          <w:color w:val="2F5496" w:themeColor="accent1" w:themeShade="BF"/>
          <w:sz w:val="24"/>
          <w:szCs w:val="24"/>
        </w:rPr>
        <w:t>An independent, third party lead organisation</w:t>
      </w:r>
      <w:r>
        <w:rPr>
          <w:sz w:val="24"/>
          <w:szCs w:val="24"/>
        </w:rPr>
        <w:t xml:space="preserve">: </w:t>
      </w:r>
      <w:r>
        <w:rPr>
          <w:sz w:val="24"/>
          <w:szCs w:val="24"/>
          <w:lang w:val="en-GB"/>
        </w:rPr>
        <w:t>s</w:t>
      </w:r>
      <w:r w:rsidRPr="00B44E5C">
        <w:rPr>
          <w:sz w:val="24"/>
          <w:szCs w:val="24"/>
          <w:lang w:val="en-GB"/>
        </w:rPr>
        <w:t>een as neutral, trusted and able to build trust amongst signatories. Providing strong leadership/management</w:t>
      </w:r>
      <w:r>
        <w:rPr>
          <w:sz w:val="24"/>
          <w:szCs w:val="24"/>
          <w:lang w:val="en-GB"/>
        </w:rPr>
        <w:t>, capable of agile decision-making and able to ensure they all key stakeholder groups are included and able to shape important discussions around the activities and initiatives required to deliver the voluntary commitment program</w:t>
      </w:r>
      <w:r w:rsidRPr="00B44E5C">
        <w:rPr>
          <w:sz w:val="24"/>
          <w:szCs w:val="24"/>
          <w:lang w:val="en-GB"/>
        </w:rPr>
        <w:t>.</w:t>
      </w:r>
    </w:p>
    <w:p w14:paraId="292CC9F6" w14:textId="77777777" w:rsidR="00B44E5C" w:rsidRPr="00B44E5C" w:rsidRDefault="00B44E5C" w:rsidP="00F2143E">
      <w:pPr>
        <w:pStyle w:val="ListParagraph"/>
        <w:numPr>
          <w:ilvl w:val="0"/>
          <w:numId w:val="12"/>
        </w:numPr>
        <w:spacing w:after="80"/>
        <w:ind w:left="284" w:hanging="284"/>
        <w:contextualSpacing w:val="0"/>
        <w:jc w:val="both"/>
      </w:pPr>
      <w:r w:rsidRPr="00B44E5C">
        <w:rPr>
          <w:b/>
          <w:bCs/>
          <w:color w:val="2F5496" w:themeColor="accent1" w:themeShade="BF"/>
          <w:sz w:val="24"/>
          <w:szCs w:val="24"/>
        </w:rPr>
        <w:t>Strong government support; and financial support from government and signatories over time</w:t>
      </w:r>
      <w:r>
        <w:rPr>
          <w:sz w:val="24"/>
          <w:szCs w:val="24"/>
        </w:rPr>
        <w:t xml:space="preserve">: </w:t>
      </w:r>
      <w:r>
        <w:rPr>
          <w:sz w:val="24"/>
          <w:szCs w:val="24"/>
          <w:lang w:val="en-GB"/>
        </w:rPr>
        <w:t>with g</w:t>
      </w:r>
      <w:r w:rsidRPr="00B44E5C">
        <w:rPr>
          <w:sz w:val="24"/>
          <w:szCs w:val="24"/>
          <w:lang w:val="en-GB"/>
        </w:rPr>
        <w:t>ood links to policy and strategy, sufficient funding to build confidence and provide longevity</w:t>
      </w:r>
      <w:r>
        <w:rPr>
          <w:sz w:val="24"/>
          <w:szCs w:val="24"/>
          <w:lang w:val="en-GB"/>
        </w:rPr>
        <w:t>.</w:t>
      </w:r>
    </w:p>
    <w:p w14:paraId="364CA43B" w14:textId="77777777" w:rsidR="00B44E5C" w:rsidRPr="00B44E5C" w:rsidRDefault="00B44E5C" w:rsidP="00F2143E">
      <w:pPr>
        <w:pStyle w:val="ListParagraph"/>
        <w:numPr>
          <w:ilvl w:val="0"/>
          <w:numId w:val="12"/>
        </w:numPr>
        <w:spacing w:after="80"/>
        <w:ind w:left="284" w:hanging="284"/>
        <w:contextualSpacing w:val="0"/>
        <w:jc w:val="both"/>
      </w:pPr>
      <w:r w:rsidRPr="00B44E5C">
        <w:rPr>
          <w:b/>
          <w:bCs/>
          <w:color w:val="2F5496" w:themeColor="accent1" w:themeShade="BF"/>
          <w:sz w:val="24"/>
          <w:szCs w:val="24"/>
        </w:rPr>
        <w:t>Set-out clear operational priorities and governance; and build agreement around them</w:t>
      </w:r>
      <w:r>
        <w:rPr>
          <w:sz w:val="24"/>
          <w:szCs w:val="24"/>
        </w:rPr>
        <w:t xml:space="preserve">: </w:t>
      </w:r>
      <w:r>
        <w:rPr>
          <w:sz w:val="24"/>
          <w:szCs w:val="24"/>
          <w:lang w:val="en-GB"/>
        </w:rPr>
        <w:t>p</w:t>
      </w:r>
      <w:r w:rsidRPr="00B44E5C">
        <w:rPr>
          <w:sz w:val="24"/>
          <w:szCs w:val="24"/>
          <w:lang w:val="en-GB"/>
        </w:rPr>
        <w:t>roviding a clear sense of direction and being clear about what needs to be done by who and when, combined with an inclusive and responsive governance structure</w:t>
      </w:r>
      <w:r>
        <w:rPr>
          <w:sz w:val="24"/>
          <w:szCs w:val="24"/>
          <w:lang w:val="en-GB"/>
        </w:rPr>
        <w:t>.</w:t>
      </w:r>
      <w:r w:rsidRPr="00B44E5C">
        <w:rPr>
          <w:lang w:val="en-GB"/>
        </w:rPr>
        <w:t xml:space="preserve"> </w:t>
      </w:r>
    </w:p>
    <w:p w14:paraId="35453850" w14:textId="77777777" w:rsidR="002A63ED" w:rsidRPr="002A63ED" w:rsidRDefault="002A63ED" w:rsidP="00F2143E">
      <w:pPr>
        <w:pStyle w:val="ListParagraph"/>
        <w:numPr>
          <w:ilvl w:val="0"/>
          <w:numId w:val="12"/>
        </w:numPr>
        <w:spacing w:after="80"/>
        <w:ind w:left="284" w:hanging="284"/>
        <w:contextualSpacing w:val="0"/>
        <w:jc w:val="both"/>
      </w:pPr>
      <w:r w:rsidRPr="002A63ED">
        <w:rPr>
          <w:b/>
          <w:bCs/>
          <w:color w:val="2F5496" w:themeColor="accent1" w:themeShade="BF"/>
          <w:sz w:val="24"/>
          <w:szCs w:val="24"/>
        </w:rPr>
        <w:t>An effective monitoring, evaluation, reporting and indicators (MERI) framework that allows for reporting of progress</w:t>
      </w:r>
      <w:r>
        <w:rPr>
          <w:sz w:val="24"/>
          <w:szCs w:val="24"/>
        </w:rPr>
        <w:t xml:space="preserve">: </w:t>
      </w:r>
      <w:r>
        <w:rPr>
          <w:sz w:val="24"/>
          <w:szCs w:val="24"/>
          <w:lang w:val="en-GB"/>
        </w:rPr>
        <w:t>a</w:t>
      </w:r>
      <w:r w:rsidRPr="002A63ED">
        <w:rPr>
          <w:sz w:val="24"/>
          <w:szCs w:val="24"/>
          <w:lang w:val="en-GB"/>
        </w:rPr>
        <w:t>ggregated public reporting of progress</w:t>
      </w:r>
      <w:r>
        <w:rPr>
          <w:sz w:val="24"/>
          <w:szCs w:val="24"/>
          <w:lang w:val="en-GB"/>
        </w:rPr>
        <w:t xml:space="preserve"> and impact</w:t>
      </w:r>
      <w:r w:rsidRPr="002A63ED">
        <w:rPr>
          <w:sz w:val="24"/>
          <w:szCs w:val="24"/>
          <w:lang w:val="en-GB"/>
        </w:rPr>
        <w:t xml:space="preserve">, supported by individual case studies. Can evolve to individual signatory reporting at some stage when the </w:t>
      </w:r>
      <w:r>
        <w:rPr>
          <w:sz w:val="24"/>
          <w:szCs w:val="24"/>
          <w:lang w:val="en-GB"/>
        </w:rPr>
        <w:t>voluntary commitment</w:t>
      </w:r>
      <w:r w:rsidRPr="002A63ED">
        <w:rPr>
          <w:sz w:val="24"/>
          <w:szCs w:val="24"/>
          <w:lang w:val="en-GB"/>
        </w:rPr>
        <w:t xml:space="preserve"> is more established and there is an appetite to do so.</w:t>
      </w:r>
    </w:p>
    <w:p w14:paraId="3B8E167A" w14:textId="1674852B" w:rsidR="00DD56E8" w:rsidRPr="00DD56E8" w:rsidRDefault="00DD56E8" w:rsidP="00F2143E">
      <w:pPr>
        <w:pStyle w:val="ListParagraph"/>
        <w:numPr>
          <w:ilvl w:val="0"/>
          <w:numId w:val="12"/>
        </w:numPr>
        <w:spacing w:after="80"/>
        <w:ind w:left="284" w:hanging="284"/>
        <w:contextualSpacing w:val="0"/>
        <w:jc w:val="both"/>
      </w:pPr>
      <w:r w:rsidRPr="00DD56E8">
        <w:rPr>
          <w:b/>
          <w:bCs/>
          <w:color w:val="2F5496" w:themeColor="accent1" w:themeShade="BF"/>
          <w:sz w:val="24"/>
          <w:szCs w:val="24"/>
        </w:rPr>
        <w:t>Establish a pre-competitive environment that allows food value chain actors and others to work together</w:t>
      </w:r>
      <w:r>
        <w:rPr>
          <w:sz w:val="24"/>
          <w:szCs w:val="24"/>
        </w:rPr>
        <w:t xml:space="preserve">: </w:t>
      </w:r>
      <w:r>
        <w:rPr>
          <w:sz w:val="24"/>
          <w:szCs w:val="24"/>
          <w:lang w:val="en-GB"/>
        </w:rPr>
        <w:t>b</w:t>
      </w:r>
      <w:r w:rsidRPr="00DD56E8">
        <w:rPr>
          <w:sz w:val="24"/>
          <w:szCs w:val="24"/>
          <w:lang w:val="en-GB"/>
        </w:rPr>
        <w:t xml:space="preserve">alancing the need for collective problem solving with individual signatory approaches </w:t>
      </w:r>
      <w:r w:rsidR="00FF6CD4">
        <w:rPr>
          <w:sz w:val="24"/>
          <w:szCs w:val="24"/>
          <w:lang w:val="en-GB"/>
        </w:rPr>
        <w:t xml:space="preserve">to delivering any solutions identified, </w:t>
      </w:r>
      <w:r w:rsidRPr="00DD56E8">
        <w:rPr>
          <w:sz w:val="24"/>
          <w:szCs w:val="24"/>
          <w:lang w:val="en-GB"/>
        </w:rPr>
        <w:t>allowing for differentiation in the market.</w:t>
      </w:r>
    </w:p>
    <w:p w14:paraId="55010FC0" w14:textId="0B6B6B49" w:rsidR="001F5329" w:rsidRPr="001F5329" w:rsidRDefault="001F5329" w:rsidP="00F2143E">
      <w:pPr>
        <w:pStyle w:val="ListParagraph"/>
        <w:numPr>
          <w:ilvl w:val="0"/>
          <w:numId w:val="12"/>
        </w:numPr>
        <w:spacing w:after="80"/>
        <w:ind w:left="284" w:hanging="284"/>
        <w:contextualSpacing w:val="0"/>
        <w:jc w:val="both"/>
        <w:rPr>
          <w:sz w:val="24"/>
          <w:szCs w:val="24"/>
        </w:rPr>
      </w:pPr>
      <w:r w:rsidRPr="001F5329">
        <w:rPr>
          <w:b/>
          <w:bCs/>
          <w:color w:val="2F5496" w:themeColor="accent1" w:themeShade="BF"/>
          <w:sz w:val="24"/>
          <w:szCs w:val="24"/>
        </w:rPr>
        <w:t xml:space="preserve">Provides a confidential space </w:t>
      </w:r>
      <w:r w:rsidR="008B3B92">
        <w:rPr>
          <w:b/>
          <w:bCs/>
          <w:color w:val="2F5496" w:themeColor="accent1" w:themeShade="BF"/>
          <w:sz w:val="24"/>
          <w:szCs w:val="24"/>
        </w:rPr>
        <w:t>for</w:t>
      </w:r>
      <w:r w:rsidRPr="001F5329">
        <w:rPr>
          <w:b/>
          <w:bCs/>
          <w:color w:val="2F5496" w:themeColor="accent1" w:themeShade="BF"/>
          <w:sz w:val="24"/>
          <w:szCs w:val="24"/>
        </w:rPr>
        <w:t xml:space="preserve"> open discussions</w:t>
      </w:r>
      <w:r>
        <w:rPr>
          <w:sz w:val="24"/>
          <w:szCs w:val="24"/>
        </w:rPr>
        <w:t xml:space="preserve">: </w:t>
      </w:r>
      <w:r>
        <w:rPr>
          <w:sz w:val="24"/>
          <w:szCs w:val="24"/>
          <w:lang w:val="en-GB"/>
        </w:rPr>
        <w:t>c</w:t>
      </w:r>
      <w:r w:rsidRPr="001F5329">
        <w:rPr>
          <w:sz w:val="24"/>
          <w:szCs w:val="24"/>
          <w:lang w:val="en-GB"/>
        </w:rPr>
        <w:t>reat</w:t>
      </w:r>
      <w:r>
        <w:rPr>
          <w:sz w:val="24"/>
          <w:szCs w:val="24"/>
          <w:lang w:val="en-GB"/>
        </w:rPr>
        <w:t>ing</w:t>
      </w:r>
      <w:r w:rsidRPr="001F5329">
        <w:rPr>
          <w:sz w:val="24"/>
          <w:szCs w:val="24"/>
          <w:lang w:val="en-GB"/>
        </w:rPr>
        <w:t xml:space="preserve"> a safe space for signatories to openly share challenges and discuss how to address them in order to achieve food waste reductions.</w:t>
      </w:r>
    </w:p>
    <w:p w14:paraId="24C612E4" w14:textId="77777777" w:rsidR="00B664EB" w:rsidRPr="006001C6" w:rsidRDefault="006001C6" w:rsidP="00F2143E">
      <w:pPr>
        <w:pStyle w:val="ListParagraph"/>
        <w:numPr>
          <w:ilvl w:val="0"/>
          <w:numId w:val="12"/>
        </w:numPr>
        <w:ind w:left="284" w:hanging="284"/>
        <w:jc w:val="both"/>
      </w:pPr>
      <w:r w:rsidRPr="006001C6">
        <w:rPr>
          <w:b/>
          <w:bCs/>
          <w:color w:val="2F5496" w:themeColor="accent1" w:themeShade="BF"/>
          <w:sz w:val="24"/>
          <w:szCs w:val="24"/>
        </w:rPr>
        <w:t>Underpinned by roadmaps, which are a powerful way to provide confidence and direction to signatories and prioritise delivery</w:t>
      </w:r>
      <w:r>
        <w:rPr>
          <w:sz w:val="24"/>
          <w:szCs w:val="24"/>
        </w:rPr>
        <w:t xml:space="preserve">: </w:t>
      </w:r>
      <w:r>
        <w:rPr>
          <w:sz w:val="24"/>
          <w:szCs w:val="24"/>
          <w:lang w:val="en-GB"/>
        </w:rPr>
        <w:t>d</w:t>
      </w:r>
      <w:r w:rsidRPr="006001C6">
        <w:rPr>
          <w:sz w:val="24"/>
          <w:szCs w:val="24"/>
          <w:lang w:val="en-GB"/>
        </w:rPr>
        <w:t xml:space="preserve">eveloping an implementation roadmap with a clear trajectory, interim milestones and targets provides a solid structure </w:t>
      </w:r>
      <w:r>
        <w:rPr>
          <w:sz w:val="24"/>
          <w:szCs w:val="24"/>
          <w:lang w:val="en-GB"/>
        </w:rPr>
        <w:t xml:space="preserve">for signatories </w:t>
      </w:r>
      <w:r w:rsidRPr="006001C6">
        <w:rPr>
          <w:sz w:val="24"/>
          <w:szCs w:val="24"/>
          <w:lang w:val="en-GB"/>
        </w:rPr>
        <w:t>to work against.</w:t>
      </w:r>
    </w:p>
    <w:p w14:paraId="5DCF7C02" w14:textId="77777777" w:rsidR="00A745E1" w:rsidRPr="00A745E1" w:rsidRDefault="00A745E1" w:rsidP="00A745E1">
      <w:pPr>
        <w:jc w:val="both"/>
        <w:rPr>
          <w:sz w:val="24"/>
          <w:szCs w:val="24"/>
        </w:rPr>
      </w:pPr>
    </w:p>
    <w:p w14:paraId="7BD547FE" w14:textId="1FD079B0" w:rsidR="002B0964" w:rsidRPr="00BD537E" w:rsidRDefault="002B0964" w:rsidP="00437509">
      <w:pPr>
        <w:pStyle w:val="Heading2"/>
        <w:rPr>
          <w:rStyle w:val="BookTitle"/>
          <w:b/>
          <w:bCs w:val="0"/>
        </w:rPr>
      </w:pPr>
      <w:bookmarkStart w:id="45" w:name="_Toc39140014"/>
      <w:r w:rsidRPr="00437509">
        <w:rPr>
          <w:rStyle w:val="BookTitle"/>
          <w:b/>
          <w:bCs w:val="0"/>
        </w:rPr>
        <w:t>Underpinning</w:t>
      </w:r>
      <w:r w:rsidR="00BD537E">
        <w:rPr>
          <w:rStyle w:val="BookTitle"/>
          <w:b/>
          <w:bCs w:val="0"/>
        </w:rPr>
        <w:t xml:space="preserve"> operating principles</w:t>
      </w:r>
      <w:bookmarkEnd w:id="45"/>
    </w:p>
    <w:p w14:paraId="4037D15C" w14:textId="77777777" w:rsidR="001E7D16" w:rsidRDefault="001E7D16" w:rsidP="001E7D16">
      <w:pPr>
        <w:jc w:val="both"/>
        <w:rPr>
          <w:sz w:val="24"/>
          <w:szCs w:val="24"/>
        </w:rPr>
      </w:pPr>
      <w:r w:rsidRPr="001E7D16">
        <w:rPr>
          <w:sz w:val="24"/>
          <w:szCs w:val="24"/>
        </w:rPr>
        <w:t>The following are proposed as the underpinning principles for the development and delivery of the voluntary commitment program:</w:t>
      </w:r>
    </w:p>
    <w:p w14:paraId="38679A74" w14:textId="77777777" w:rsidR="001E7D16" w:rsidRDefault="001E7D16" w:rsidP="00F2143E">
      <w:pPr>
        <w:pStyle w:val="ListParagraph"/>
        <w:numPr>
          <w:ilvl w:val="0"/>
          <w:numId w:val="11"/>
        </w:numPr>
        <w:jc w:val="both"/>
        <w:rPr>
          <w:sz w:val="24"/>
          <w:szCs w:val="24"/>
        </w:rPr>
      </w:pPr>
      <w:r>
        <w:rPr>
          <w:sz w:val="24"/>
          <w:szCs w:val="24"/>
        </w:rPr>
        <w:t xml:space="preserve">Take a </w:t>
      </w:r>
      <w:r w:rsidRPr="00854FAE">
        <w:rPr>
          <w:b/>
          <w:bCs/>
          <w:color w:val="2F5496" w:themeColor="accent1" w:themeShade="BF"/>
          <w:sz w:val="24"/>
          <w:szCs w:val="24"/>
        </w:rPr>
        <w:t>whole chain approach</w:t>
      </w:r>
      <w:r w:rsidRPr="00854FAE">
        <w:rPr>
          <w:color w:val="2F5496" w:themeColor="accent1" w:themeShade="BF"/>
          <w:sz w:val="24"/>
          <w:szCs w:val="24"/>
        </w:rPr>
        <w:t xml:space="preserve"> </w:t>
      </w:r>
      <w:r>
        <w:rPr>
          <w:sz w:val="24"/>
          <w:szCs w:val="24"/>
        </w:rPr>
        <w:t xml:space="preserve">to maximise impact </w:t>
      </w:r>
    </w:p>
    <w:p w14:paraId="799D1A6C" w14:textId="77777777" w:rsidR="001E7D16" w:rsidRDefault="001E7D16" w:rsidP="00F2143E">
      <w:pPr>
        <w:pStyle w:val="ListParagraph"/>
        <w:numPr>
          <w:ilvl w:val="0"/>
          <w:numId w:val="11"/>
        </w:numPr>
        <w:jc w:val="both"/>
        <w:rPr>
          <w:sz w:val="24"/>
          <w:szCs w:val="24"/>
        </w:rPr>
      </w:pPr>
      <w:r w:rsidRPr="00854FAE">
        <w:rPr>
          <w:b/>
          <w:bCs/>
          <w:color w:val="2F5496" w:themeColor="accent1" w:themeShade="BF"/>
          <w:sz w:val="24"/>
          <w:szCs w:val="24"/>
        </w:rPr>
        <w:t>Play in the pre-competitive space</w:t>
      </w:r>
      <w:r w:rsidRPr="00854FAE">
        <w:rPr>
          <w:color w:val="2F5496" w:themeColor="accent1" w:themeShade="BF"/>
          <w:sz w:val="24"/>
          <w:szCs w:val="24"/>
        </w:rPr>
        <w:t xml:space="preserve"> </w:t>
      </w:r>
      <w:r>
        <w:rPr>
          <w:sz w:val="24"/>
          <w:szCs w:val="24"/>
        </w:rPr>
        <w:t>to drive collaboration and compliance with competition and anti-trust laws</w:t>
      </w:r>
    </w:p>
    <w:p w14:paraId="1B0B899D" w14:textId="77777777" w:rsidR="001E7D16" w:rsidRDefault="001E7D16" w:rsidP="00F2143E">
      <w:pPr>
        <w:pStyle w:val="ListParagraph"/>
        <w:numPr>
          <w:ilvl w:val="0"/>
          <w:numId w:val="11"/>
        </w:numPr>
        <w:jc w:val="both"/>
        <w:rPr>
          <w:sz w:val="24"/>
          <w:szCs w:val="24"/>
        </w:rPr>
      </w:pPr>
      <w:r>
        <w:rPr>
          <w:sz w:val="24"/>
          <w:szCs w:val="24"/>
        </w:rPr>
        <w:t xml:space="preserve">Adopt the </w:t>
      </w:r>
      <w:r w:rsidRPr="00854FAE">
        <w:rPr>
          <w:b/>
          <w:bCs/>
          <w:color w:val="2F5496" w:themeColor="accent1" w:themeShade="BF"/>
          <w:sz w:val="24"/>
          <w:szCs w:val="24"/>
        </w:rPr>
        <w:t>Target, Measure, Act</w:t>
      </w:r>
      <w:r w:rsidRPr="00854FAE">
        <w:rPr>
          <w:color w:val="2F5496" w:themeColor="accent1" w:themeShade="BF"/>
          <w:sz w:val="24"/>
          <w:szCs w:val="24"/>
        </w:rPr>
        <w:t xml:space="preserve"> </w:t>
      </w:r>
      <w:r>
        <w:rPr>
          <w:sz w:val="24"/>
          <w:szCs w:val="24"/>
        </w:rPr>
        <w:t>approach, in line with international best practice</w:t>
      </w:r>
    </w:p>
    <w:p w14:paraId="24AB0090" w14:textId="50507C7D" w:rsidR="001E7D16" w:rsidRDefault="001E7D16" w:rsidP="00F2143E">
      <w:pPr>
        <w:pStyle w:val="ListParagraph"/>
        <w:numPr>
          <w:ilvl w:val="0"/>
          <w:numId w:val="11"/>
        </w:numPr>
        <w:jc w:val="both"/>
        <w:rPr>
          <w:sz w:val="24"/>
          <w:szCs w:val="24"/>
        </w:rPr>
      </w:pPr>
      <w:r w:rsidRPr="00854FAE">
        <w:rPr>
          <w:b/>
          <w:bCs/>
          <w:color w:val="2F5496" w:themeColor="accent1" w:themeShade="BF"/>
          <w:sz w:val="24"/>
          <w:szCs w:val="24"/>
        </w:rPr>
        <w:t>Move</w:t>
      </w:r>
      <w:r w:rsidRPr="00854FAE">
        <w:rPr>
          <w:color w:val="2F5496" w:themeColor="accent1" w:themeShade="BF"/>
          <w:sz w:val="24"/>
          <w:szCs w:val="24"/>
        </w:rPr>
        <w:t xml:space="preserve"> </w:t>
      </w:r>
      <w:r w:rsidRPr="00854FAE">
        <w:rPr>
          <w:b/>
          <w:bCs/>
          <w:color w:val="2F5496" w:themeColor="accent1" w:themeShade="BF"/>
          <w:sz w:val="24"/>
          <w:szCs w:val="24"/>
        </w:rPr>
        <w:t xml:space="preserve">food and food waste up the food recovery </w:t>
      </w:r>
      <w:r w:rsidR="008B3B92" w:rsidRPr="00854FAE">
        <w:rPr>
          <w:b/>
          <w:bCs/>
          <w:color w:val="2F5496" w:themeColor="accent1" w:themeShade="BF"/>
          <w:sz w:val="24"/>
          <w:szCs w:val="24"/>
        </w:rPr>
        <w:t>hierarchy</w:t>
      </w:r>
    </w:p>
    <w:p w14:paraId="4F415473" w14:textId="3715512A" w:rsidR="001E7D16" w:rsidRDefault="001E7D16" w:rsidP="00F2143E">
      <w:pPr>
        <w:pStyle w:val="ListParagraph"/>
        <w:numPr>
          <w:ilvl w:val="0"/>
          <w:numId w:val="11"/>
        </w:numPr>
        <w:jc w:val="both"/>
        <w:rPr>
          <w:sz w:val="24"/>
          <w:szCs w:val="24"/>
        </w:rPr>
      </w:pPr>
      <w:r w:rsidRPr="00854FAE">
        <w:rPr>
          <w:b/>
          <w:bCs/>
          <w:color w:val="2F5496" w:themeColor="accent1" w:themeShade="BF"/>
          <w:sz w:val="24"/>
          <w:szCs w:val="24"/>
        </w:rPr>
        <w:lastRenderedPageBreak/>
        <w:t>Maintain focus</w:t>
      </w:r>
      <w:r>
        <w:rPr>
          <w:sz w:val="24"/>
          <w:szCs w:val="24"/>
        </w:rPr>
        <w:t xml:space="preserve">: use hotspots analysis </w:t>
      </w:r>
      <w:r w:rsidR="00A57E01">
        <w:rPr>
          <w:sz w:val="24"/>
          <w:szCs w:val="24"/>
        </w:rPr>
        <w:t xml:space="preserve">and whole food chain resource efficiency tools </w:t>
      </w:r>
      <w:r>
        <w:rPr>
          <w:sz w:val="24"/>
          <w:szCs w:val="24"/>
        </w:rPr>
        <w:t>to prioritise action</w:t>
      </w:r>
      <w:r w:rsidR="00F63C1D">
        <w:rPr>
          <w:sz w:val="24"/>
          <w:szCs w:val="24"/>
        </w:rPr>
        <w:t xml:space="preserve"> in high impact/high waste</w:t>
      </w:r>
      <w:r w:rsidR="004A2466">
        <w:rPr>
          <w:sz w:val="24"/>
          <w:szCs w:val="24"/>
        </w:rPr>
        <w:t>/high value</w:t>
      </w:r>
      <w:r w:rsidR="00F63C1D">
        <w:rPr>
          <w:sz w:val="24"/>
          <w:szCs w:val="24"/>
        </w:rPr>
        <w:t xml:space="preserve"> product categories</w:t>
      </w:r>
    </w:p>
    <w:p w14:paraId="1851AC34" w14:textId="77777777" w:rsidR="001E7D16" w:rsidRDefault="00F63C1D" w:rsidP="00F2143E">
      <w:pPr>
        <w:pStyle w:val="ListParagraph"/>
        <w:numPr>
          <w:ilvl w:val="0"/>
          <w:numId w:val="11"/>
        </w:numPr>
        <w:jc w:val="both"/>
        <w:rPr>
          <w:sz w:val="24"/>
          <w:szCs w:val="24"/>
        </w:rPr>
      </w:pPr>
      <w:r w:rsidRPr="00854FAE">
        <w:rPr>
          <w:b/>
          <w:bCs/>
          <w:color w:val="2F5496" w:themeColor="accent1" w:themeShade="BF"/>
          <w:sz w:val="24"/>
          <w:szCs w:val="24"/>
        </w:rPr>
        <w:t>Make it as easy as possible</w:t>
      </w:r>
      <w:r w:rsidRPr="00854FAE">
        <w:rPr>
          <w:color w:val="2F5496" w:themeColor="accent1" w:themeShade="BF"/>
          <w:sz w:val="24"/>
          <w:szCs w:val="24"/>
        </w:rPr>
        <w:t xml:space="preserve"> </w:t>
      </w:r>
      <w:r>
        <w:rPr>
          <w:sz w:val="24"/>
          <w:szCs w:val="24"/>
        </w:rPr>
        <w:t xml:space="preserve">to engage </w:t>
      </w:r>
      <w:r w:rsidR="00854FAE">
        <w:rPr>
          <w:sz w:val="24"/>
          <w:szCs w:val="24"/>
        </w:rPr>
        <w:t xml:space="preserve">with </w:t>
      </w:r>
      <w:r>
        <w:rPr>
          <w:sz w:val="24"/>
          <w:szCs w:val="24"/>
        </w:rPr>
        <w:t>and participate in the program</w:t>
      </w:r>
    </w:p>
    <w:p w14:paraId="1047F400" w14:textId="77777777" w:rsidR="001E7D16" w:rsidRDefault="00F63C1D" w:rsidP="00F2143E">
      <w:pPr>
        <w:pStyle w:val="ListParagraph"/>
        <w:numPr>
          <w:ilvl w:val="0"/>
          <w:numId w:val="11"/>
        </w:numPr>
        <w:jc w:val="both"/>
        <w:rPr>
          <w:sz w:val="24"/>
          <w:szCs w:val="24"/>
        </w:rPr>
      </w:pPr>
      <w:r>
        <w:rPr>
          <w:sz w:val="24"/>
          <w:szCs w:val="24"/>
        </w:rPr>
        <w:t xml:space="preserve">Encourage the </w:t>
      </w:r>
      <w:r w:rsidRPr="00854FAE">
        <w:rPr>
          <w:b/>
          <w:bCs/>
          <w:color w:val="2F5496" w:themeColor="accent1" w:themeShade="BF"/>
          <w:sz w:val="24"/>
          <w:szCs w:val="24"/>
        </w:rPr>
        <w:t>sharing</w:t>
      </w:r>
      <w:r w:rsidRPr="00854FAE">
        <w:rPr>
          <w:color w:val="2F5496" w:themeColor="accent1" w:themeShade="BF"/>
          <w:sz w:val="24"/>
          <w:szCs w:val="24"/>
        </w:rPr>
        <w:t xml:space="preserve"> </w:t>
      </w:r>
      <w:r>
        <w:rPr>
          <w:sz w:val="24"/>
          <w:szCs w:val="24"/>
        </w:rPr>
        <w:t>of proven practice and learning</w:t>
      </w:r>
    </w:p>
    <w:p w14:paraId="336864D0" w14:textId="77777777" w:rsidR="00F63C1D" w:rsidRDefault="00F63C1D" w:rsidP="00F2143E">
      <w:pPr>
        <w:pStyle w:val="ListParagraph"/>
        <w:numPr>
          <w:ilvl w:val="0"/>
          <w:numId w:val="11"/>
        </w:numPr>
        <w:jc w:val="both"/>
        <w:rPr>
          <w:sz w:val="24"/>
          <w:szCs w:val="24"/>
        </w:rPr>
      </w:pPr>
      <w:r>
        <w:rPr>
          <w:sz w:val="24"/>
          <w:szCs w:val="24"/>
        </w:rPr>
        <w:t xml:space="preserve">Be </w:t>
      </w:r>
      <w:r w:rsidRPr="00854FAE">
        <w:rPr>
          <w:b/>
          <w:bCs/>
          <w:color w:val="2F5496" w:themeColor="accent1" w:themeShade="BF"/>
          <w:sz w:val="24"/>
          <w:szCs w:val="24"/>
        </w:rPr>
        <w:t>open-minded</w:t>
      </w:r>
      <w:r w:rsidRPr="00854FAE">
        <w:rPr>
          <w:color w:val="2F5496" w:themeColor="accent1" w:themeShade="BF"/>
          <w:sz w:val="24"/>
          <w:szCs w:val="24"/>
        </w:rPr>
        <w:t xml:space="preserve"> </w:t>
      </w:r>
      <w:r>
        <w:rPr>
          <w:sz w:val="24"/>
          <w:szCs w:val="24"/>
        </w:rPr>
        <w:t>about the future.</w:t>
      </w:r>
    </w:p>
    <w:p w14:paraId="46F05DF9" w14:textId="77777777" w:rsidR="00F63C1D" w:rsidRPr="00F63C1D" w:rsidRDefault="00F63C1D" w:rsidP="00F63C1D">
      <w:pPr>
        <w:jc w:val="both"/>
        <w:rPr>
          <w:sz w:val="24"/>
          <w:szCs w:val="24"/>
        </w:rPr>
      </w:pPr>
    </w:p>
    <w:p w14:paraId="0E51EE34" w14:textId="758994FB" w:rsidR="008B4FDF" w:rsidRPr="00BD537E" w:rsidRDefault="008B4FDF" w:rsidP="00437509">
      <w:pPr>
        <w:pStyle w:val="Heading2"/>
        <w:rPr>
          <w:rStyle w:val="BookTitle"/>
          <w:b/>
          <w:bCs w:val="0"/>
        </w:rPr>
      </w:pPr>
      <w:bookmarkStart w:id="46" w:name="_Toc39140015"/>
      <w:r w:rsidRPr="00437509">
        <w:rPr>
          <w:rStyle w:val="BookTitle"/>
          <w:b/>
          <w:bCs w:val="0"/>
        </w:rPr>
        <w:t>Target</w:t>
      </w:r>
      <w:r w:rsidR="00BD537E">
        <w:rPr>
          <w:rStyle w:val="BookTitle"/>
          <w:b/>
          <w:bCs w:val="0"/>
        </w:rPr>
        <w:t xml:space="preserve"> companies and organisations</w:t>
      </w:r>
      <w:bookmarkEnd w:id="46"/>
    </w:p>
    <w:p w14:paraId="782C0513" w14:textId="5DE0BA9B" w:rsidR="00F63C1D" w:rsidRDefault="004F3EFE" w:rsidP="001417B2">
      <w:pPr>
        <w:jc w:val="both"/>
        <w:rPr>
          <w:sz w:val="24"/>
          <w:szCs w:val="24"/>
        </w:rPr>
      </w:pPr>
      <w:r>
        <w:rPr>
          <w:sz w:val="24"/>
          <w:szCs w:val="24"/>
        </w:rPr>
        <w:t xml:space="preserve">In line with international best practice, </w:t>
      </w:r>
      <w:r w:rsidR="00B66EBB" w:rsidRPr="00B66EBB">
        <w:rPr>
          <w:sz w:val="24"/>
          <w:szCs w:val="24"/>
        </w:rPr>
        <w:t>the first phase of the voluntary commitment program (2020-2023)</w:t>
      </w:r>
      <w:r w:rsidR="00224A4F">
        <w:rPr>
          <w:sz w:val="24"/>
          <w:szCs w:val="24"/>
        </w:rPr>
        <w:t xml:space="preserve"> </w:t>
      </w:r>
      <w:r w:rsidR="004F6B02">
        <w:rPr>
          <w:sz w:val="24"/>
          <w:szCs w:val="24"/>
        </w:rPr>
        <w:t>should</w:t>
      </w:r>
      <w:r w:rsidR="00224A4F">
        <w:rPr>
          <w:sz w:val="24"/>
          <w:szCs w:val="24"/>
        </w:rPr>
        <w:t xml:space="preserve"> focus on recruiting the Top 4 Australia food retailers </w:t>
      </w:r>
      <w:r w:rsidR="00733231">
        <w:rPr>
          <w:sz w:val="24"/>
          <w:szCs w:val="24"/>
        </w:rPr>
        <w:t xml:space="preserve">and </w:t>
      </w:r>
      <w:r w:rsidR="00733231" w:rsidRPr="00595E32">
        <w:rPr>
          <w:sz w:val="24"/>
          <w:szCs w:val="24"/>
        </w:rPr>
        <w:t xml:space="preserve">wholesalers </w:t>
      </w:r>
      <w:r w:rsidR="00224A4F" w:rsidRPr="00595E32">
        <w:rPr>
          <w:sz w:val="24"/>
          <w:szCs w:val="24"/>
        </w:rPr>
        <w:t>(</w:t>
      </w:r>
      <w:r w:rsidR="007971D4" w:rsidRPr="00595E32">
        <w:rPr>
          <w:sz w:val="24"/>
          <w:szCs w:val="24"/>
        </w:rPr>
        <w:t xml:space="preserve">e.g. </w:t>
      </w:r>
      <w:r w:rsidR="00224A4F" w:rsidRPr="00595E32">
        <w:rPr>
          <w:sz w:val="24"/>
          <w:szCs w:val="24"/>
        </w:rPr>
        <w:t>Woolworths, Coles, ALDI and Metcash</w:t>
      </w:r>
      <w:r w:rsidR="004F6B02" w:rsidRPr="00595E32">
        <w:rPr>
          <w:sz w:val="24"/>
          <w:szCs w:val="24"/>
        </w:rPr>
        <w:t>/IGA</w:t>
      </w:r>
      <w:r w:rsidR="00224A4F" w:rsidRPr="00595E32">
        <w:rPr>
          <w:sz w:val="24"/>
          <w:szCs w:val="24"/>
        </w:rPr>
        <w:t xml:space="preserve">) and </w:t>
      </w:r>
      <w:r w:rsidR="001417B2" w:rsidRPr="00595E32">
        <w:rPr>
          <w:sz w:val="24"/>
          <w:szCs w:val="24"/>
        </w:rPr>
        <w:t>some of the largest</w:t>
      </w:r>
      <w:r w:rsidR="00224A4F" w:rsidRPr="00595E32">
        <w:rPr>
          <w:sz w:val="24"/>
          <w:szCs w:val="24"/>
        </w:rPr>
        <w:t xml:space="preserve"> hospitality and food service companies</w:t>
      </w:r>
      <w:r w:rsidR="001417B2" w:rsidRPr="00595E32">
        <w:rPr>
          <w:sz w:val="24"/>
          <w:szCs w:val="24"/>
        </w:rPr>
        <w:t xml:space="preserve"> in Australia</w:t>
      </w:r>
      <w:r w:rsidR="00224A4F" w:rsidRPr="00595E32">
        <w:rPr>
          <w:sz w:val="24"/>
          <w:szCs w:val="24"/>
        </w:rPr>
        <w:t xml:space="preserve"> (e.g. Sodexo, Unilever, Nestle</w:t>
      </w:r>
      <w:r w:rsidR="00733231" w:rsidRPr="00595E32">
        <w:rPr>
          <w:sz w:val="24"/>
          <w:szCs w:val="24"/>
        </w:rPr>
        <w:t>, Compass</w:t>
      </w:r>
      <w:r w:rsidR="00224A4F" w:rsidRPr="00595E32">
        <w:rPr>
          <w:sz w:val="24"/>
          <w:szCs w:val="24"/>
        </w:rPr>
        <w:t xml:space="preserve">) and their 10 largest supply partners (e.g. </w:t>
      </w:r>
      <w:r w:rsidR="00FA15B1" w:rsidRPr="00595E32">
        <w:rPr>
          <w:sz w:val="24"/>
          <w:szCs w:val="24"/>
        </w:rPr>
        <w:t xml:space="preserve">Goodman Fielder, Lion, Fonterra, Simplot, </w:t>
      </w:r>
      <w:r w:rsidR="009653AF" w:rsidRPr="00595E32">
        <w:rPr>
          <w:sz w:val="24"/>
          <w:szCs w:val="24"/>
        </w:rPr>
        <w:t xml:space="preserve">George Weston Foods, </w:t>
      </w:r>
      <w:r w:rsidR="00265C71" w:rsidRPr="00595E32">
        <w:rPr>
          <w:sz w:val="24"/>
          <w:szCs w:val="24"/>
        </w:rPr>
        <w:t>Coca Cola and Nestle).</w:t>
      </w:r>
      <w:r w:rsidR="006A0A2A">
        <w:rPr>
          <w:sz w:val="24"/>
          <w:szCs w:val="24"/>
        </w:rPr>
        <w:t xml:space="preserve"> </w:t>
      </w:r>
    </w:p>
    <w:p w14:paraId="4BCB8EFB" w14:textId="0BE09F9B" w:rsidR="001417B2" w:rsidRDefault="001417B2" w:rsidP="001417B2">
      <w:pPr>
        <w:jc w:val="both"/>
        <w:rPr>
          <w:sz w:val="24"/>
          <w:szCs w:val="24"/>
        </w:rPr>
      </w:pPr>
      <w:r>
        <w:rPr>
          <w:sz w:val="24"/>
          <w:szCs w:val="24"/>
        </w:rPr>
        <w:t>This approach mirrors the approach taken in</w:t>
      </w:r>
      <w:r w:rsidR="00E325A0">
        <w:rPr>
          <w:sz w:val="24"/>
          <w:szCs w:val="24"/>
        </w:rPr>
        <w:t xml:space="preserve"> most</w:t>
      </w:r>
      <w:r>
        <w:rPr>
          <w:sz w:val="24"/>
          <w:szCs w:val="24"/>
        </w:rPr>
        <w:t xml:space="preserve"> other countries and reflects the importance of securing major retailers and hospitality and food service companies as the most significant influencers </w:t>
      </w:r>
      <w:r w:rsidR="00E325A0">
        <w:rPr>
          <w:sz w:val="24"/>
          <w:szCs w:val="24"/>
        </w:rPr>
        <w:t>and drivers of change in</w:t>
      </w:r>
      <w:r>
        <w:rPr>
          <w:sz w:val="24"/>
          <w:szCs w:val="24"/>
        </w:rPr>
        <w:t xml:space="preserve"> both</w:t>
      </w:r>
      <w:r w:rsidR="00E325A0">
        <w:rPr>
          <w:sz w:val="24"/>
          <w:szCs w:val="24"/>
        </w:rPr>
        <w:t xml:space="preserve"> the</w:t>
      </w:r>
      <w:r>
        <w:rPr>
          <w:sz w:val="24"/>
          <w:szCs w:val="24"/>
        </w:rPr>
        <w:t xml:space="preserve"> upstream food value chain </w:t>
      </w:r>
      <w:r w:rsidR="00E325A0">
        <w:rPr>
          <w:sz w:val="24"/>
          <w:szCs w:val="24"/>
        </w:rPr>
        <w:t xml:space="preserve">(supply </w:t>
      </w:r>
      <w:r>
        <w:rPr>
          <w:sz w:val="24"/>
          <w:szCs w:val="24"/>
        </w:rPr>
        <w:t>partners</w:t>
      </w:r>
      <w:r w:rsidR="00E325A0">
        <w:rPr>
          <w:sz w:val="24"/>
          <w:szCs w:val="24"/>
        </w:rPr>
        <w:t>)</w:t>
      </w:r>
      <w:r>
        <w:rPr>
          <w:sz w:val="24"/>
          <w:szCs w:val="24"/>
        </w:rPr>
        <w:t xml:space="preserve"> and </w:t>
      </w:r>
      <w:r w:rsidR="00E325A0">
        <w:rPr>
          <w:sz w:val="24"/>
          <w:szCs w:val="24"/>
        </w:rPr>
        <w:t xml:space="preserve">downstream value chain (businesses that rely on catering partners and suppliers and </w:t>
      </w:r>
      <w:r>
        <w:rPr>
          <w:sz w:val="24"/>
          <w:szCs w:val="24"/>
        </w:rPr>
        <w:t>consumers</w:t>
      </w:r>
      <w:r w:rsidR="00E325A0">
        <w:rPr>
          <w:sz w:val="24"/>
          <w:szCs w:val="24"/>
        </w:rPr>
        <w:t>)</w:t>
      </w:r>
      <w:r>
        <w:rPr>
          <w:sz w:val="24"/>
          <w:szCs w:val="24"/>
        </w:rPr>
        <w:t>, whether they be eating and drinking at home</w:t>
      </w:r>
      <w:r w:rsidR="00E325A0">
        <w:rPr>
          <w:sz w:val="24"/>
          <w:szCs w:val="24"/>
        </w:rPr>
        <w:t>, at work</w:t>
      </w:r>
      <w:r>
        <w:rPr>
          <w:sz w:val="24"/>
          <w:szCs w:val="24"/>
        </w:rPr>
        <w:t xml:space="preserve"> or in bars, restaurants and hotels.</w:t>
      </w:r>
    </w:p>
    <w:p w14:paraId="5B390E5F" w14:textId="619F1F31" w:rsidR="001417B2" w:rsidRDefault="001417B2" w:rsidP="001417B2">
      <w:pPr>
        <w:jc w:val="both"/>
        <w:rPr>
          <w:sz w:val="24"/>
          <w:szCs w:val="24"/>
        </w:rPr>
      </w:pPr>
      <w:r>
        <w:rPr>
          <w:sz w:val="24"/>
          <w:szCs w:val="24"/>
        </w:rPr>
        <w:t xml:space="preserve">In addition to directly engaging with individual agri-food sector companies, the support of peak industry bodies, like the National </w:t>
      </w:r>
      <w:r w:rsidR="006874B4">
        <w:rPr>
          <w:sz w:val="24"/>
          <w:szCs w:val="24"/>
        </w:rPr>
        <w:t>Farm</w:t>
      </w:r>
      <w:r w:rsidR="00FF6CD4">
        <w:rPr>
          <w:sz w:val="24"/>
          <w:szCs w:val="24"/>
        </w:rPr>
        <w:t>ers</w:t>
      </w:r>
      <w:r w:rsidR="006874B4">
        <w:rPr>
          <w:sz w:val="24"/>
          <w:szCs w:val="24"/>
        </w:rPr>
        <w:t xml:space="preserve"> </w:t>
      </w:r>
      <w:r>
        <w:rPr>
          <w:sz w:val="24"/>
          <w:szCs w:val="24"/>
        </w:rPr>
        <w:t>Federation</w:t>
      </w:r>
      <w:r w:rsidR="006874B4">
        <w:rPr>
          <w:sz w:val="24"/>
          <w:szCs w:val="24"/>
        </w:rPr>
        <w:t xml:space="preserve">, the Australian Food and Grocery Council and the National Retail Association will be critically important, as they provide an opportunity to engage with and recruit their </w:t>
      </w:r>
      <w:r w:rsidR="00FF6CD4">
        <w:rPr>
          <w:sz w:val="24"/>
          <w:szCs w:val="24"/>
        </w:rPr>
        <w:t xml:space="preserve">sub-sector bodies or </w:t>
      </w:r>
      <w:r w:rsidR="006874B4">
        <w:rPr>
          <w:sz w:val="24"/>
          <w:szCs w:val="24"/>
        </w:rPr>
        <w:t>members</w:t>
      </w:r>
      <w:r>
        <w:rPr>
          <w:sz w:val="24"/>
          <w:szCs w:val="24"/>
        </w:rPr>
        <w:t xml:space="preserve"> </w:t>
      </w:r>
      <w:r w:rsidR="000B0125">
        <w:rPr>
          <w:sz w:val="24"/>
          <w:szCs w:val="24"/>
        </w:rPr>
        <w:t xml:space="preserve">via relevant committees </w:t>
      </w:r>
      <w:r w:rsidR="006874B4">
        <w:rPr>
          <w:sz w:val="24"/>
          <w:szCs w:val="24"/>
        </w:rPr>
        <w:t xml:space="preserve">to participate in the voluntary commitment program. </w:t>
      </w:r>
    </w:p>
    <w:p w14:paraId="36E92E86" w14:textId="5FB05EB1" w:rsidR="006874B4" w:rsidRDefault="006874B4" w:rsidP="001417B2">
      <w:pPr>
        <w:jc w:val="both"/>
        <w:rPr>
          <w:sz w:val="24"/>
          <w:szCs w:val="24"/>
        </w:rPr>
      </w:pPr>
      <w:r>
        <w:rPr>
          <w:sz w:val="24"/>
          <w:szCs w:val="24"/>
        </w:rPr>
        <w:t xml:space="preserve">The support and participation of relevant state-based departments and agencies and local government at an early stage will also facilitate on-the-ground coordination and delivery of work programs under the voluntary commitment framework, including local and regional activation of behaviour change campaigns, food innovation </w:t>
      </w:r>
      <w:r w:rsidR="00733231">
        <w:rPr>
          <w:sz w:val="24"/>
          <w:szCs w:val="24"/>
        </w:rPr>
        <w:t xml:space="preserve">and transformation </w:t>
      </w:r>
      <w:r>
        <w:rPr>
          <w:sz w:val="24"/>
          <w:szCs w:val="24"/>
        </w:rPr>
        <w:t>hubs, etc.</w:t>
      </w:r>
    </w:p>
    <w:p w14:paraId="2AAAA69E" w14:textId="3EF2C526" w:rsidR="006A0A2A" w:rsidRDefault="006A0A2A" w:rsidP="001417B2">
      <w:pPr>
        <w:jc w:val="both"/>
        <w:rPr>
          <w:sz w:val="24"/>
          <w:szCs w:val="24"/>
        </w:rPr>
      </w:pPr>
      <w:r>
        <w:rPr>
          <w:sz w:val="24"/>
          <w:szCs w:val="24"/>
        </w:rPr>
        <w:t xml:space="preserve">A fuller list of target companies and organisations </w:t>
      </w:r>
      <w:r w:rsidR="00E325A0">
        <w:rPr>
          <w:sz w:val="24"/>
          <w:szCs w:val="24"/>
        </w:rPr>
        <w:t>would</w:t>
      </w:r>
      <w:r>
        <w:rPr>
          <w:sz w:val="24"/>
          <w:szCs w:val="24"/>
        </w:rPr>
        <w:t xml:space="preserve"> be developed </w:t>
      </w:r>
      <w:r w:rsidR="00E325A0">
        <w:rPr>
          <w:sz w:val="24"/>
          <w:szCs w:val="24"/>
        </w:rPr>
        <w:t>by the governance</w:t>
      </w:r>
      <w:r>
        <w:rPr>
          <w:sz w:val="24"/>
          <w:szCs w:val="24"/>
        </w:rPr>
        <w:t xml:space="preserve"> </w:t>
      </w:r>
      <w:r w:rsidR="00E325A0">
        <w:rPr>
          <w:sz w:val="24"/>
          <w:szCs w:val="24"/>
        </w:rPr>
        <w:t xml:space="preserve">entity responsible for </w:t>
      </w:r>
      <w:r>
        <w:rPr>
          <w:sz w:val="24"/>
          <w:szCs w:val="24"/>
        </w:rPr>
        <w:t>the voluntary commitment program</w:t>
      </w:r>
      <w:r w:rsidR="00E325A0">
        <w:rPr>
          <w:sz w:val="24"/>
          <w:szCs w:val="24"/>
        </w:rPr>
        <w:t xml:space="preserve"> once they are appointed and operational</w:t>
      </w:r>
      <w:r>
        <w:rPr>
          <w:sz w:val="24"/>
          <w:szCs w:val="24"/>
        </w:rPr>
        <w:t>.</w:t>
      </w:r>
    </w:p>
    <w:p w14:paraId="6FC6D05D" w14:textId="77777777" w:rsidR="006874B4" w:rsidRPr="00B66EBB" w:rsidRDefault="006874B4" w:rsidP="001417B2">
      <w:pPr>
        <w:jc w:val="both"/>
        <w:rPr>
          <w:sz w:val="24"/>
          <w:szCs w:val="24"/>
        </w:rPr>
      </w:pPr>
    </w:p>
    <w:p w14:paraId="39347F3D" w14:textId="0093481A" w:rsidR="008B4FDF" w:rsidRPr="00BD537E" w:rsidRDefault="008B4FDF" w:rsidP="00437509">
      <w:pPr>
        <w:pStyle w:val="Heading2"/>
        <w:rPr>
          <w:rStyle w:val="BookTitle"/>
          <w:b/>
          <w:bCs w:val="0"/>
        </w:rPr>
      </w:pPr>
      <w:bookmarkStart w:id="47" w:name="_Toc39140016"/>
      <w:r w:rsidRPr="00437509">
        <w:rPr>
          <w:rStyle w:val="BookTitle"/>
          <w:b/>
          <w:bCs w:val="0"/>
        </w:rPr>
        <w:t>Phasing</w:t>
      </w:r>
      <w:r w:rsidR="00BD537E">
        <w:rPr>
          <w:rStyle w:val="BookTitle"/>
          <w:b/>
          <w:bCs w:val="0"/>
        </w:rPr>
        <w:t xml:space="preserve"> of the voluntary commitment</w:t>
      </w:r>
      <w:bookmarkEnd w:id="47"/>
    </w:p>
    <w:p w14:paraId="2E021FF4" w14:textId="77777777" w:rsidR="00937DC9" w:rsidRDefault="006E5014" w:rsidP="006E6D2A">
      <w:pPr>
        <w:jc w:val="both"/>
        <w:rPr>
          <w:sz w:val="24"/>
          <w:szCs w:val="24"/>
        </w:rPr>
      </w:pPr>
      <w:r>
        <w:rPr>
          <w:sz w:val="24"/>
          <w:szCs w:val="24"/>
        </w:rPr>
        <w:t>It will be necessary for the voluntary commitment program to be delivered under a series of 3-4 year operating plans, in part to recognise the need to secure ongoing implementation funding from different sources</w:t>
      </w:r>
      <w:r w:rsidR="006E6D2A">
        <w:rPr>
          <w:sz w:val="24"/>
          <w:szCs w:val="24"/>
        </w:rPr>
        <w:t>; and, in part, to reflect the need to adapt the delivery program as a result of changing circumstances and priorities</w:t>
      </w:r>
      <w:r w:rsidR="0043282E">
        <w:rPr>
          <w:sz w:val="24"/>
          <w:szCs w:val="24"/>
        </w:rPr>
        <w:t>;</w:t>
      </w:r>
      <w:r w:rsidR="006E6D2A">
        <w:rPr>
          <w:sz w:val="24"/>
          <w:szCs w:val="24"/>
        </w:rPr>
        <w:t xml:space="preserve"> </w:t>
      </w:r>
      <w:r w:rsidR="0043282E">
        <w:rPr>
          <w:sz w:val="24"/>
          <w:szCs w:val="24"/>
        </w:rPr>
        <w:t>or</w:t>
      </w:r>
      <w:r w:rsidR="006E6D2A">
        <w:rPr>
          <w:sz w:val="24"/>
          <w:szCs w:val="24"/>
        </w:rPr>
        <w:t xml:space="preserve"> to fill gaps in implementation activity</w:t>
      </w:r>
      <w:r w:rsidR="0043282E">
        <w:rPr>
          <w:sz w:val="24"/>
          <w:szCs w:val="24"/>
        </w:rPr>
        <w:t>;</w:t>
      </w:r>
      <w:r w:rsidR="006E6D2A">
        <w:rPr>
          <w:sz w:val="24"/>
          <w:szCs w:val="24"/>
        </w:rPr>
        <w:t xml:space="preserve"> or to amplify and build on successful initiatives. In the first instance, a four</w:t>
      </w:r>
      <w:r w:rsidR="0043282E">
        <w:rPr>
          <w:sz w:val="24"/>
          <w:szCs w:val="24"/>
        </w:rPr>
        <w:t>-</w:t>
      </w:r>
      <w:r w:rsidR="006E6D2A">
        <w:rPr>
          <w:sz w:val="24"/>
          <w:szCs w:val="24"/>
        </w:rPr>
        <w:t xml:space="preserve">year operating </w:t>
      </w:r>
      <w:r w:rsidR="006E6D2A">
        <w:rPr>
          <w:sz w:val="24"/>
          <w:szCs w:val="24"/>
        </w:rPr>
        <w:lastRenderedPageBreak/>
        <w:t>plan is suggested to provide the confidence to those involved that the voluntary commitment program can be sufficiently resourced and funded to deliver Australia’s target to deliver a halving of food waste by 2030</w:t>
      </w:r>
      <w:r w:rsidR="0043282E">
        <w:rPr>
          <w:sz w:val="24"/>
          <w:szCs w:val="24"/>
        </w:rPr>
        <w:t xml:space="preserve"> (see </w:t>
      </w:r>
      <w:r w:rsidR="0043282E" w:rsidRPr="0043282E">
        <w:rPr>
          <w:b/>
          <w:bCs/>
          <w:color w:val="2F5496" w:themeColor="accent1" w:themeShade="BF"/>
          <w:sz w:val="24"/>
          <w:szCs w:val="24"/>
        </w:rPr>
        <w:t>Section 6</w:t>
      </w:r>
      <w:r w:rsidR="0043282E" w:rsidRPr="0043282E">
        <w:rPr>
          <w:color w:val="2F5496" w:themeColor="accent1" w:themeShade="BF"/>
          <w:sz w:val="24"/>
          <w:szCs w:val="24"/>
        </w:rPr>
        <w:t xml:space="preserve"> </w:t>
      </w:r>
      <w:r w:rsidR="0043282E">
        <w:rPr>
          <w:sz w:val="24"/>
          <w:szCs w:val="24"/>
        </w:rPr>
        <w:t>below for more information on ensuring the voluntary commitment program is sufficiently resourced and funded over time)</w:t>
      </w:r>
      <w:r w:rsidR="006E6D2A">
        <w:rPr>
          <w:sz w:val="24"/>
          <w:szCs w:val="24"/>
        </w:rPr>
        <w:t>.</w:t>
      </w:r>
    </w:p>
    <w:p w14:paraId="2290907C" w14:textId="77777777" w:rsidR="00F17FB7" w:rsidRDefault="00F17FB7" w:rsidP="006E6D2A">
      <w:pPr>
        <w:jc w:val="both"/>
        <w:rPr>
          <w:sz w:val="24"/>
          <w:szCs w:val="24"/>
        </w:rPr>
      </w:pPr>
    </w:p>
    <w:p w14:paraId="1F03AB68" w14:textId="63CDD301" w:rsidR="00F17FB7" w:rsidRPr="00BD537E" w:rsidRDefault="00F17FB7" w:rsidP="00437509">
      <w:pPr>
        <w:pStyle w:val="Heading2"/>
        <w:rPr>
          <w:rStyle w:val="BookTitle"/>
          <w:b/>
          <w:bCs w:val="0"/>
        </w:rPr>
      </w:pPr>
      <w:bookmarkStart w:id="48" w:name="_Toc39140017"/>
      <w:r w:rsidRPr="00437509">
        <w:rPr>
          <w:rStyle w:val="BookTitle"/>
          <w:b/>
          <w:bCs w:val="0"/>
        </w:rPr>
        <w:t>Target</w:t>
      </w:r>
      <w:r w:rsidR="00BD537E">
        <w:rPr>
          <w:rStyle w:val="BookTitle"/>
          <w:b/>
          <w:bCs w:val="0"/>
        </w:rPr>
        <w:t xml:space="preserve"> setting framework and the use of a balanced scorecard approach</w:t>
      </w:r>
      <w:bookmarkEnd w:id="48"/>
    </w:p>
    <w:p w14:paraId="6AD37DC2" w14:textId="5D55BED7" w:rsidR="006E6D2A" w:rsidRDefault="00982876" w:rsidP="00982876">
      <w:pPr>
        <w:jc w:val="both"/>
        <w:rPr>
          <w:sz w:val="24"/>
          <w:szCs w:val="24"/>
        </w:rPr>
      </w:pPr>
      <w:r>
        <w:rPr>
          <w:sz w:val="24"/>
          <w:szCs w:val="24"/>
        </w:rPr>
        <w:t>Whilst the primacy of the halving food waste by 2030 target remains in place, discussions with the National Steering Committee for the National Food Waste Strategy, State and Territory Governments and Local Government</w:t>
      </w:r>
      <w:r w:rsidR="006A0A2A">
        <w:rPr>
          <w:sz w:val="24"/>
          <w:szCs w:val="24"/>
        </w:rPr>
        <w:t>s</w:t>
      </w:r>
      <w:r>
        <w:rPr>
          <w:sz w:val="24"/>
          <w:szCs w:val="24"/>
        </w:rPr>
        <w:t xml:space="preserve"> suggest that any target setting framework needs to take account of the existing </w:t>
      </w:r>
      <w:r w:rsidR="006A0A2A">
        <w:rPr>
          <w:sz w:val="24"/>
          <w:szCs w:val="24"/>
        </w:rPr>
        <w:t xml:space="preserve">investments, </w:t>
      </w:r>
      <w:r>
        <w:rPr>
          <w:sz w:val="24"/>
          <w:szCs w:val="24"/>
        </w:rPr>
        <w:t>actions and initiatives of stakeholders</w:t>
      </w:r>
      <w:r w:rsidR="006A0A2A">
        <w:rPr>
          <w:sz w:val="24"/>
          <w:szCs w:val="24"/>
        </w:rPr>
        <w:t>,</w:t>
      </w:r>
      <w:r>
        <w:rPr>
          <w:sz w:val="24"/>
          <w:szCs w:val="24"/>
        </w:rPr>
        <w:t xml:space="preserve"> whilst at the same time maintaining delivery momentum and shifting the focus to those activities and initiatives that prevent food waste, reuse food waste or create opportunities for new high value co-products from surplus food and food waste – i.e. those things in the food recovery </w:t>
      </w:r>
      <w:r w:rsidR="001D6DD6">
        <w:rPr>
          <w:sz w:val="24"/>
          <w:szCs w:val="24"/>
        </w:rPr>
        <w:t>hierarchy</w:t>
      </w:r>
      <w:r>
        <w:rPr>
          <w:sz w:val="24"/>
          <w:szCs w:val="24"/>
        </w:rPr>
        <w:t xml:space="preserve"> that count towards the delivery of the target. A balanced scorecard approach has been </w:t>
      </w:r>
      <w:r w:rsidR="006A0A2A">
        <w:rPr>
          <w:sz w:val="24"/>
          <w:szCs w:val="24"/>
        </w:rPr>
        <w:t>recommended</w:t>
      </w:r>
      <w:r>
        <w:rPr>
          <w:sz w:val="24"/>
          <w:szCs w:val="24"/>
        </w:rPr>
        <w:t xml:space="preserve"> as the way to balance all of these needs.</w:t>
      </w:r>
    </w:p>
    <w:p w14:paraId="4E8C7888" w14:textId="7738EBE6" w:rsidR="00C117FD" w:rsidRDefault="0043282E" w:rsidP="00C117FD">
      <w:pPr>
        <w:jc w:val="both"/>
        <w:rPr>
          <w:sz w:val="24"/>
          <w:szCs w:val="24"/>
        </w:rPr>
      </w:pPr>
      <w:r>
        <w:rPr>
          <w:sz w:val="24"/>
          <w:szCs w:val="24"/>
        </w:rPr>
        <w:t>An example of a balanced scorecard approach</w:t>
      </w:r>
      <w:r w:rsidR="006A0A2A">
        <w:rPr>
          <w:sz w:val="24"/>
          <w:szCs w:val="24"/>
        </w:rPr>
        <w:t xml:space="preserve">, developed during a workshop on target setting and governance in September 2019, is provided in </w:t>
      </w:r>
      <w:r w:rsidR="0076147C" w:rsidRPr="0076147C">
        <w:rPr>
          <w:b/>
          <w:bCs/>
          <w:color w:val="2F5496" w:themeColor="accent1" w:themeShade="BF"/>
          <w:sz w:val="24"/>
          <w:szCs w:val="24"/>
        </w:rPr>
        <w:fldChar w:fldCharType="begin"/>
      </w:r>
      <w:r w:rsidR="0076147C" w:rsidRPr="0076147C">
        <w:rPr>
          <w:b/>
          <w:bCs/>
          <w:sz w:val="24"/>
          <w:szCs w:val="24"/>
        </w:rPr>
        <w:instrText xml:space="preserve"> REF _Ref37935746 \h </w:instrText>
      </w:r>
      <w:r w:rsidR="0076147C" w:rsidRPr="0076147C">
        <w:rPr>
          <w:b/>
          <w:bCs/>
          <w:color w:val="2F5496" w:themeColor="accent1" w:themeShade="BF"/>
          <w:sz w:val="24"/>
          <w:szCs w:val="24"/>
        </w:rPr>
        <w:instrText xml:space="preserve"> \* MERGEFORMAT </w:instrText>
      </w:r>
      <w:r w:rsidR="0076147C" w:rsidRPr="0076147C">
        <w:rPr>
          <w:b/>
          <w:bCs/>
          <w:color w:val="2F5496" w:themeColor="accent1" w:themeShade="BF"/>
          <w:sz w:val="24"/>
          <w:szCs w:val="24"/>
        </w:rPr>
      </w:r>
      <w:r w:rsidR="0076147C" w:rsidRPr="0076147C">
        <w:rPr>
          <w:b/>
          <w:bCs/>
          <w:color w:val="2F5496" w:themeColor="accent1" w:themeShade="BF"/>
          <w:sz w:val="24"/>
          <w:szCs w:val="24"/>
        </w:rPr>
        <w:fldChar w:fldCharType="separate"/>
      </w:r>
      <w:r w:rsidR="0076147C" w:rsidRPr="0076147C">
        <w:rPr>
          <w:b/>
          <w:bCs/>
          <w:color w:val="2F5496" w:themeColor="accent1" w:themeShade="BF"/>
          <w:sz w:val="24"/>
          <w:szCs w:val="24"/>
        </w:rPr>
        <w:t xml:space="preserve">Table </w:t>
      </w:r>
      <w:r w:rsidR="0076147C" w:rsidRPr="0076147C">
        <w:rPr>
          <w:b/>
          <w:bCs/>
          <w:noProof/>
          <w:color w:val="2F5496" w:themeColor="accent1" w:themeShade="BF"/>
          <w:sz w:val="24"/>
          <w:szCs w:val="24"/>
        </w:rPr>
        <w:t>4</w:t>
      </w:r>
      <w:r w:rsidR="0076147C" w:rsidRPr="0076147C">
        <w:rPr>
          <w:b/>
          <w:bCs/>
          <w:color w:val="2F5496" w:themeColor="accent1" w:themeShade="BF"/>
          <w:sz w:val="24"/>
          <w:szCs w:val="24"/>
        </w:rPr>
        <w:fldChar w:fldCharType="end"/>
      </w:r>
      <w:r w:rsidR="0076147C">
        <w:rPr>
          <w:b/>
          <w:bCs/>
          <w:color w:val="2F5496" w:themeColor="accent1" w:themeShade="BF"/>
          <w:sz w:val="24"/>
          <w:szCs w:val="24"/>
        </w:rPr>
        <w:t xml:space="preserve"> </w:t>
      </w:r>
      <w:r w:rsidR="006A0A2A">
        <w:rPr>
          <w:sz w:val="24"/>
          <w:szCs w:val="24"/>
        </w:rPr>
        <w:t xml:space="preserve">below. Please note that the content of the </w:t>
      </w:r>
      <w:r w:rsidR="00444697">
        <w:rPr>
          <w:sz w:val="24"/>
          <w:szCs w:val="24"/>
        </w:rPr>
        <w:t>B</w:t>
      </w:r>
      <w:r w:rsidR="006A0A2A">
        <w:rPr>
          <w:sz w:val="24"/>
          <w:szCs w:val="24"/>
        </w:rPr>
        <w:t xml:space="preserve">alanced </w:t>
      </w:r>
      <w:r w:rsidR="00444697">
        <w:rPr>
          <w:sz w:val="24"/>
          <w:szCs w:val="24"/>
        </w:rPr>
        <w:t>S</w:t>
      </w:r>
      <w:r w:rsidR="006A0A2A">
        <w:rPr>
          <w:sz w:val="24"/>
          <w:szCs w:val="24"/>
        </w:rPr>
        <w:t>corecard contained within the table</w:t>
      </w:r>
      <w:r w:rsidR="00C117FD">
        <w:rPr>
          <w:sz w:val="24"/>
          <w:szCs w:val="24"/>
        </w:rPr>
        <w:t xml:space="preserve"> </w:t>
      </w:r>
      <w:r w:rsidR="00C117FD" w:rsidRPr="00C117FD">
        <w:rPr>
          <w:sz w:val="24"/>
          <w:szCs w:val="24"/>
        </w:rPr>
        <w:t xml:space="preserve">represents a synthesis of all the ideas put forward at the workshop and represents the range of views on the level of ambition against each target from the workshop participants. The </w:t>
      </w:r>
      <w:r w:rsidR="00120ECE">
        <w:rPr>
          <w:sz w:val="24"/>
          <w:szCs w:val="24"/>
        </w:rPr>
        <w:t>b</w:t>
      </w:r>
      <w:r w:rsidR="00C117FD" w:rsidRPr="00C117FD">
        <w:rPr>
          <w:sz w:val="24"/>
          <w:szCs w:val="24"/>
        </w:rPr>
        <w:t xml:space="preserve">alanced </w:t>
      </w:r>
      <w:r w:rsidR="00120ECE">
        <w:rPr>
          <w:sz w:val="24"/>
          <w:szCs w:val="24"/>
        </w:rPr>
        <w:t>s</w:t>
      </w:r>
      <w:r w:rsidR="00C117FD" w:rsidRPr="00C117FD">
        <w:rPr>
          <w:sz w:val="24"/>
          <w:szCs w:val="24"/>
        </w:rPr>
        <w:t>corecard approach will be refined in due course to reflect stakeholder feedback</w:t>
      </w:r>
      <w:r w:rsidR="00C117FD">
        <w:rPr>
          <w:sz w:val="24"/>
          <w:szCs w:val="24"/>
        </w:rPr>
        <w:t xml:space="preserve"> as part of </w:t>
      </w:r>
      <w:r w:rsidR="00B14524">
        <w:rPr>
          <w:sz w:val="24"/>
          <w:szCs w:val="24"/>
        </w:rPr>
        <w:t>FIAL’s work on a MERI framework for the National Food Waste Strategy.</w:t>
      </w:r>
    </w:p>
    <w:p w14:paraId="55F6C540" w14:textId="7800C1A7" w:rsidR="00AE3121" w:rsidRDefault="00AE3121" w:rsidP="00C117FD">
      <w:pPr>
        <w:jc w:val="both"/>
        <w:rPr>
          <w:sz w:val="24"/>
          <w:szCs w:val="24"/>
        </w:rPr>
      </w:pPr>
      <w:r>
        <w:rPr>
          <w:sz w:val="24"/>
          <w:szCs w:val="24"/>
        </w:rPr>
        <w:t>It should also be noted that a balanced scorecard approach could be used to set targets and objectives to reduce food loss and waste at different stages in the food value chain.</w:t>
      </w:r>
    </w:p>
    <w:p w14:paraId="50120F90" w14:textId="5AA6FDBD" w:rsidR="00AC2D4B" w:rsidRDefault="00AC2D4B">
      <w:pPr>
        <w:rPr>
          <w:sz w:val="24"/>
          <w:szCs w:val="24"/>
        </w:rPr>
      </w:pPr>
      <w:r>
        <w:rPr>
          <w:sz w:val="24"/>
          <w:szCs w:val="24"/>
        </w:rPr>
        <w:br w:type="page"/>
      </w:r>
    </w:p>
    <w:p w14:paraId="6333193E" w14:textId="257348ED" w:rsidR="00AC2D4B" w:rsidRDefault="0076147C" w:rsidP="0076147C">
      <w:pPr>
        <w:pStyle w:val="Caption"/>
        <w:keepNext/>
        <w:rPr>
          <w:i w:val="0"/>
          <w:iCs w:val="0"/>
          <w:sz w:val="20"/>
          <w:szCs w:val="20"/>
        </w:rPr>
      </w:pPr>
      <w:bookmarkStart w:id="49" w:name="_Ref37935746"/>
      <w:r w:rsidRPr="0076147C">
        <w:rPr>
          <w:b/>
          <w:bCs/>
          <w:i w:val="0"/>
          <w:iCs w:val="0"/>
          <w:color w:val="2F5496" w:themeColor="accent1" w:themeShade="BF"/>
          <w:sz w:val="20"/>
          <w:szCs w:val="20"/>
        </w:rPr>
        <w:lastRenderedPageBreak/>
        <w:t xml:space="preserve">Table </w:t>
      </w:r>
      <w:r w:rsidRPr="0076147C">
        <w:rPr>
          <w:b/>
          <w:bCs/>
          <w:i w:val="0"/>
          <w:iCs w:val="0"/>
          <w:color w:val="2F5496" w:themeColor="accent1" w:themeShade="BF"/>
          <w:sz w:val="20"/>
          <w:szCs w:val="20"/>
        </w:rPr>
        <w:fldChar w:fldCharType="begin"/>
      </w:r>
      <w:r w:rsidRPr="0076147C">
        <w:rPr>
          <w:b/>
          <w:bCs/>
          <w:i w:val="0"/>
          <w:iCs w:val="0"/>
          <w:color w:val="2F5496" w:themeColor="accent1" w:themeShade="BF"/>
          <w:sz w:val="20"/>
          <w:szCs w:val="20"/>
        </w:rPr>
        <w:instrText xml:space="preserve"> SEQ Table \* ARABIC </w:instrText>
      </w:r>
      <w:r w:rsidRPr="0076147C">
        <w:rPr>
          <w:b/>
          <w:bCs/>
          <w:i w:val="0"/>
          <w:iCs w:val="0"/>
          <w:color w:val="2F5496" w:themeColor="accent1" w:themeShade="BF"/>
          <w:sz w:val="20"/>
          <w:szCs w:val="20"/>
        </w:rPr>
        <w:fldChar w:fldCharType="separate"/>
      </w:r>
      <w:r w:rsidRPr="0076147C">
        <w:rPr>
          <w:b/>
          <w:bCs/>
          <w:i w:val="0"/>
          <w:iCs w:val="0"/>
          <w:noProof/>
          <w:color w:val="2F5496" w:themeColor="accent1" w:themeShade="BF"/>
          <w:sz w:val="20"/>
          <w:szCs w:val="20"/>
        </w:rPr>
        <w:t>4</w:t>
      </w:r>
      <w:r w:rsidRPr="0076147C">
        <w:rPr>
          <w:b/>
          <w:bCs/>
          <w:i w:val="0"/>
          <w:iCs w:val="0"/>
          <w:color w:val="2F5496" w:themeColor="accent1" w:themeShade="BF"/>
          <w:sz w:val="20"/>
          <w:szCs w:val="20"/>
        </w:rPr>
        <w:fldChar w:fldCharType="end"/>
      </w:r>
      <w:bookmarkEnd w:id="49"/>
      <w:r w:rsidR="00AC2D4B" w:rsidRPr="0076147C">
        <w:rPr>
          <w:b/>
          <w:bCs/>
          <w:i w:val="0"/>
          <w:iCs w:val="0"/>
          <w:color w:val="2F5496" w:themeColor="accent1" w:themeShade="BF"/>
          <w:sz w:val="20"/>
          <w:szCs w:val="20"/>
        </w:rPr>
        <w:t>:</w:t>
      </w:r>
      <w:r w:rsidR="00AC2D4B" w:rsidRPr="0076147C">
        <w:rPr>
          <w:i w:val="0"/>
          <w:iCs w:val="0"/>
          <w:color w:val="2F5496" w:themeColor="accent1" w:themeShade="BF"/>
          <w:sz w:val="20"/>
          <w:szCs w:val="20"/>
        </w:rPr>
        <w:t xml:space="preserve"> </w:t>
      </w:r>
      <w:r w:rsidR="00AC2D4B" w:rsidRPr="0076147C">
        <w:rPr>
          <w:i w:val="0"/>
          <w:iCs w:val="0"/>
          <w:sz w:val="20"/>
          <w:szCs w:val="20"/>
        </w:rPr>
        <w:t>illustrative example of a balanced scorecard approach to target setting based on targets and objectives being set for each of the levels of the food recovery hierarchy.</w:t>
      </w:r>
    </w:p>
    <w:tbl>
      <w:tblPr>
        <w:tblW w:w="9346" w:type="dxa"/>
        <w:tblLook w:val="0420" w:firstRow="1" w:lastRow="0" w:firstColumn="0" w:lastColumn="0" w:noHBand="0" w:noVBand="1"/>
      </w:tblPr>
      <w:tblGrid>
        <w:gridCol w:w="1290"/>
        <w:gridCol w:w="953"/>
        <w:gridCol w:w="3666"/>
        <w:gridCol w:w="892"/>
        <w:gridCol w:w="1272"/>
        <w:gridCol w:w="1273"/>
      </w:tblGrid>
      <w:tr w:rsidR="00F24531" w:rsidRPr="00B14524" w14:paraId="510A1528" w14:textId="77777777" w:rsidTr="004653FC">
        <w:trPr>
          <w:trHeight w:hRule="exact" w:val="340"/>
          <w:tblHeader/>
        </w:trPr>
        <w:tc>
          <w:tcPr>
            <w:tcW w:w="1300" w:type="dxa"/>
            <w:tcBorders>
              <w:top w:val="single" w:sz="8" w:space="0" w:color="FFFFFF"/>
              <w:left w:val="single" w:sz="8" w:space="0" w:color="FFFFFF"/>
              <w:bottom w:val="single" w:sz="12" w:space="0" w:color="FFFFFF"/>
              <w:right w:val="single" w:sz="8" w:space="0" w:color="FFFFFF"/>
            </w:tcBorders>
            <w:shd w:val="clear" w:color="000000" w:fill="06507F"/>
            <w:vAlign w:val="center"/>
            <w:hideMark/>
          </w:tcPr>
          <w:p w14:paraId="5F87DB8E" w14:textId="77777777" w:rsidR="00F24531" w:rsidRPr="00B14524" w:rsidRDefault="00F24531" w:rsidP="004653FC">
            <w:pPr>
              <w:spacing w:after="0" w:line="240" w:lineRule="auto"/>
              <w:rPr>
                <w:rFonts w:ascii="Calibri" w:eastAsia="Times New Roman" w:hAnsi="Calibri" w:cs="Calibri"/>
                <w:color w:val="000000"/>
                <w:sz w:val="24"/>
                <w:szCs w:val="24"/>
                <w:lang w:eastAsia="en-GB"/>
              </w:rPr>
            </w:pPr>
            <w:r w:rsidRPr="00B14524">
              <w:rPr>
                <w:rFonts w:ascii="Calibri" w:eastAsia="Times New Roman" w:hAnsi="Calibri" w:cs="Calibri"/>
                <w:color w:val="000000"/>
                <w:sz w:val="24"/>
                <w:szCs w:val="24"/>
                <w:lang w:eastAsia="en-GB"/>
              </w:rPr>
              <w:t> </w:t>
            </w:r>
          </w:p>
        </w:tc>
        <w:tc>
          <w:tcPr>
            <w:tcW w:w="958" w:type="dxa"/>
            <w:tcBorders>
              <w:top w:val="single" w:sz="8" w:space="0" w:color="FFFFFF"/>
              <w:left w:val="nil"/>
              <w:bottom w:val="single" w:sz="12" w:space="0" w:color="FFFFFF"/>
              <w:right w:val="single" w:sz="8" w:space="0" w:color="FFFFFF"/>
            </w:tcBorders>
            <w:shd w:val="clear" w:color="000000" w:fill="06507F"/>
            <w:vAlign w:val="center"/>
            <w:hideMark/>
          </w:tcPr>
          <w:p w14:paraId="79FEC5DA" w14:textId="77777777" w:rsidR="00F24531" w:rsidRPr="00B14524" w:rsidRDefault="00F24531" w:rsidP="004653FC">
            <w:pPr>
              <w:spacing w:after="0" w:line="240" w:lineRule="auto"/>
              <w:rPr>
                <w:rFonts w:ascii="Calibri" w:eastAsia="Times New Roman" w:hAnsi="Calibri" w:cs="Calibri"/>
                <w:color w:val="000000"/>
                <w:sz w:val="24"/>
                <w:szCs w:val="24"/>
                <w:lang w:eastAsia="en-GB"/>
              </w:rPr>
            </w:pPr>
            <w:r w:rsidRPr="00B14524">
              <w:rPr>
                <w:rFonts w:ascii="Calibri" w:eastAsia="Times New Roman" w:hAnsi="Calibri" w:cs="Calibri"/>
                <w:color w:val="000000"/>
                <w:sz w:val="24"/>
                <w:szCs w:val="24"/>
                <w:lang w:eastAsia="en-GB"/>
              </w:rPr>
              <w:t> </w:t>
            </w:r>
          </w:p>
        </w:tc>
        <w:tc>
          <w:tcPr>
            <w:tcW w:w="3686" w:type="dxa"/>
            <w:tcBorders>
              <w:top w:val="single" w:sz="8" w:space="0" w:color="FFFFFF"/>
              <w:left w:val="nil"/>
              <w:bottom w:val="single" w:sz="12" w:space="0" w:color="FFFFFF"/>
              <w:right w:val="single" w:sz="8" w:space="0" w:color="FFFFFF"/>
            </w:tcBorders>
            <w:shd w:val="clear" w:color="000000" w:fill="06507F"/>
            <w:vAlign w:val="center"/>
            <w:hideMark/>
          </w:tcPr>
          <w:p w14:paraId="3DF93248" w14:textId="77777777" w:rsidR="00F24531" w:rsidRPr="00B14524" w:rsidRDefault="00F24531" w:rsidP="004653FC">
            <w:pPr>
              <w:spacing w:after="0" w:line="240" w:lineRule="auto"/>
              <w:jc w:val="center"/>
              <w:rPr>
                <w:rFonts w:ascii="Calibri" w:eastAsia="Times New Roman" w:hAnsi="Calibri" w:cs="Calibri"/>
                <w:b/>
                <w:bCs/>
                <w:color w:val="FFFFFF"/>
                <w:sz w:val="20"/>
                <w:szCs w:val="20"/>
                <w:lang w:eastAsia="en-GB"/>
              </w:rPr>
            </w:pPr>
            <w:r w:rsidRPr="00B14524">
              <w:rPr>
                <w:rFonts w:ascii="Calibri" w:eastAsia="Times New Roman" w:hAnsi="Calibri" w:cs="Calibri"/>
                <w:b/>
                <w:bCs/>
                <w:color w:val="FFFFFF"/>
                <w:sz w:val="20"/>
                <w:szCs w:val="20"/>
                <w:lang w:val="en-GB" w:eastAsia="en-GB"/>
              </w:rPr>
              <w:t>Target</w:t>
            </w:r>
          </w:p>
        </w:tc>
        <w:tc>
          <w:tcPr>
            <w:tcW w:w="850" w:type="dxa"/>
            <w:tcBorders>
              <w:top w:val="single" w:sz="8" w:space="0" w:color="FFFFFF"/>
              <w:left w:val="nil"/>
              <w:bottom w:val="single" w:sz="12" w:space="0" w:color="FFFFFF"/>
              <w:right w:val="single" w:sz="8" w:space="0" w:color="FFFFFF"/>
            </w:tcBorders>
            <w:shd w:val="clear" w:color="000000" w:fill="06507F"/>
            <w:vAlign w:val="center"/>
            <w:hideMark/>
          </w:tcPr>
          <w:p w14:paraId="1C0AD830" w14:textId="77777777" w:rsidR="00F24531" w:rsidRPr="00B14524" w:rsidRDefault="00F24531" w:rsidP="004653FC">
            <w:pPr>
              <w:spacing w:after="0" w:line="240" w:lineRule="auto"/>
              <w:jc w:val="center"/>
              <w:rPr>
                <w:rFonts w:ascii="Calibri" w:eastAsia="Times New Roman" w:hAnsi="Calibri" w:cs="Calibri"/>
                <w:i/>
                <w:iCs/>
                <w:color w:val="FFFFFF"/>
                <w:sz w:val="20"/>
                <w:szCs w:val="20"/>
                <w:lang w:eastAsia="en-GB"/>
              </w:rPr>
            </w:pPr>
            <w:r w:rsidRPr="00B14524">
              <w:rPr>
                <w:rFonts w:ascii="Calibri" w:eastAsia="Times New Roman" w:hAnsi="Calibri" w:cs="Calibri"/>
                <w:i/>
                <w:iCs/>
                <w:color w:val="FFFFFF"/>
                <w:sz w:val="20"/>
                <w:szCs w:val="20"/>
                <w:lang w:val="en-GB" w:eastAsia="en-GB"/>
              </w:rPr>
              <w:t>Baseline Kt</w:t>
            </w:r>
          </w:p>
        </w:tc>
        <w:tc>
          <w:tcPr>
            <w:tcW w:w="1276" w:type="dxa"/>
            <w:tcBorders>
              <w:top w:val="single" w:sz="8" w:space="0" w:color="FFFFFF"/>
              <w:left w:val="nil"/>
              <w:bottom w:val="single" w:sz="12" w:space="0" w:color="FFFFFF"/>
              <w:right w:val="single" w:sz="8" w:space="0" w:color="FFFFFF"/>
            </w:tcBorders>
            <w:shd w:val="clear" w:color="000000" w:fill="06507F"/>
            <w:vAlign w:val="center"/>
            <w:hideMark/>
          </w:tcPr>
          <w:p w14:paraId="67146FB8" w14:textId="77777777" w:rsidR="00F24531" w:rsidRPr="00B14524" w:rsidRDefault="00F24531" w:rsidP="004653FC">
            <w:pPr>
              <w:spacing w:after="0" w:line="240" w:lineRule="auto"/>
              <w:jc w:val="center"/>
              <w:rPr>
                <w:rFonts w:ascii="Calibri" w:eastAsia="Times New Roman" w:hAnsi="Calibri" w:cs="Calibri"/>
                <w:color w:val="FFFFFF"/>
                <w:sz w:val="20"/>
                <w:szCs w:val="20"/>
                <w:lang w:eastAsia="en-GB"/>
              </w:rPr>
            </w:pPr>
            <w:r w:rsidRPr="00B14524">
              <w:rPr>
                <w:rFonts w:ascii="Calibri" w:eastAsia="Times New Roman" w:hAnsi="Calibri" w:cs="Calibri"/>
                <w:color w:val="FFFFFF"/>
                <w:sz w:val="20"/>
                <w:szCs w:val="20"/>
                <w:lang w:val="en-GB" w:eastAsia="en-GB"/>
              </w:rPr>
              <w:t>2022</w:t>
            </w:r>
          </w:p>
        </w:tc>
        <w:tc>
          <w:tcPr>
            <w:tcW w:w="1276" w:type="dxa"/>
            <w:tcBorders>
              <w:top w:val="single" w:sz="8" w:space="0" w:color="FFFFFF"/>
              <w:left w:val="nil"/>
              <w:bottom w:val="single" w:sz="12" w:space="0" w:color="FFFFFF"/>
              <w:right w:val="single" w:sz="8" w:space="0" w:color="FFFFFF"/>
            </w:tcBorders>
            <w:shd w:val="clear" w:color="000000" w:fill="06507F"/>
            <w:vAlign w:val="center"/>
            <w:hideMark/>
          </w:tcPr>
          <w:p w14:paraId="160ECE39" w14:textId="77777777" w:rsidR="00F24531" w:rsidRPr="00B14524" w:rsidRDefault="00F24531" w:rsidP="004653FC">
            <w:pPr>
              <w:spacing w:after="0" w:line="240" w:lineRule="auto"/>
              <w:jc w:val="center"/>
              <w:rPr>
                <w:rFonts w:ascii="Calibri" w:eastAsia="Times New Roman" w:hAnsi="Calibri" w:cs="Calibri"/>
                <w:b/>
                <w:bCs/>
                <w:color w:val="FFFFFF"/>
                <w:sz w:val="20"/>
                <w:szCs w:val="20"/>
                <w:lang w:eastAsia="en-GB"/>
              </w:rPr>
            </w:pPr>
            <w:r w:rsidRPr="00B14524">
              <w:rPr>
                <w:rFonts w:ascii="Calibri" w:eastAsia="Times New Roman" w:hAnsi="Calibri" w:cs="Calibri"/>
                <w:b/>
                <w:bCs/>
                <w:color w:val="FFFFFF"/>
                <w:sz w:val="20"/>
                <w:szCs w:val="20"/>
                <w:lang w:val="en-GB" w:eastAsia="en-GB"/>
              </w:rPr>
              <w:t>2030</w:t>
            </w:r>
          </w:p>
        </w:tc>
      </w:tr>
      <w:tr w:rsidR="00F24531" w:rsidRPr="00B14524" w14:paraId="0D966E78" w14:textId="77777777" w:rsidTr="004653FC">
        <w:trPr>
          <w:cantSplit/>
          <w:trHeight w:hRule="exact" w:val="640"/>
        </w:trPr>
        <w:tc>
          <w:tcPr>
            <w:tcW w:w="1300" w:type="dxa"/>
            <w:vMerge w:val="restart"/>
            <w:tcBorders>
              <w:top w:val="nil"/>
              <w:left w:val="single" w:sz="8" w:space="0" w:color="FFFFFF"/>
              <w:bottom w:val="nil"/>
              <w:right w:val="single" w:sz="8" w:space="0" w:color="FFFFFF"/>
            </w:tcBorders>
            <w:shd w:val="clear" w:color="000000" w:fill="097D31"/>
            <w:textDirection w:val="btLr"/>
            <w:vAlign w:val="center"/>
            <w:hideMark/>
          </w:tcPr>
          <w:p w14:paraId="0ADA7F12" w14:textId="77777777" w:rsidR="00F24531" w:rsidRPr="00FF6F7D" w:rsidRDefault="00F24531" w:rsidP="004653FC">
            <w:pPr>
              <w:spacing w:after="0" w:line="240" w:lineRule="auto"/>
              <w:jc w:val="center"/>
              <w:rPr>
                <w:rFonts w:ascii="Arial" w:eastAsia="Times New Roman" w:hAnsi="Arial" w:cs="Arial"/>
                <w:b/>
                <w:bCs/>
                <w:color w:val="FFFFFF"/>
                <w:sz w:val="20"/>
                <w:szCs w:val="20"/>
                <w:lang w:eastAsia="en-GB"/>
              </w:rPr>
            </w:pPr>
            <w:r w:rsidRPr="00FF6F7D">
              <w:rPr>
                <w:rFonts w:ascii="Arial" w:eastAsia="Times New Roman" w:hAnsi="Arial" w:cs="Arial"/>
                <w:b/>
                <w:bCs/>
                <w:color w:val="FFFFFF"/>
                <w:sz w:val="20"/>
                <w:szCs w:val="20"/>
                <w:lang w:val="en-GB" w:eastAsia="en-GB"/>
              </w:rPr>
              <w:t>Prevention</w:t>
            </w:r>
          </w:p>
        </w:tc>
        <w:tc>
          <w:tcPr>
            <w:tcW w:w="958" w:type="dxa"/>
            <w:tcBorders>
              <w:top w:val="nil"/>
              <w:left w:val="nil"/>
              <w:bottom w:val="single" w:sz="8" w:space="0" w:color="FFFFFF"/>
              <w:right w:val="single" w:sz="8" w:space="0" w:color="FFFFFF"/>
            </w:tcBorders>
            <w:shd w:val="clear" w:color="000000" w:fill="E2F0D9"/>
            <w:vAlign w:val="center"/>
            <w:hideMark/>
          </w:tcPr>
          <w:p w14:paraId="7B49795A" w14:textId="77777777" w:rsidR="00F24531" w:rsidRPr="00B14524" w:rsidRDefault="00F24531" w:rsidP="004653FC">
            <w:pPr>
              <w:spacing w:after="0" w:line="240" w:lineRule="auto"/>
              <w:jc w:val="center"/>
              <w:rPr>
                <w:rFonts w:ascii="Calibri" w:eastAsia="Times New Roman" w:hAnsi="Calibri" w:cs="Calibri"/>
                <w:b/>
                <w:bCs/>
                <w:color w:val="097D31"/>
                <w:sz w:val="24"/>
                <w:szCs w:val="24"/>
                <w:lang w:eastAsia="en-GB"/>
              </w:rPr>
            </w:pPr>
            <w:r w:rsidRPr="00B14524">
              <w:rPr>
                <w:rFonts w:ascii="Calibri" w:eastAsia="Times New Roman" w:hAnsi="Calibri" w:cs="Calibri"/>
                <w:b/>
                <w:bCs/>
                <w:color w:val="097D31"/>
                <w:sz w:val="24"/>
                <w:szCs w:val="24"/>
                <w:lang w:val="en-GB" w:eastAsia="en-GB"/>
              </w:rPr>
              <w:t>1.1</w:t>
            </w:r>
          </w:p>
        </w:tc>
        <w:tc>
          <w:tcPr>
            <w:tcW w:w="3686" w:type="dxa"/>
            <w:tcBorders>
              <w:top w:val="nil"/>
              <w:left w:val="nil"/>
              <w:bottom w:val="single" w:sz="8" w:space="0" w:color="FFFFFF"/>
              <w:right w:val="single" w:sz="8" w:space="0" w:color="FFFFFF"/>
            </w:tcBorders>
            <w:shd w:val="clear" w:color="000000" w:fill="E2F0D9"/>
            <w:vAlign w:val="center"/>
            <w:hideMark/>
          </w:tcPr>
          <w:p w14:paraId="4CC16B27" w14:textId="77777777" w:rsidR="00F24531" w:rsidRPr="00B14524" w:rsidRDefault="00F24531" w:rsidP="004653FC">
            <w:pPr>
              <w:spacing w:after="0" w:line="240" w:lineRule="auto"/>
              <w:rPr>
                <w:rFonts w:ascii="Calibri" w:eastAsia="Times New Roman" w:hAnsi="Calibri" w:cs="Calibri"/>
                <w:color w:val="000000"/>
                <w:sz w:val="20"/>
                <w:szCs w:val="20"/>
                <w:lang w:eastAsia="en-GB"/>
              </w:rPr>
            </w:pPr>
            <w:r w:rsidRPr="00B14524">
              <w:rPr>
                <w:rFonts w:ascii="Calibri" w:eastAsia="Times New Roman" w:hAnsi="Calibri" w:cs="Calibri"/>
                <w:color w:val="000000"/>
                <w:sz w:val="20"/>
                <w:szCs w:val="20"/>
                <w:lang w:val="en-GB" w:eastAsia="en-GB"/>
              </w:rPr>
              <w:t>Prevent the generation of Food Waste across the supply chain</w:t>
            </w:r>
          </w:p>
        </w:tc>
        <w:tc>
          <w:tcPr>
            <w:tcW w:w="850" w:type="dxa"/>
            <w:tcBorders>
              <w:top w:val="nil"/>
              <w:left w:val="nil"/>
              <w:bottom w:val="single" w:sz="8" w:space="0" w:color="FFFFFF"/>
              <w:right w:val="single" w:sz="8" w:space="0" w:color="FFFFFF"/>
            </w:tcBorders>
            <w:shd w:val="clear" w:color="000000" w:fill="E2F0D9"/>
            <w:vAlign w:val="center"/>
            <w:hideMark/>
          </w:tcPr>
          <w:p w14:paraId="3338A1F1" w14:textId="77777777" w:rsidR="00F24531" w:rsidRPr="00B14524" w:rsidRDefault="00F24531" w:rsidP="004653FC">
            <w:pPr>
              <w:spacing w:after="0" w:line="240" w:lineRule="auto"/>
              <w:jc w:val="center"/>
              <w:rPr>
                <w:rFonts w:ascii="Calibri" w:eastAsia="Times New Roman" w:hAnsi="Calibri" w:cs="Calibri"/>
                <w:color w:val="000000"/>
                <w:sz w:val="20"/>
                <w:szCs w:val="20"/>
                <w:lang w:eastAsia="en-GB"/>
              </w:rPr>
            </w:pPr>
            <w:r w:rsidRPr="00B14524">
              <w:rPr>
                <w:rFonts w:ascii="Calibri" w:eastAsia="Times New Roman" w:hAnsi="Calibri" w:cs="Calibri"/>
                <w:color w:val="000000"/>
                <w:sz w:val="20"/>
                <w:szCs w:val="20"/>
                <w:lang w:val="en-GB" w:eastAsia="en-GB"/>
              </w:rPr>
              <w:t>N/A</w:t>
            </w:r>
          </w:p>
        </w:tc>
        <w:tc>
          <w:tcPr>
            <w:tcW w:w="1276" w:type="dxa"/>
            <w:tcBorders>
              <w:top w:val="nil"/>
              <w:left w:val="nil"/>
              <w:bottom w:val="single" w:sz="8" w:space="0" w:color="FFFFFF"/>
              <w:right w:val="single" w:sz="8" w:space="0" w:color="FFFFFF"/>
            </w:tcBorders>
            <w:shd w:val="clear" w:color="000000" w:fill="E2F0D9"/>
            <w:vAlign w:val="center"/>
            <w:hideMark/>
          </w:tcPr>
          <w:p w14:paraId="1EA96E2C" w14:textId="77777777" w:rsidR="00F24531" w:rsidRPr="00B14524" w:rsidRDefault="00F24531" w:rsidP="004653FC">
            <w:pPr>
              <w:spacing w:after="0" w:line="240" w:lineRule="auto"/>
              <w:jc w:val="center"/>
              <w:rPr>
                <w:rFonts w:ascii="Calibri" w:eastAsia="Times New Roman" w:hAnsi="Calibri" w:cs="Calibri"/>
                <w:color w:val="000000"/>
                <w:sz w:val="20"/>
                <w:szCs w:val="20"/>
                <w:lang w:eastAsia="en-GB"/>
              </w:rPr>
            </w:pPr>
            <w:r w:rsidRPr="00B14524">
              <w:rPr>
                <w:rFonts w:ascii="Calibri" w:eastAsia="Times New Roman" w:hAnsi="Calibri" w:cs="Calibri"/>
                <w:color w:val="000000"/>
                <w:sz w:val="20"/>
                <w:szCs w:val="20"/>
                <w:lang w:val="en-GB" w:eastAsia="en-GB"/>
              </w:rPr>
              <w:t>10%</w:t>
            </w:r>
          </w:p>
        </w:tc>
        <w:tc>
          <w:tcPr>
            <w:tcW w:w="1276" w:type="dxa"/>
            <w:tcBorders>
              <w:top w:val="nil"/>
              <w:left w:val="nil"/>
              <w:bottom w:val="single" w:sz="8" w:space="0" w:color="FFFFFF"/>
              <w:right w:val="single" w:sz="8" w:space="0" w:color="FFFFFF"/>
            </w:tcBorders>
            <w:shd w:val="clear" w:color="000000" w:fill="E2F0D9"/>
            <w:vAlign w:val="center"/>
            <w:hideMark/>
          </w:tcPr>
          <w:p w14:paraId="64F45CBB" w14:textId="77777777" w:rsidR="00F24531" w:rsidRPr="00B14524" w:rsidRDefault="00F24531" w:rsidP="004653FC">
            <w:pPr>
              <w:spacing w:after="0" w:line="240" w:lineRule="auto"/>
              <w:jc w:val="center"/>
              <w:rPr>
                <w:rFonts w:ascii="Calibri" w:eastAsia="Times New Roman" w:hAnsi="Calibri" w:cs="Calibri"/>
                <w:color w:val="000000"/>
                <w:sz w:val="20"/>
                <w:szCs w:val="20"/>
                <w:lang w:eastAsia="en-GB"/>
              </w:rPr>
            </w:pPr>
            <w:r w:rsidRPr="00B14524">
              <w:rPr>
                <w:rFonts w:ascii="Calibri" w:eastAsia="Times New Roman" w:hAnsi="Calibri" w:cs="Calibri"/>
                <w:color w:val="000000"/>
                <w:sz w:val="20"/>
                <w:szCs w:val="20"/>
                <w:lang w:eastAsia="en-GB"/>
              </w:rPr>
              <w:t>50%/35%</w:t>
            </w:r>
          </w:p>
        </w:tc>
      </w:tr>
      <w:tr w:rsidR="00F24531" w:rsidRPr="00B14524" w14:paraId="33003E0C" w14:textId="77777777" w:rsidTr="004653FC">
        <w:trPr>
          <w:trHeight w:val="340"/>
        </w:trPr>
        <w:tc>
          <w:tcPr>
            <w:tcW w:w="1300" w:type="dxa"/>
            <w:vMerge/>
            <w:tcBorders>
              <w:top w:val="nil"/>
              <w:left w:val="single" w:sz="8" w:space="0" w:color="FFFFFF"/>
              <w:bottom w:val="nil"/>
              <w:right w:val="single" w:sz="8" w:space="0" w:color="FFFFFF"/>
            </w:tcBorders>
            <w:vAlign w:val="center"/>
            <w:hideMark/>
          </w:tcPr>
          <w:p w14:paraId="5F18A0B9" w14:textId="77777777" w:rsidR="00F24531" w:rsidRPr="00FF6F7D" w:rsidRDefault="00F24531" w:rsidP="004653FC">
            <w:pPr>
              <w:spacing w:after="0" w:line="240" w:lineRule="auto"/>
              <w:rPr>
                <w:rFonts w:ascii="Arial" w:eastAsia="Times New Roman" w:hAnsi="Arial" w:cs="Arial"/>
                <w:b/>
                <w:bCs/>
                <w:color w:val="FFFFFF"/>
                <w:sz w:val="20"/>
                <w:szCs w:val="20"/>
                <w:lang w:eastAsia="en-GB"/>
              </w:rPr>
            </w:pPr>
          </w:p>
        </w:tc>
        <w:tc>
          <w:tcPr>
            <w:tcW w:w="958" w:type="dxa"/>
            <w:tcBorders>
              <w:top w:val="nil"/>
              <w:left w:val="nil"/>
              <w:bottom w:val="single" w:sz="8" w:space="0" w:color="FFFFFF"/>
              <w:right w:val="single" w:sz="8" w:space="0" w:color="FFFFFF"/>
            </w:tcBorders>
            <w:shd w:val="clear" w:color="000000" w:fill="C5E0B4"/>
            <w:vAlign w:val="center"/>
            <w:hideMark/>
          </w:tcPr>
          <w:p w14:paraId="4EDABCB6" w14:textId="77777777" w:rsidR="00F24531" w:rsidRPr="00B14524" w:rsidRDefault="00F24531" w:rsidP="004653FC">
            <w:pPr>
              <w:spacing w:after="0" w:line="240" w:lineRule="auto"/>
              <w:jc w:val="center"/>
              <w:rPr>
                <w:rFonts w:ascii="Calibri" w:eastAsia="Times New Roman" w:hAnsi="Calibri" w:cs="Calibri"/>
                <w:b/>
                <w:bCs/>
                <w:color w:val="097D31"/>
                <w:sz w:val="24"/>
                <w:szCs w:val="24"/>
                <w:lang w:eastAsia="en-GB"/>
              </w:rPr>
            </w:pPr>
            <w:r w:rsidRPr="00B14524">
              <w:rPr>
                <w:rFonts w:ascii="Calibri" w:eastAsia="Times New Roman" w:hAnsi="Calibri" w:cs="Calibri"/>
                <w:b/>
                <w:bCs/>
                <w:color w:val="097D31"/>
                <w:sz w:val="24"/>
                <w:szCs w:val="24"/>
                <w:lang w:val="en-GB" w:eastAsia="en-GB"/>
              </w:rPr>
              <w:t>1.2</w:t>
            </w:r>
          </w:p>
        </w:tc>
        <w:tc>
          <w:tcPr>
            <w:tcW w:w="3686" w:type="dxa"/>
            <w:tcBorders>
              <w:top w:val="nil"/>
              <w:left w:val="nil"/>
              <w:bottom w:val="single" w:sz="8" w:space="0" w:color="FFFFFF"/>
              <w:right w:val="single" w:sz="8" w:space="0" w:color="FFFFFF"/>
            </w:tcBorders>
            <w:shd w:val="clear" w:color="000000" w:fill="C5E0B4"/>
            <w:vAlign w:val="center"/>
            <w:hideMark/>
          </w:tcPr>
          <w:p w14:paraId="38867459" w14:textId="77777777" w:rsidR="00F24531" w:rsidRPr="00B14524" w:rsidRDefault="00F24531" w:rsidP="004653FC">
            <w:pPr>
              <w:spacing w:after="0" w:line="240" w:lineRule="auto"/>
              <w:rPr>
                <w:rFonts w:ascii="Calibri" w:eastAsia="Times New Roman" w:hAnsi="Calibri" w:cs="Calibri"/>
                <w:color w:val="000000"/>
                <w:sz w:val="20"/>
                <w:szCs w:val="20"/>
                <w:lang w:eastAsia="en-GB"/>
              </w:rPr>
            </w:pPr>
            <w:r w:rsidRPr="00B14524">
              <w:rPr>
                <w:rFonts w:ascii="Calibri" w:eastAsia="Times New Roman" w:hAnsi="Calibri" w:cs="Calibri"/>
                <w:color w:val="000000"/>
                <w:sz w:val="20"/>
                <w:szCs w:val="20"/>
                <w:lang w:val="en-GB" w:eastAsia="en-GB"/>
              </w:rPr>
              <w:t xml:space="preserve">Reduce food waste </w:t>
            </w:r>
            <w:r>
              <w:rPr>
                <w:rFonts w:ascii="Calibri" w:eastAsia="Times New Roman" w:hAnsi="Calibri" w:cs="Calibri"/>
                <w:color w:val="000000"/>
                <w:sz w:val="20"/>
                <w:szCs w:val="20"/>
                <w:lang w:val="en-GB" w:eastAsia="en-GB"/>
              </w:rPr>
              <w:t>in</w:t>
            </w:r>
            <w:r w:rsidRPr="00B14524">
              <w:rPr>
                <w:rFonts w:ascii="Calibri" w:eastAsia="Times New Roman" w:hAnsi="Calibri" w:cs="Calibri"/>
                <w:color w:val="000000"/>
                <w:sz w:val="20"/>
                <w:szCs w:val="20"/>
                <w:lang w:val="en-GB" w:eastAsia="en-GB"/>
              </w:rPr>
              <w:t xml:space="preserve"> </w:t>
            </w:r>
            <w:r>
              <w:rPr>
                <w:rFonts w:ascii="Calibri" w:eastAsia="Times New Roman" w:hAnsi="Calibri" w:cs="Calibri"/>
                <w:color w:val="000000"/>
                <w:sz w:val="20"/>
                <w:szCs w:val="20"/>
                <w:lang w:val="en-GB" w:eastAsia="en-GB"/>
              </w:rPr>
              <w:t>primary production,</w:t>
            </w:r>
            <w:r w:rsidRPr="00B14524">
              <w:rPr>
                <w:rFonts w:ascii="Calibri" w:eastAsia="Times New Roman" w:hAnsi="Calibri" w:cs="Calibri"/>
                <w:color w:val="000000"/>
                <w:sz w:val="20"/>
                <w:szCs w:val="20"/>
                <w:lang w:val="en-GB" w:eastAsia="en-GB"/>
              </w:rPr>
              <w:t xml:space="preserve"> </w:t>
            </w:r>
            <w:r>
              <w:rPr>
                <w:rFonts w:ascii="Calibri" w:eastAsia="Times New Roman" w:hAnsi="Calibri" w:cs="Calibri"/>
                <w:color w:val="000000"/>
                <w:sz w:val="20"/>
                <w:szCs w:val="20"/>
                <w:lang w:val="en-GB" w:eastAsia="en-GB"/>
              </w:rPr>
              <w:t>including fisheries and aquaculture</w:t>
            </w:r>
          </w:p>
        </w:tc>
        <w:tc>
          <w:tcPr>
            <w:tcW w:w="850" w:type="dxa"/>
            <w:tcBorders>
              <w:top w:val="nil"/>
              <w:left w:val="nil"/>
              <w:bottom w:val="single" w:sz="8" w:space="0" w:color="FFFFFF"/>
              <w:right w:val="single" w:sz="8" w:space="0" w:color="FFFFFF"/>
            </w:tcBorders>
            <w:shd w:val="clear" w:color="000000" w:fill="C5E0B4"/>
            <w:vAlign w:val="center"/>
            <w:hideMark/>
          </w:tcPr>
          <w:p w14:paraId="192A5932" w14:textId="77777777" w:rsidR="00F24531" w:rsidRPr="00B14524" w:rsidRDefault="00F24531" w:rsidP="004653FC">
            <w:pPr>
              <w:spacing w:after="0" w:line="240" w:lineRule="auto"/>
              <w:jc w:val="center"/>
              <w:rPr>
                <w:rFonts w:ascii="Calibri" w:eastAsia="Times New Roman" w:hAnsi="Calibri" w:cs="Calibri"/>
                <w:color w:val="000000"/>
                <w:sz w:val="20"/>
                <w:szCs w:val="20"/>
                <w:lang w:eastAsia="en-GB"/>
              </w:rPr>
            </w:pPr>
            <w:r w:rsidRPr="00B14524">
              <w:rPr>
                <w:rFonts w:ascii="Calibri" w:eastAsia="Times New Roman" w:hAnsi="Calibri" w:cs="Calibri"/>
                <w:color w:val="000000"/>
                <w:sz w:val="20"/>
                <w:szCs w:val="20"/>
                <w:lang w:eastAsia="en-GB"/>
              </w:rPr>
              <w:t> </w:t>
            </w:r>
          </w:p>
        </w:tc>
        <w:tc>
          <w:tcPr>
            <w:tcW w:w="1276" w:type="dxa"/>
            <w:tcBorders>
              <w:top w:val="nil"/>
              <w:left w:val="nil"/>
              <w:bottom w:val="single" w:sz="8" w:space="0" w:color="FFFFFF"/>
              <w:right w:val="single" w:sz="8" w:space="0" w:color="FFFFFF"/>
            </w:tcBorders>
            <w:shd w:val="clear" w:color="000000" w:fill="C5E0B4"/>
            <w:vAlign w:val="center"/>
            <w:hideMark/>
          </w:tcPr>
          <w:p w14:paraId="08AC84FF" w14:textId="77777777" w:rsidR="00F24531" w:rsidRPr="00B14524" w:rsidRDefault="00F24531" w:rsidP="004653FC">
            <w:pPr>
              <w:spacing w:after="0" w:line="240" w:lineRule="auto"/>
              <w:jc w:val="center"/>
              <w:rPr>
                <w:rFonts w:ascii="Calibri" w:eastAsia="Times New Roman" w:hAnsi="Calibri" w:cs="Calibri"/>
                <w:color w:val="000000"/>
                <w:sz w:val="20"/>
                <w:szCs w:val="20"/>
                <w:lang w:eastAsia="en-GB"/>
              </w:rPr>
            </w:pPr>
            <w:r w:rsidRPr="00B14524">
              <w:rPr>
                <w:rFonts w:ascii="Calibri" w:eastAsia="Times New Roman" w:hAnsi="Calibri" w:cs="Calibri"/>
                <w:color w:val="000000"/>
                <w:sz w:val="20"/>
                <w:szCs w:val="20"/>
                <w:lang w:eastAsia="en-GB"/>
              </w:rPr>
              <w:t>10%</w:t>
            </w:r>
          </w:p>
        </w:tc>
        <w:tc>
          <w:tcPr>
            <w:tcW w:w="1276" w:type="dxa"/>
            <w:tcBorders>
              <w:top w:val="nil"/>
              <w:left w:val="nil"/>
              <w:bottom w:val="single" w:sz="8" w:space="0" w:color="FFFFFF"/>
              <w:right w:val="single" w:sz="8" w:space="0" w:color="FFFFFF"/>
            </w:tcBorders>
            <w:shd w:val="clear" w:color="000000" w:fill="C5E0B4"/>
            <w:vAlign w:val="center"/>
            <w:hideMark/>
          </w:tcPr>
          <w:p w14:paraId="5D76D618" w14:textId="77777777" w:rsidR="00F24531" w:rsidRPr="00B14524" w:rsidRDefault="00F24531" w:rsidP="004653FC">
            <w:pPr>
              <w:spacing w:after="0" w:line="240" w:lineRule="auto"/>
              <w:jc w:val="center"/>
              <w:rPr>
                <w:rFonts w:ascii="Calibri" w:eastAsia="Times New Roman" w:hAnsi="Calibri" w:cs="Calibri"/>
                <w:color w:val="000000"/>
                <w:sz w:val="20"/>
                <w:szCs w:val="20"/>
                <w:lang w:eastAsia="en-GB"/>
              </w:rPr>
            </w:pPr>
            <w:r w:rsidRPr="00B14524">
              <w:rPr>
                <w:rFonts w:ascii="Calibri" w:eastAsia="Times New Roman" w:hAnsi="Calibri" w:cs="Calibri"/>
                <w:color w:val="000000"/>
                <w:sz w:val="20"/>
                <w:szCs w:val="20"/>
                <w:lang w:eastAsia="en-GB"/>
              </w:rPr>
              <w:t>50%/25%</w:t>
            </w:r>
          </w:p>
        </w:tc>
      </w:tr>
      <w:tr w:rsidR="00F24531" w:rsidRPr="00B14524" w14:paraId="0D75E060" w14:textId="77777777" w:rsidTr="004653FC">
        <w:trPr>
          <w:trHeight w:val="340"/>
        </w:trPr>
        <w:tc>
          <w:tcPr>
            <w:tcW w:w="1300" w:type="dxa"/>
            <w:vMerge/>
            <w:tcBorders>
              <w:top w:val="nil"/>
              <w:left w:val="single" w:sz="8" w:space="0" w:color="FFFFFF"/>
              <w:bottom w:val="nil"/>
              <w:right w:val="single" w:sz="8" w:space="0" w:color="FFFFFF"/>
            </w:tcBorders>
            <w:vAlign w:val="center"/>
            <w:hideMark/>
          </w:tcPr>
          <w:p w14:paraId="2B591858" w14:textId="77777777" w:rsidR="00F24531" w:rsidRPr="00FF6F7D" w:rsidRDefault="00F24531" w:rsidP="004653FC">
            <w:pPr>
              <w:spacing w:after="0" w:line="240" w:lineRule="auto"/>
              <w:rPr>
                <w:rFonts w:ascii="Arial" w:eastAsia="Times New Roman" w:hAnsi="Arial" w:cs="Arial"/>
                <w:b/>
                <w:bCs/>
                <w:color w:val="FFFFFF"/>
                <w:sz w:val="20"/>
                <w:szCs w:val="20"/>
                <w:lang w:eastAsia="en-GB"/>
              </w:rPr>
            </w:pPr>
          </w:p>
        </w:tc>
        <w:tc>
          <w:tcPr>
            <w:tcW w:w="958" w:type="dxa"/>
            <w:tcBorders>
              <w:top w:val="nil"/>
              <w:left w:val="nil"/>
              <w:bottom w:val="single" w:sz="8" w:space="0" w:color="FFFFFF"/>
              <w:right w:val="single" w:sz="8" w:space="0" w:color="FFFFFF"/>
            </w:tcBorders>
            <w:shd w:val="clear" w:color="000000" w:fill="E2F0D9"/>
            <w:vAlign w:val="center"/>
            <w:hideMark/>
          </w:tcPr>
          <w:p w14:paraId="1407B479" w14:textId="77777777" w:rsidR="00F24531" w:rsidRPr="00B14524" w:rsidRDefault="00F24531" w:rsidP="004653FC">
            <w:pPr>
              <w:spacing w:after="0" w:line="240" w:lineRule="auto"/>
              <w:jc w:val="center"/>
              <w:rPr>
                <w:rFonts w:ascii="Calibri" w:eastAsia="Times New Roman" w:hAnsi="Calibri" w:cs="Calibri"/>
                <w:b/>
                <w:bCs/>
                <w:color w:val="097D31"/>
                <w:sz w:val="24"/>
                <w:szCs w:val="24"/>
                <w:lang w:eastAsia="en-GB"/>
              </w:rPr>
            </w:pPr>
            <w:r w:rsidRPr="00B14524">
              <w:rPr>
                <w:rFonts w:ascii="Calibri" w:eastAsia="Times New Roman" w:hAnsi="Calibri" w:cs="Calibri"/>
                <w:b/>
                <w:bCs/>
                <w:color w:val="097D31"/>
                <w:sz w:val="24"/>
                <w:szCs w:val="24"/>
                <w:lang w:val="en-GB" w:eastAsia="en-GB"/>
              </w:rPr>
              <w:t>1.3</w:t>
            </w:r>
          </w:p>
        </w:tc>
        <w:tc>
          <w:tcPr>
            <w:tcW w:w="3686" w:type="dxa"/>
            <w:tcBorders>
              <w:top w:val="nil"/>
              <w:left w:val="nil"/>
              <w:bottom w:val="single" w:sz="8" w:space="0" w:color="FFFFFF"/>
              <w:right w:val="single" w:sz="8" w:space="0" w:color="FFFFFF"/>
            </w:tcBorders>
            <w:shd w:val="clear" w:color="000000" w:fill="E2F0D9"/>
            <w:vAlign w:val="center"/>
            <w:hideMark/>
          </w:tcPr>
          <w:p w14:paraId="06A34AE5" w14:textId="77777777" w:rsidR="00F24531" w:rsidRPr="00B14524" w:rsidRDefault="00F24531" w:rsidP="004653FC">
            <w:pPr>
              <w:spacing w:after="0" w:line="240" w:lineRule="auto"/>
              <w:rPr>
                <w:rFonts w:ascii="Calibri" w:eastAsia="Times New Roman" w:hAnsi="Calibri" w:cs="Calibri"/>
                <w:color w:val="000000"/>
                <w:sz w:val="20"/>
                <w:szCs w:val="20"/>
                <w:lang w:eastAsia="en-GB"/>
              </w:rPr>
            </w:pPr>
            <w:r w:rsidRPr="00B14524">
              <w:rPr>
                <w:rFonts w:ascii="Calibri" w:eastAsia="Times New Roman" w:hAnsi="Calibri" w:cs="Calibri"/>
                <w:color w:val="000000"/>
                <w:sz w:val="20"/>
                <w:szCs w:val="20"/>
                <w:lang w:val="en-GB" w:eastAsia="en-GB"/>
              </w:rPr>
              <w:t>Reduce food waste in manufacturing</w:t>
            </w:r>
          </w:p>
        </w:tc>
        <w:tc>
          <w:tcPr>
            <w:tcW w:w="850" w:type="dxa"/>
            <w:tcBorders>
              <w:top w:val="nil"/>
              <w:left w:val="nil"/>
              <w:bottom w:val="single" w:sz="8" w:space="0" w:color="FFFFFF"/>
              <w:right w:val="single" w:sz="8" w:space="0" w:color="FFFFFF"/>
            </w:tcBorders>
            <w:shd w:val="clear" w:color="000000" w:fill="E2F0D9"/>
            <w:vAlign w:val="center"/>
            <w:hideMark/>
          </w:tcPr>
          <w:p w14:paraId="417CEADD" w14:textId="77777777" w:rsidR="00F24531" w:rsidRPr="00B14524" w:rsidRDefault="00F24531" w:rsidP="004653FC">
            <w:pPr>
              <w:spacing w:after="0" w:line="240" w:lineRule="auto"/>
              <w:jc w:val="center"/>
              <w:rPr>
                <w:rFonts w:ascii="Calibri" w:eastAsia="Times New Roman" w:hAnsi="Calibri" w:cs="Calibri"/>
                <w:color w:val="000000"/>
                <w:sz w:val="20"/>
                <w:szCs w:val="20"/>
                <w:lang w:eastAsia="en-GB"/>
              </w:rPr>
            </w:pPr>
            <w:r w:rsidRPr="00B14524">
              <w:rPr>
                <w:rFonts w:ascii="Calibri" w:eastAsia="Times New Roman" w:hAnsi="Calibri" w:cs="Calibri"/>
                <w:color w:val="000000"/>
                <w:sz w:val="20"/>
                <w:szCs w:val="20"/>
                <w:lang w:eastAsia="en-GB"/>
              </w:rPr>
              <w:t> </w:t>
            </w:r>
          </w:p>
        </w:tc>
        <w:tc>
          <w:tcPr>
            <w:tcW w:w="1276" w:type="dxa"/>
            <w:tcBorders>
              <w:top w:val="nil"/>
              <w:left w:val="nil"/>
              <w:bottom w:val="single" w:sz="8" w:space="0" w:color="FFFFFF"/>
              <w:right w:val="single" w:sz="8" w:space="0" w:color="FFFFFF"/>
            </w:tcBorders>
            <w:shd w:val="clear" w:color="000000" w:fill="E2F0D9"/>
            <w:vAlign w:val="center"/>
            <w:hideMark/>
          </w:tcPr>
          <w:p w14:paraId="704AF88C" w14:textId="77777777" w:rsidR="00F24531" w:rsidRPr="00B14524" w:rsidRDefault="00F24531" w:rsidP="004653FC">
            <w:pPr>
              <w:spacing w:after="0" w:line="240" w:lineRule="auto"/>
              <w:jc w:val="center"/>
              <w:rPr>
                <w:rFonts w:ascii="Calibri" w:eastAsia="Times New Roman" w:hAnsi="Calibri" w:cs="Calibri"/>
                <w:color w:val="000000"/>
                <w:sz w:val="20"/>
                <w:szCs w:val="20"/>
                <w:lang w:eastAsia="en-GB"/>
              </w:rPr>
            </w:pPr>
            <w:r w:rsidRPr="00B14524">
              <w:rPr>
                <w:rFonts w:ascii="Calibri" w:eastAsia="Times New Roman" w:hAnsi="Calibri" w:cs="Calibri"/>
                <w:color w:val="000000"/>
                <w:sz w:val="20"/>
                <w:szCs w:val="20"/>
                <w:lang w:eastAsia="en-GB"/>
              </w:rPr>
              <w:t> </w:t>
            </w:r>
          </w:p>
        </w:tc>
        <w:tc>
          <w:tcPr>
            <w:tcW w:w="1276" w:type="dxa"/>
            <w:tcBorders>
              <w:top w:val="nil"/>
              <w:left w:val="nil"/>
              <w:bottom w:val="single" w:sz="8" w:space="0" w:color="FFFFFF"/>
              <w:right w:val="single" w:sz="8" w:space="0" w:color="FFFFFF"/>
            </w:tcBorders>
            <w:shd w:val="clear" w:color="000000" w:fill="E2F0D9"/>
            <w:vAlign w:val="center"/>
            <w:hideMark/>
          </w:tcPr>
          <w:p w14:paraId="072E1204" w14:textId="77777777" w:rsidR="00F24531" w:rsidRPr="00B14524" w:rsidRDefault="00F24531" w:rsidP="004653FC">
            <w:pPr>
              <w:spacing w:after="0" w:line="240" w:lineRule="auto"/>
              <w:jc w:val="center"/>
              <w:rPr>
                <w:rFonts w:ascii="Calibri" w:eastAsia="Times New Roman" w:hAnsi="Calibri" w:cs="Calibri"/>
                <w:color w:val="000000"/>
                <w:sz w:val="20"/>
                <w:szCs w:val="20"/>
                <w:lang w:eastAsia="en-GB"/>
              </w:rPr>
            </w:pPr>
            <w:r w:rsidRPr="00B14524">
              <w:rPr>
                <w:rFonts w:ascii="Calibri" w:eastAsia="Times New Roman" w:hAnsi="Calibri" w:cs="Calibri"/>
                <w:color w:val="000000"/>
                <w:sz w:val="20"/>
                <w:szCs w:val="20"/>
                <w:lang w:eastAsia="en-GB"/>
              </w:rPr>
              <w:t> </w:t>
            </w:r>
          </w:p>
        </w:tc>
      </w:tr>
      <w:tr w:rsidR="00F24531" w:rsidRPr="00B14524" w14:paraId="5F49148E" w14:textId="77777777" w:rsidTr="004653FC">
        <w:trPr>
          <w:trHeight w:val="340"/>
        </w:trPr>
        <w:tc>
          <w:tcPr>
            <w:tcW w:w="1300" w:type="dxa"/>
            <w:vMerge/>
            <w:tcBorders>
              <w:top w:val="nil"/>
              <w:left w:val="single" w:sz="8" w:space="0" w:color="FFFFFF"/>
              <w:bottom w:val="nil"/>
              <w:right w:val="single" w:sz="8" w:space="0" w:color="FFFFFF"/>
            </w:tcBorders>
            <w:vAlign w:val="center"/>
            <w:hideMark/>
          </w:tcPr>
          <w:p w14:paraId="7E2D69D6" w14:textId="77777777" w:rsidR="00F24531" w:rsidRPr="00FF6F7D" w:rsidRDefault="00F24531" w:rsidP="004653FC">
            <w:pPr>
              <w:spacing w:after="0" w:line="240" w:lineRule="auto"/>
              <w:rPr>
                <w:rFonts w:ascii="Arial" w:eastAsia="Times New Roman" w:hAnsi="Arial" w:cs="Arial"/>
                <w:b/>
                <w:bCs/>
                <w:color w:val="FFFFFF"/>
                <w:sz w:val="20"/>
                <w:szCs w:val="20"/>
                <w:lang w:eastAsia="en-GB"/>
              </w:rPr>
            </w:pPr>
          </w:p>
        </w:tc>
        <w:tc>
          <w:tcPr>
            <w:tcW w:w="958" w:type="dxa"/>
            <w:tcBorders>
              <w:top w:val="nil"/>
              <w:left w:val="nil"/>
              <w:bottom w:val="single" w:sz="8" w:space="0" w:color="FFFFFF"/>
              <w:right w:val="single" w:sz="8" w:space="0" w:color="FFFFFF"/>
            </w:tcBorders>
            <w:shd w:val="clear" w:color="000000" w:fill="C5E0B4"/>
            <w:vAlign w:val="center"/>
            <w:hideMark/>
          </w:tcPr>
          <w:p w14:paraId="2F4221F7" w14:textId="77777777" w:rsidR="00F24531" w:rsidRPr="00B14524" w:rsidRDefault="00F24531" w:rsidP="004653FC">
            <w:pPr>
              <w:spacing w:after="0" w:line="240" w:lineRule="auto"/>
              <w:jc w:val="center"/>
              <w:rPr>
                <w:rFonts w:ascii="Calibri" w:eastAsia="Times New Roman" w:hAnsi="Calibri" w:cs="Calibri"/>
                <w:b/>
                <w:bCs/>
                <w:color w:val="097D31"/>
                <w:sz w:val="24"/>
                <w:szCs w:val="24"/>
                <w:lang w:eastAsia="en-GB"/>
              </w:rPr>
            </w:pPr>
            <w:r w:rsidRPr="00B14524">
              <w:rPr>
                <w:rFonts w:ascii="Calibri" w:eastAsia="Times New Roman" w:hAnsi="Calibri" w:cs="Calibri"/>
                <w:b/>
                <w:bCs/>
                <w:color w:val="097D31"/>
                <w:sz w:val="24"/>
                <w:szCs w:val="24"/>
                <w:lang w:val="en-GB" w:eastAsia="en-GB"/>
              </w:rPr>
              <w:t>1.4</w:t>
            </w:r>
          </w:p>
        </w:tc>
        <w:tc>
          <w:tcPr>
            <w:tcW w:w="3686" w:type="dxa"/>
            <w:tcBorders>
              <w:top w:val="nil"/>
              <w:left w:val="nil"/>
              <w:bottom w:val="single" w:sz="8" w:space="0" w:color="FFFFFF"/>
              <w:right w:val="single" w:sz="8" w:space="0" w:color="FFFFFF"/>
            </w:tcBorders>
            <w:shd w:val="clear" w:color="000000" w:fill="C5E0B4"/>
            <w:vAlign w:val="center"/>
            <w:hideMark/>
          </w:tcPr>
          <w:p w14:paraId="171DD7E0" w14:textId="77777777" w:rsidR="00F24531" w:rsidRPr="00B14524" w:rsidRDefault="00F24531" w:rsidP="004653FC">
            <w:pPr>
              <w:spacing w:after="0" w:line="240" w:lineRule="auto"/>
              <w:rPr>
                <w:rFonts w:ascii="Calibri" w:eastAsia="Times New Roman" w:hAnsi="Calibri" w:cs="Calibri"/>
                <w:color w:val="000000"/>
                <w:sz w:val="20"/>
                <w:szCs w:val="20"/>
                <w:lang w:eastAsia="en-GB"/>
              </w:rPr>
            </w:pPr>
            <w:r w:rsidRPr="00B14524">
              <w:rPr>
                <w:rFonts w:ascii="Calibri" w:eastAsia="Times New Roman" w:hAnsi="Calibri" w:cs="Calibri"/>
                <w:color w:val="000000"/>
                <w:sz w:val="20"/>
                <w:szCs w:val="20"/>
                <w:lang w:eastAsia="en-GB"/>
              </w:rPr>
              <w:t>Reduce 'per' household food waste</w:t>
            </w:r>
          </w:p>
        </w:tc>
        <w:tc>
          <w:tcPr>
            <w:tcW w:w="850" w:type="dxa"/>
            <w:tcBorders>
              <w:top w:val="nil"/>
              <w:left w:val="nil"/>
              <w:bottom w:val="single" w:sz="8" w:space="0" w:color="FFFFFF"/>
              <w:right w:val="single" w:sz="8" w:space="0" w:color="FFFFFF"/>
            </w:tcBorders>
            <w:shd w:val="clear" w:color="000000" w:fill="C5E0B4"/>
            <w:vAlign w:val="center"/>
            <w:hideMark/>
          </w:tcPr>
          <w:p w14:paraId="6EEF695D" w14:textId="77777777" w:rsidR="00F24531" w:rsidRPr="00B14524" w:rsidRDefault="00F24531" w:rsidP="004653FC">
            <w:pPr>
              <w:spacing w:after="0" w:line="240" w:lineRule="auto"/>
              <w:jc w:val="center"/>
              <w:rPr>
                <w:rFonts w:ascii="Calibri" w:eastAsia="Times New Roman" w:hAnsi="Calibri" w:cs="Calibri"/>
                <w:color w:val="000000"/>
                <w:sz w:val="20"/>
                <w:szCs w:val="20"/>
                <w:lang w:eastAsia="en-GB"/>
              </w:rPr>
            </w:pPr>
            <w:r w:rsidRPr="00B14524">
              <w:rPr>
                <w:rFonts w:ascii="Calibri" w:eastAsia="Times New Roman" w:hAnsi="Calibri" w:cs="Calibri"/>
                <w:color w:val="000000"/>
                <w:sz w:val="20"/>
                <w:szCs w:val="20"/>
                <w:lang w:eastAsia="en-GB"/>
              </w:rPr>
              <w:t> </w:t>
            </w:r>
          </w:p>
        </w:tc>
        <w:tc>
          <w:tcPr>
            <w:tcW w:w="1276" w:type="dxa"/>
            <w:tcBorders>
              <w:top w:val="nil"/>
              <w:left w:val="nil"/>
              <w:bottom w:val="single" w:sz="8" w:space="0" w:color="FFFFFF"/>
              <w:right w:val="single" w:sz="8" w:space="0" w:color="FFFFFF"/>
            </w:tcBorders>
            <w:shd w:val="clear" w:color="000000" w:fill="C5E0B4"/>
            <w:vAlign w:val="center"/>
            <w:hideMark/>
          </w:tcPr>
          <w:p w14:paraId="71AA0F71" w14:textId="77777777" w:rsidR="00F24531" w:rsidRPr="00B14524" w:rsidRDefault="00F24531" w:rsidP="004653FC">
            <w:pPr>
              <w:spacing w:after="0" w:line="240" w:lineRule="auto"/>
              <w:jc w:val="center"/>
              <w:rPr>
                <w:rFonts w:ascii="Calibri" w:eastAsia="Times New Roman" w:hAnsi="Calibri" w:cs="Calibri"/>
                <w:color w:val="000000"/>
                <w:sz w:val="20"/>
                <w:szCs w:val="20"/>
                <w:lang w:eastAsia="en-GB"/>
              </w:rPr>
            </w:pPr>
            <w:r w:rsidRPr="00B14524">
              <w:rPr>
                <w:rFonts w:ascii="Calibri" w:eastAsia="Times New Roman" w:hAnsi="Calibri" w:cs="Calibri"/>
                <w:color w:val="000000"/>
                <w:sz w:val="20"/>
                <w:szCs w:val="20"/>
                <w:lang w:eastAsia="en-GB"/>
              </w:rPr>
              <w:t>5%/10%</w:t>
            </w:r>
          </w:p>
        </w:tc>
        <w:tc>
          <w:tcPr>
            <w:tcW w:w="1276" w:type="dxa"/>
            <w:tcBorders>
              <w:top w:val="nil"/>
              <w:left w:val="nil"/>
              <w:bottom w:val="single" w:sz="8" w:space="0" w:color="FFFFFF"/>
              <w:right w:val="single" w:sz="8" w:space="0" w:color="FFFFFF"/>
            </w:tcBorders>
            <w:shd w:val="clear" w:color="000000" w:fill="C5E0B4"/>
            <w:vAlign w:val="center"/>
            <w:hideMark/>
          </w:tcPr>
          <w:p w14:paraId="241F493B" w14:textId="77777777" w:rsidR="00F24531" w:rsidRPr="00B14524" w:rsidRDefault="00F24531" w:rsidP="004653FC">
            <w:pPr>
              <w:spacing w:after="0" w:line="240" w:lineRule="auto"/>
              <w:jc w:val="center"/>
              <w:rPr>
                <w:rFonts w:ascii="Calibri" w:eastAsia="Times New Roman" w:hAnsi="Calibri" w:cs="Calibri"/>
                <w:color w:val="000000"/>
                <w:sz w:val="20"/>
                <w:szCs w:val="20"/>
                <w:lang w:eastAsia="en-GB"/>
              </w:rPr>
            </w:pPr>
            <w:r w:rsidRPr="00B14524">
              <w:rPr>
                <w:rFonts w:ascii="Calibri" w:eastAsia="Times New Roman" w:hAnsi="Calibri" w:cs="Calibri"/>
                <w:color w:val="000000"/>
                <w:sz w:val="20"/>
                <w:szCs w:val="20"/>
                <w:lang w:eastAsia="en-GB"/>
              </w:rPr>
              <w:t>35%</w:t>
            </w:r>
          </w:p>
        </w:tc>
      </w:tr>
      <w:tr w:rsidR="00F24531" w:rsidRPr="00B14524" w14:paraId="2A2343C1" w14:textId="77777777" w:rsidTr="004653FC">
        <w:trPr>
          <w:trHeight w:val="620"/>
        </w:trPr>
        <w:tc>
          <w:tcPr>
            <w:tcW w:w="1300" w:type="dxa"/>
            <w:vMerge/>
            <w:tcBorders>
              <w:top w:val="nil"/>
              <w:left w:val="single" w:sz="8" w:space="0" w:color="FFFFFF"/>
              <w:bottom w:val="nil"/>
              <w:right w:val="single" w:sz="8" w:space="0" w:color="FFFFFF"/>
            </w:tcBorders>
            <w:vAlign w:val="center"/>
            <w:hideMark/>
          </w:tcPr>
          <w:p w14:paraId="11A6674D" w14:textId="77777777" w:rsidR="00F24531" w:rsidRPr="00FF6F7D" w:rsidRDefault="00F24531" w:rsidP="004653FC">
            <w:pPr>
              <w:spacing w:after="0" w:line="240" w:lineRule="auto"/>
              <w:rPr>
                <w:rFonts w:ascii="Arial" w:eastAsia="Times New Roman" w:hAnsi="Arial" w:cs="Arial"/>
                <w:b/>
                <w:bCs/>
                <w:color w:val="FFFFFF"/>
                <w:sz w:val="20"/>
                <w:szCs w:val="20"/>
                <w:lang w:eastAsia="en-GB"/>
              </w:rPr>
            </w:pPr>
          </w:p>
        </w:tc>
        <w:tc>
          <w:tcPr>
            <w:tcW w:w="958" w:type="dxa"/>
            <w:tcBorders>
              <w:top w:val="nil"/>
              <w:left w:val="nil"/>
              <w:bottom w:val="single" w:sz="8" w:space="0" w:color="FFFFFF"/>
              <w:right w:val="single" w:sz="8" w:space="0" w:color="FFFFFF"/>
            </w:tcBorders>
            <w:shd w:val="clear" w:color="000000" w:fill="E2F1DA"/>
            <w:vAlign w:val="center"/>
            <w:hideMark/>
          </w:tcPr>
          <w:p w14:paraId="37D5B50A" w14:textId="77777777" w:rsidR="00F24531" w:rsidRPr="00B14524" w:rsidRDefault="00F24531" w:rsidP="004653FC">
            <w:pPr>
              <w:spacing w:after="0" w:line="240" w:lineRule="auto"/>
              <w:jc w:val="center"/>
              <w:rPr>
                <w:rFonts w:ascii="Calibri" w:eastAsia="Times New Roman" w:hAnsi="Calibri" w:cs="Calibri"/>
                <w:b/>
                <w:bCs/>
                <w:color w:val="097D31"/>
                <w:sz w:val="24"/>
                <w:szCs w:val="24"/>
                <w:lang w:eastAsia="en-GB"/>
              </w:rPr>
            </w:pPr>
            <w:r w:rsidRPr="00B14524">
              <w:rPr>
                <w:rFonts w:ascii="Calibri" w:eastAsia="Times New Roman" w:hAnsi="Calibri" w:cs="Calibri"/>
                <w:b/>
                <w:bCs/>
                <w:color w:val="097D31"/>
                <w:sz w:val="24"/>
                <w:szCs w:val="24"/>
                <w:lang w:eastAsia="en-GB"/>
              </w:rPr>
              <w:t>1.5</w:t>
            </w:r>
          </w:p>
        </w:tc>
        <w:tc>
          <w:tcPr>
            <w:tcW w:w="3686" w:type="dxa"/>
            <w:tcBorders>
              <w:top w:val="nil"/>
              <w:left w:val="nil"/>
              <w:bottom w:val="single" w:sz="8" w:space="0" w:color="FFFFFF"/>
              <w:right w:val="single" w:sz="8" w:space="0" w:color="FFFFFF"/>
            </w:tcBorders>
            <w:shd w:val="clear" w:color="000000" w:fill="E2F1DA"/>
            <w:vAlign w:val="center"/>
            <w:hideMark/>
          </w:tcPr>
          <w:p w14:paraId="1C8EFFBA" w14:textId="77777777" w:rsidR="00F24531" w:rsidRPr="00B14524" w:rsidRDefault="00F24531" w:rsidP="004653FC">
            <w:pPr>
              <w:spacing w:after="0" w:line="240" w:lineRule="auto"/>
              <w:rPr>
                <w:rFonts w:ascii="Calibri" w:eastAsia="Times New Roman" w:hAnsi="Calibri" w:cs="Calibri"/>
                <w:color w:val="000000"/>
                <w:sz w:val="20"/>
                <w:szCs w:val="20"/>
                <w:lang w:eastAsia="en-GB"/>
              </w:rPr>
            </w:pPr>
            <w:r w:rsidRPr="00B14524">
              <w:rPr>
                <w:rFonts w:ascii="Calibri" w:eastAsia="Times New Roman" w:hAnsi="Calibri" w:cs="Calibri"/>
                <w:color w:val="000000"/>
                <w:sz w:val="20"/>
                <w:szCs w:val="20"/>
                <w:lang w:eastAsia="en-GB"/>
              </w:rPr>
              <w:t>All States and Territory's implement consumer education plans</w:t>
            </w:r>
          </w:p>
        </w:tc>
        <w:tc>
          <w:tcPr>
            <w:tcW w:w="850" w:type="dxa"/>
            <w:tcBorders>
              <w:top w:val="nil"/>
              <w:left w:val="nil"/>
              <w:bottom w:val="single" w:sz="8" w:space="0" w:color="FFFFFF"/>
              <w:right w:val="single" w:sz="8" w:space="0" w:color="FFFFFF"/>
            </w:tcBorders>
            <w:shd w:val="clear" w:color="000000" w:fill="E2F1DA"/>
            <w:vAlign w:val="center"/>
            <w:hideMark/>
          </w:tcPr>
          <w:p w14:paraId="34F533CD" w14:textId="77777777" w:rsidR="00F24531" w:rsidRPr="00B14524" w:rsidRDefault="00F24531" w:rsidP="004653FC">
            <w:pPr>
              <w:spacing w:after="0" w:line="240" w:lineRule="auto"/>
              <w:jc w:val="center"/>
              <w:rPr>
                <w:rFonts w:ascii="Calibri" w:eastAsia="Times New Roman" w:hAnsi="Calibri" w:cs="Calibri"/>
                <w:color w:val="000000"/>
                <w:sz w:val="20"/>
                <w:szCs w:val="20"/>
                <w:lang w:eastAsia="en-GB"/>
              </w:rPr>
            </w:pPr>
            <w:r w:rsidRPr="00B14524">
              <w:rPr>
                <w:rFonts w:ascii="Calibri" w:eastAsia="Times New Roman" w:hAnsi="Calibri" w:cs="Calibri"/>
                <w:color w:val="000000"/>
                <w:sz w:val="20"/>
                <w:szCs w:val="20"/>
                <w:lang w:eastAsia="en-GB"/>
              </w:rPr>
              <w:t> </w:t>
            </w:r>
          </w:p>
        </w:tc>
        <w:tc>
          <w:tcPr>
            <w:tcW w:w="1276" w:type="dxa"/>
            <w:tcBorders>
              <w:top w:val="nil"/>
              <w:left w:val="nil"/>
              <w:bottom w:val="single" w:sz="8" w:space="0" w:color="FFFFFF"/>
              <w:right w:val="single" w:sz="8" w:space="0" w:color="FFFFFF"/>
            </w:tcBorders>
            <w:shd w:val="clear" w:color="000000" w:fill="E2F1DA"/>
            <w:vAlign w:val="center"/>
            <w:hideMark/>
          </w:tcPr>
          <w:p w14:paraId="3DD0FFE9" w14:textId="77777777" w:rsidR="00F24531" w:rsidRPr="00B14524" w:rsidRDefault="00F24531" w:rsidP="004653FC">
            <w:pPr>
              <w:spacing w:after="0" w:line="240" w:lineRule="auto"/>
              <w:jc w:val="center"/>
              <w:rPr>
                <w:rFonts w:ascii="Calibri" w:eastAsia="Times New Roman" w:hAnsi="Calibri" w:cs="Calibri"/>
                <w:color w:val="000000"/>
                <w:sz w:val="20"/>
                <w:szCs w:val="20"/>
                <w:lang w:eastAsia="en-GB"/>
              </w:rPr>
            </w:pPr>
            <w:r w:rsidRPr="00B14524">
              <w:rPr>
                <w:rFonts w:ascii="Calibri" w:eastAsia="Times New Roman" w:hAnsi="Calibri" w:cs="Calibri"/>
                <w:color w:val="000000"/>
                <w:sz w:val="20"/>
                <w:szCs w:val="20"/>
                <w:lang w:eastAsia="en-GB"/>
              </w:rPr>
              <w:t> </w:t>
            </w:r>
          </w:p>
        </w:tc>
        <w:tc>
          <w:tcPr>
            <w:tcW w:w="1276" w:type="dxa"/>
            <w:tcBorders>
              <w:top w:val="nil"/>
              <w:left w:val="nil"/>
              <w:bottom w:val="single" w:sz="8" w:space="0" w:color="FFFFFF"/>
              <w:right w:val="single" w:sz="8" w:space="0" w:color="FFFFFF"/>
            </w:tcBorders>
            <w:shd w:val="clear" w:color="000000" w:fill="E2F1DA"/>
            <w:vAlign w:val="center"/>
            <w:hideMark/>
          </w:tcPr>
          <w:p w14:paraId="15F66F94" w14:textId="77777777" w:rsidR="00F24531" w:rsidRPr="00B14524" w:rsidRDefault="00F24531" w:rsidP="004653FC">
            <w:pPr>
              <w:spacing w:after="0" w:line="240" w:lineRule="auto"/>
              <w:jc w:val="center"/>
              <w:rPr>
                <w:rFonts w:ascii="Calibri" w:eastAsia="Times New Roman" w:hAnsi="Calibri" w:cs="Calibri"/>
                <w:color w:val="000000"/>
                <w:sz w:val="20"/>
                <w:szCs w:val="20"/>
                <w:lang w:eastAsia="en-GB"/>
              </w:rPr>
            </w:pPr>
            <w:r w:rsidRPr="00B14524">
              <w:rPr>
                <w:rFonts w:ascii="Calibri" w:eastAsia="Times New Roman" w:hAnsi="Calibri" w:cs="Calibri"/>
                <w:color w:val="000000"/>
                <w:sz w:val="20"/>
                <w:szCs w:val="20"/>
                <w:lang w:eastAsia="en-GB"/>
              </w:rPr>
              <w:t> </w:t>
            </w:r>
          </w:p>
        </w:tc>
      </w:tr>
      <w:tr w:rsidR="00F24531" w:rsidRPr="00B14524" w14:paraId="6A9F6B92" w14:textId="77777777" w:rsidTr="004653FC">
        <w:trPr>
          <w:trHeight w:val="620"/>
        </w:trPr>
        <w:tc>
          <w:tcPr>
            <w:tcW w:w="1300" w:type="dxa"/>
            <w:vMerge/>
            <w:tcBorders>
              <w:top w:val="nil"/>
              <w:left w:val="single" w:sz="8" w:space="0" w:color="FFFFFF"/>
              <w:bottom w:val="nil"/>
              <w:right w:val="single" w:sz="8" w:space="0" w:color="FFFFFF"/>
            </w:tcBorders>
            <w:vAlign w:val="center"/>
            <w:hideMark/>
          </w:tcPr>
          <w:p w14:paraId="25EB056D" w14:textId="77777777" w:rsidR="00F24531" w:rsidRPr="00FF6F7D" w:rsidRDefault="00F24531" w:rsidP="004653FC">
            <w:pPr>
              <w:spacing w:after="0" w:line="240" w:lineRule="auto"/>
              <w:rPr>
                <w:rFonts w:ascii="Arial" w:eastAsia="Times New Roman" w:hAnsi="Arial" w:cs="Arial"/>
                <w:b/>
                <w:bCs/>
                <w:color w:val="FFFFFF"/>
                <w:sz w:val="20"/>
                <w:szCs w:val="20"/>
                <w:lang w:eastAsia="en-GB"/>
              </w:rPr>
            </w:pPr>
          </w:p>
        </w:tc>
        <w:tc>
          <w:tcPr>
            <w:tcW w:w="958" w:type="dxa"/>
            <w:tcBorders>
              <w:top w:val="nil"/>
              <w:left w:val="nil"/>
              <w:bottom w:val="single" w:sz="8" w:space="0" w:color="FFFFFF"/>
              <w:right w:val="single" w:sz="8" w:space="0" w:color="FFFFFF"/>
            </w:tcBorders>
            <w:shd w:val="clear" w:color="000000" w:fill="C5E0B4"/>
            <w:vAlign w:val="center"/>
            <w:hideMark/>
          </w:tcPr>
          <w:p w14:paraId="443BF6EC" w14:textId="77777777" w:rsidR="00F24531" w:rsidRPr="00B14524" w:rsidRDefault="00F24531" w:rsidP="004653FC">
            <w:pPr>
              <w:spacing w:after="0" w:line="240" w:lineRule="auto"/>
              <w:jc w:val="center"/>
              <w:rPr>
                <w:rFonts w:ascii="Calibri" w:eastAsia="Times New Roman" w:hAnsi="Calibri" w:cs="Calibri"/>
                <w:b/>
                <w:bCs/>
                <w:color w:val="097D31"/>
                <w:sz w:val="24"/>
                <w:szCs w:val="24"/>
                <w:lang w:eastAsia="en-GB"/>
              </w:rPr>
            </w:pPr>
            <w:r w:rsidRPr="00B14524">
              <w:rPr>
                <w:rFonts w:ascii="Calibri" w:eastAsia="Times New Roman" w:hAnsi="Calibri" w:cs="Calibri"/>
                <w:b/>
                <w:bCs/>
                <w:color w:val="097D31"/>
                <w:sz w:val="24"/>
                <w:szCs w:val="24"/>
                <w:lang w:eastAsia="en-GB"/>
              </w:rPr>
              <w:t>1.6</w:t>
            </w:r>
          </w:p>
        </w:tc>
        <w:tc>
          <w:tcPr>
            <w:tcW w:w="3686" w:type="dxa"/>
            <w:tcBorders>
              <w:top w:val="nil"/>
              <w:left w:val="nil"/>
              <w:bottom w:val="single" w:sz="8" w:space="0" w:color="FFFFFF"/>
              <w:right w:val="single" w:sz="8" w:space="0" w:color="FFFFFF"/>
            </w:tcBorders>
            <w:shd w:val="clear" w:color="000000" w:fill="C5E0B4"/>
            <w:vAlign w:val="center"/>
            <w:hideMark/>
          </w:tcPr>
          <w:p w14:paraId="4B7C8AC9" w14:textId="77777777" w:rsidR="00F24531" w:rsidRPr="00B14524" w:rsidRDefault="00F24531" w:rsidP="004653FC">
            <w:pPr>
              <w:spacing w:after="0" w:line="240" w:lineRule="auto"/>
              <w:rPr>
                <w:rFonts w:ascii="Calibri" w:eastAsia="Times New Roman" w:hAnsi="Calibri" w:cs="Calibri"/>
                <w:color w:val="000000"/>
                <w:sz w:val="20"/>
                <w:szCs w:val="20"/>
                <w:lang w:eastAsia="en-GB"/>
              </w:rPr>
            </w:pPr>
            <w:r w:rsidRPr="00B14524">
              <w:rPr>
                <w:rFonts w:ascii="Calibri" w:eastAsia="Times New Roman" w:hAnsi="Calibri" w:cs="Calibri"/>
                <w:color w:val="000000"/>
                <w:sz w:val="20"/>
                <w:szCs w:val="20"/>
                <w:lang w:eastAsia="en-GB"/>
              </w:rPr>
              <w:t>Revise agricultural standards/processing standards</w:t>
            </w:r>
          </w:p>
        </w:tc>
        <w:tc>
          <w:tcPr>
            <w:tcW w:w="850" w:type="dxa"/>
            <w:tcBorders>
              <w:top w:val="nil"/>
              <w:left w:val="nil"/>
              <w:bottom w:val="single" w:sz="8" w:space="0" w:color="FFFFFF"/>
              <w:right w:val="single" w:sz="8" w:space="0" w:color="FFFFFF"/>
            </w:tcBorders>
            <w:shd w:val="clear" w:color="000000" w:fill="C5E0B4"/>
            <w:vAlign w:val="center"/>
            <w:hideMark/>
          </w:tcPr>
          <w:p w14:paraId="03E50CB3" w14:textId="77777777" w:rsidR="00F24531" w:rsidRPr="00B14524" w:rsidRDefault="00F24531" w:rsidP="004653FC">
            <w:pPr>
              <w:spacing w:after="0" w:line="240" w:lineRule="auto"/>
              <w:jc w:val="center"/>
              <w:rPr>
                <w:rFonts w:ascii="Calibri" w:eastAsia="Times New Roman" w:hAnsi="Calibri" w:cs="Calibri"/>
                <w:color w:val="000000"/>
                <w:sz w:val="20"/>
                <w:szCs w:val="20"/>
                <w:lang w:eastAsia="en-GB"/>
              </w:rPr>
            </w:pPr>
            <w:r w:rsidRPr="00B14524">
              <w:rPr>
                <w:rFonts w:ascii="Calibri" w:eastAsia="Times New Roman" w:hAnsi="Calibri" w:cs="Calibri"/>
                <w:color w:val="000000"/>
                <w:sz w:val="20"/>
                <w:szCs w:val="20"/>
                <w:lang w:eastAsia="en-GB"/>
              </w:rPr>
              <w:t> </w:t>
            </w:r>
          </w:p>
        </w:tc>
        <w:tc>
          <w:tcPr>
            <w:tcW w:w="1276" w:type="dxa"/>
            <w:tcBorders>
              <w:top w:val="nil"/>
              <w:left w:val="nil"/>
              <w:bottom w:val="single" w:sz="8" w:space="0" w:color="FFFFFF"/>
              <w:right w:val="single" w:sz="8" w:space="0" w:color="FFFFFF"/>
            </w:tcBorders>
            <w:shd w:val="clear" w:color="000000" w:fill="C5E0B4"/>
            <w:vAlign w:val="center"/>
            <w:hideMark/>
          </w:tcPr>
          <w:p w14:paraId="0524F40A" w14:textId="77777777" w:rsidR="00F24531" w:rsidRPr="00B14524" w:rsidRDefault="00F24531" w:rsidP="004653FC">
            <w:pPr>
              <w:spacing w:after="0" w:line="240" w:lineRule="auto"/>
              <w:jc w:val="center"/>
              <w:rPr>
                <w:rFonts w:ascii="Calibri" w:eastAsia="Times New Roman" w:hAnsi="Calibri" w:cs="Calibri"/>
                <w:color w:val="000000"/>
                <w:sz w:val="20"/>
                <w:szCs w:val="20"/>
                <w:lang w:eastAsia="en-GB"/>
              </w:rPr>
            </w:pPr>
            <w:r w:rsidRPr="00B14524">
              <w:rPr>
                <w:rFonts w:ascii="Calibri" w:eastAsia="Times New Roman" w:hAnsi="Calibri" w:cs="Calibri"/>
                <w:color w:val="000000"/>
                <w:sz w:val="20"/>
                <w:szCs w:val="20"/>
                <w:lang w:eastAsia="en-GB"/>
              </w:rPr>
              <w:t> </w:t>
            </w:r>
          </w:p>
        </w:tc>
        <w:tc>
          <w:tcPr>
            <w:tcW w:w="1276" w:type="dxa"/>
            <w:tcBorders>
              <w:top w:val="nil"/>
              <w:left w:val="nil"/>
              <w:bottom w:val="single" w:sz="8" w:space="0" w:color="FFFFFF"/>
              <w:right w:val="single" w:sz="8" w:space="0" w:color="FFFFFF"/>
            </w:tcBorders>
            <w:shd w:val="clear" w:color="000000" w:fill="C5E0B4"/>
            <w:vAlign w:val="center"/>
            <w:hideMark/>
          </w:tcPr>
          <w:p w14:paraId="75B2E245" w14:textId="77777777" w:rsidR="00F24531" w:rsidRPr="00B14524" w:rsidRDefault="00F24531" w:rsidP="004653FC">
            <w:pPr>
              <w:spacing w:after="0" w:line="240" w:lineRule="auto"/>
              <w:jc w:val="center"/>
              <w:rPr>
                <w:rFonts w:ascii="Calibri" w:eastAsia="Times New Roman" w:hAnsi="Calibri" w:cs="Calibri"/>
                <w:color w:val="000000"/>
                <w:sz w:val="20"/>
                <w:szCs w:val="20"/>
                <w:lang w:eastAsia="en-GB"/>
              </w:rPr>
            </w:pPr>
            <w:r w:rsidRPr="00B14524">
              <w:rPr>
                <w:rFonts w:ascii="Calibri" w:eastAsia="Times New Roman" w:hAnsi="Calibri" w:cs="Calibri"/>
                <w:color w:val="000000"/>
                <w:sz w:val="20"/>
                <w:szCs w:val="20"/>
                <w:lang w:eastAsia="en-GB"/>
              </w:rPr>
              <w:t> </w:t>
            </w:r>
          </w:p>
        </w:tc>
      </w:tr>
      <w:tr w:rsidR="00F24531" w:rsidRPr="00B14524" w14:paraId="27821C17" w14:textId="77777777" w:rsidTr="004653FC">
        <w:trPr>
          <w:trHeight w:val="620"/>
        </w:trPr>
        <w:tc>
          <w:tcPr>
            <w:tcW w:w="1300" w:type="dxa"/>
            <w:vMerge/>
            <w:tcBorders>
              <w:top w:val="nil"/>
              <w:left w:val="single" w:sz="8" w:space="0" w:color="FFFFFF"/>
              <w:bottom w:val="nil"/>
              <w:right w:val="single" w:sz="8" w:space="0" w:color="FFFFFF"/>
            </w:tcBorders>
            <w:vAlign w:val="center"/>
            <w:hideMark/>
          </w:tcPr>
          <w:p w14:paraId="00EEBFA5" w14:textId="77777777" w:rsidR="00F24531" w:rsidRPr="00FF6F7D" w:rsidRDefault="00F24531" w:rsidP="004653FC">
            <w:pPr>
              <w:spacing w:after="0" w:line="240" w:lineRule="auto"/>
              <w:rPr>
                <w:rFonts w:ascii="Arial" w:eastAsia="Times New Roman" w:hAnsi="Arial" w:cs="Arial"/>
                <w:b/>
                <w:bCs/>
                <w:color w:val="FFFFFF"/>
                <w:sz w:val="20"/>
                <w:szCs w:val="20"/>
                <w:lang w:eastAsia="en-GB"/>
              </w:rPr>
            </w:pPr>
          </w:p>
        </w:tc>
        <w:tc>
          <w:tcPr>
            <w:tcW w:w="958" w:type="dxa"/>
            <w:tcBorders>
              <w:top w:val="nil"/>
              <w:left w:val="nil"/>
              <w:bottom w:val="single" w:sz="8" w:space="0" w:color="FFFFFF"/>
              <w:right w:val="single" w:sz="8" w:space="0" w:color="FFFFFF"/>
            </w:tcBorders>
            <w:shd w:val="clear" w:color="000000" w:fill="E2F1DA"/>
            <w:vAlign w:val="center"/>
            <w:hideMark/>
          </w:tcPr>
          <w:p w14:paraId="623ADD3A" w14:textId="77777777" w:rsidR="00F24531" w:rsidRPr="00B14524" w:rsidRDefault="00F24531" w:rsidP="004653FC">
            <w:pPr>
              <w:spacing w:after="0" w:line="240" w:lineRule="auto"/>
              <w:jc w:val="center"/>
              <w:rPr>
                <w:rFonts w:ascii="Calibri" w:eastAsia="Times New Roman" w:hAnsi="Calibri" w:cs="Calibri"/>
                <w:b/>
                <w:bCs/>
                <w:color w:val="097D31"/>
                <w:sz w:val="24"/>
                <w:szCs w:val="24"/>
                <w:lang w:eastAsia="en-GB"/>
              </w:rPr>
            </w:pPr>
            <w:r w:rsidRPr="00B14524">
              <w:rPr>
                <w:rFonts w:ascii="Calibri" w:eastAsia="Times New Roman" w:hAnsi="Calibri" w:cs="Calibri"/>
                <w:b/>
                <w:bCs/>
                <w:color w:val="097D31"/>
                <w:sz w:val="24"/>
                <w:szCs w:val="24"/>
                <w:lang w:eastAsia="en-GB"/>
              </w:rPr>
              <w:t>1.7</w:t>
            </w:r>
          </w:p>
        </w:tc>
        <w:tc>
          <w:tcPr>
            <w:tcW w:w="3686" w:type="dxa"/>
            <w:tcBorders>
              <w:top w:val="nil"/>
              <w:left w:val="nil"/>
              <w:bottom w:val="single" w:sz="8" w:space="0" w:color="FFFFFF"/>
              <w:right w:val="single" w:sz="8" w:space="0" w:color="FFFFFF"/>
            </w:tcBorders>
            <w:shd w:val="clear" w:color="000000" w:fill="E2F1DA"/>
            <w:vAlign w:val="center"/>
            <w:hideMark/>
          </w:tcPr>
          <w:p w14:paraId="0745F46F" w14:textId="77777777" w:rsidR="00F24531" w:rsidRPr="00B14524" w:rsidRDefault="00F24531" w:rsidP="004653FC">
            <w:pPr>
              <w:spacing w:after="0" w:line="240" w:lineRule="auto"/>
              <w:rPr>
                <w:rFonts w:ascii="Calibri" w:eastAsia="Times New Roman" w:hAnsi="Calibri" w:cs="Calibri"/>
                <w:color w:val="000000"/>
                <w:sz w:val="20"/>
                <w:szCs w:val="20"/>
                <w:lang w:eastAsia="en-GB"/>
              </w:rPr>
            </w:pPr>
            <w:r w:rsidRPr="00B14524">
              <w:rPr>
                <w:rFonts w:ascii="Calibri" w:eastAsia="Times New Roman" w:hAnsi="Calibri" w:cs="Calibri"/>
                <w:color w:val="000000"/>
                <w:sz w:val="20"/>
                <w:szCs w:val="20"/>
                <w:lang w:eastAsia="en-GB"/>
              </w:rPr>
              <w:t>Determine value of waste in manufacturing</w:t>
            </w:r>
          </w:p>
        </w:tc>
        <w:tc>
          <w:tcPr>
            <w:tcW w:w="850" w:type="dxa"/>
            <w:tcBorders>
              <w:top w:val="nil"/>
              <w:left w:val="nil"/>
              <w:bottom w:val="single" w:sz="8" w:space="0" w:color="FFFFFF"/>
              <w:right w:val="single" w:sz="8" w:space="0" w:color="FFFFFF"/>
            </w:tcBorders>
            <w:shd w:val="clear" w:color="000000" w:fill="E2F1DA"/>
            <w:vAlign w:val="center"/>
            <w:hideMark/>
          </w:tcPr>
          <w:p w14:paraId="21BEF6A8" w14:textId="77777777" w:rsidR="00F24531" w:rsidRPr="00B14524" w:rsidRDefault="00F24531" w:rsidP="004653FC">
            <w:pPr>
              <w:spacing w:after="0" w:line="240" w:lineRule="auto"/>
              <w:jc w:val="center"/>
              <w:rPr>
                <w:rFonts w:ascii="Calibri" w:eastAsia="Times New Roman" w:hAnsi="Calibri" w:cs="Calibri"/>
                <w:color w:val="000000"/>
                <w:sz w:val="20"/>
                <w:szCs w:val="20"/>
                <w:lang w:eastAsia="en-GB"/>
              </w:rPr>
            </w:pPr>
            <w:r w:rsidRPr="00B14524">
              <w:rPr>
                <w:rFonts w:ascii="Calibri" w:eastAsia="Times New Roman" w:hAnsi="Calibri" w:cs="Calibri"/>
                <w:color w:val="000000"/>
                <w:sz w:val="20"/>
                <w:szCs w:val="20"/>
                <w:lang w:eastAsia="en-GB"/>
              </w:rPr>
              <w:t> </w:t>
            </w:r>
          </w:p>
        </w:tc>
        <w:tc>
          <w:tcPr>
            <w:tcW w:w="1276" w:type="dxa"/>
            <w:tcBorders>
              <w:top w:val="nil"/>
              <w:left w:val="nil"/>
              <w:bottom w:val="single" w:sz="8" w:space="0" w:color="FFFFFF"/>
              <w:right w:val="single" w:sz="8" w:space="0" w:color="FFFFFF"/>
            </w:tcBorders>
            <w:shd w:val="clear" w:color="000000" w:fill="E2F1DA"/>
            <w:vAlign w:val="center"/>
            <w:hideMark/>
          </w:tcPr>
          <w:p w14:paraId="36094494" w14:textId="77777777" w:rsidR="00F24531" w:rsidRPr="00B14524" w:rsidRDefault="00F24531" w:rsidP="004653FC">
            <w:pPr>
              <w:spacing w:after="0" w:line="240" w:lineRule="auto"/>
              <w:jc w:val="center"/>
              <w:rPr>
                <w:rFonts w:ascii="Calibri" w:eastAsia="Times New Roman" w:hAnsi="Calibri" w:cs="Calibri"/>
                <w:color w:val="000000"/>
                <w:sz w:val="20"/>
                <w:szCs w:val="20"/>
                <w:lang w:eastAsia="en-GB"/>
              </w:rPr>
            </w:pPr>
            <w:r w:rsidRPr="00B14524">
              <w:rPr>
                <w:rFonts w:ascii="Calibri" w:eastAsia="Times New Roman" w:hAnsi="Calibri" w:cs="Calibri"/>
                <w:color w:val="000000"/>
                <w:sz w:val="20"/>
                <w:szCs w:val="20"/>
                <w:lang w:eastAsia="en-GB"/>
              </w:rPr>
              <w:t> </w:t>
            </w:r>
          </w:p>
        </w:tc>
        <w:tc>
          <w:tcPr>
            <w:tcW w:w="1276" w:type="dxa"/>
            <w:tcBorders>
              <w:top w:val="nil"/>
              <w:left w:val="nil"/>
              <w:bottom w:val="single" w:sz="8" w:space="0" w:color="FFFFFF"/>
              <w:right w:val="single" w:sz="8" w:space="0" w:color="FFFFFF"/>
            </w:tcBorders>
            <w:shd w:val="clear" w:color="000000" w:fill="E2F1DA"/>
            <w:vAlign w:val="center"/>
            <w:hideMark/>
          </w:tcPr>
          <w:p w14:paraId="1C98A86D" w14:textId="77777777" w:rsidR="00F24531" w:rsidRPr="00B14524" w:rsidRDefault="00F24531" w:rsidP="004653FC">
            <w:pPr>
              <w:spacing w:after="0" w:line="240" w:lineRule="auto"/>
              <w:jc w:val="center"/>
              <w:rPr>
                <w:rFonts w:ascii="Calibri" w:eastAsia="Times New Roman" w:hAnsi="Calibri" w:cs="Calibri"/>
                <w:color w:val="000000"/>
                <w:sz w:val="20"/>
                <w:szCs w:val="20"/>
                <w:lang w:eastAsia="en-GB"/>
              </w:rPr>
            </w:pPr>
            <w:r w:rsidRPr="00B14524">
              <w:rPr>
                <w:rFonts w:ascii="Calibri" w:eastAsia="Times New Roman" w:hAnsi="Calibri" w:cs="Calibri"/>
                <w:color w:val="000000"/>
                <w:sz w:val="20"/>
                <w:szCs w:val="20"/>
                <w:lang w:eastAsia="en-GB"/>
              </w:rPr>
              <w:t> </w:t>
            </w:r>
          </w:p>
        </w:tc>
      </w:tr>
      <w:tr w:rsidR="00F24531" w:rsidRPr="00B14524" w14:paraId="69639C9B" w14:textId="77777777" w:rsidTr="004653FC">
        <w:trPr>
          <w:trHeight w:val="620"/>
        </w:trPr>
        <w:tc>
          <w:tcPr>
            <w:tcW w:w="1300" w:type="dxa"/>
            <w:vMerge/>
            <w:tcBorders>
              <w:top w:val="nil"/>
              <w:left w:val="single" w:sz="8" w:space="0" w:color="FFFFFF"/>
              <w:bottom w:val="nil"/>
              <w:right w:val="single" w:sz="8" w:space="0" w:color="FFFFFF"/>
            </w:tcBorders>
            <w:vAlign w:val="center"/>
            <w:hideMark/>
          </w:tcPr>
          <w:p w14:paraId="457C6490" w14:textId="77777777" w:rsidR="00F24531" w:rsidRPr="00FF6F7D" w:rsidRDefault="00F24531" w:rsidP="004653FC">
            <w:pPr>
              <w:spacing w:after="0" w:line="240" w:lineRule="auto"/>
              <w:rPr>
                <w:rFonts w:ascii="Arial" w:eastAsia="Times New Roman" w:hAnsi="Arial" w:cs="Arial"/>
                <w:b/>
                <w:bCs/>
                <w:color w:val="FFFFFF"/>
                <w:sz w:val="20"/>
                <w:szCs w:val="20"/>
                <w:lang w:eastAsia="en-GB"/>
              </w:rPr>
            </w:pPr>
          </w:p>
        </w:tc>
        <w:tc>
          <w:tcPr>
            <w:tcW w:w="958" w:type="dxa"/>
            <w:tcBorders>
              <w:top w:val="nil"/>
              <w:left w:val="nil"/>
              <w:bottom w:val="single" w:sz="8" w:space="0" w:color="FFFFFF"/>
              <w:right w:val="single" w:sz="8" w:space="0" w:color="FFFFFF"/>
            </w:tcBorders>
            <w:shd w:val="clear" w:color="000000" w:fill="C5E0B4"/>
            <w:vAlign w:val="center"/>
            <w:hideMark/>
          </w:tcPr>
          <w:p w14:paraId="502AC9B8" w14:textId="77777777" w:rsidR="00F24531" w:rsidRPr="00B14524" w:rsidRDefault="00F24531" w:rsidP="004653FC">
            <w:pPr>
              <w:spacing w:after="0" w:line="240" w:lineRule="auto"/>
              <w:jc w:val="center"/>
              <w:rPr>
                <w:rFonts w:ascii="Calibri" w:eastAsia="Times New Roman" w:hAnsi="Calibri" w:cs="Calibri"/>
                <w:b/>
                <w:bCs/>
                <w:color w:val="097D31"/>
                <w:sz w:val="24"/>
                <w:szCs w:val="24"/>
                <w:lang w:eastAsia="en-GB"/>
              </w:rPr>
            </w:pPr>
            <w:r w:rsidRPr="00B14524">
              <w:rPr>
                <w:rFonts w:ascii="Calibri" w:eastAsia="Times New Roman" w:hAnsi="Calibri" w:cs="Calibri"/>
                <w:b/>
                <w:bCs/>
                <w:color w:val="097D31"/>
                <w:sz w:val="24"/>
                <w:szCs w:val="24"/>
                <w:lang w:eastAsia="en-GB"/>
              </w:rPr>
              <w:t>1.8</w:t>
            </w:r>
          </w:p>
        </w:tc>
        <w:tc>
          <w:tcPr>
            <w:tcW w:w="3686" w:type="dxa"/>
            <w:tcBorders>
              <w:top w:val="nil"/>
              <w:left w:val="nil"/>
              <w:bottom w:val="single" w:sz="8" w:space="0" w:color="FFFFFF"/>
              <w:right w:val="single" w:sz="8" w:space="0" w:color="FFFFFF"/>
            </w:tcBorders>
            <w:shd w:val="clear" w:color="000000" w:fill="C5E0B4"/>
            <w:vAlign w:val="center"/>
            <w:hideMark/>
          </w:tcPr>
          <w:p w14:paraId="148976C8" w14:textId="77777777" w:rsidR="00F24531" w:rsidRPr="00B14524" w:rsidRDefault="00F24531" w:rsidP="004653FC">
            <w:pPr>
              <w:spacing w:after="0" w:line="240" w:lineRule="auto"/>
              <w:ind w:leftChars="-8" w:left="2" w:hangingChars="10" w:hanging="20"/>
              <w:rPr>
                <w:rFonts w:ascii="Calibri" w:eastAsia="Times New Roman" w:hAnsi="Calibri" w:cs="Calibri"/>
                <w:color w:val="000000"/>
                <w:sz w:val="20"/>
                <w:szCs w:val="20"/>
                <w:lang w:eastAsia="en-GB"/>
              </w:rPr>
            </w:pPr>
            <w:r w:rsidRPr="00B14524">
              <w:rPr>
                <w:rFonts w:ascii="Calibri" w:eastAsia="Times New Roman" w:hAnsi="Calibri" w:cs="Calibri"/>
                <w:color w:val="000000"/>
                <w:sz w:val="20"/>
                <w:szCs w:val="20"/>
                <w:lang w:eastAsia="en-GB"/>
              </w:rPr>
              <w:t>Reduce food loss through cold chain efficiency</w:t>
            </w:r>
          </w:p>
        </w:tc>
        <w:tc>
          <w:tcPr>
            <w:tcW w:w="850" w:type="dxa"/>
            <w:tcBorders>
              <w:top w:val="nil"/>
              <w:left w:val="nil"/>
              <w:bottom w:val="single" w:sz="8" w:space="0" w:color="FFFFFF"/>
              <w:right w:val="single" w:sz="8" w:space="0" w:color="FFFFFF"/>
            </w:tcBorders>
            <w:shd w:val="clear" w:color="000000" w:fill="C5E0B4"/>
            <w:vAlign w:val="center"/>
            <w:hideMark/>
          </w:tcPr>
          <w:p w14:paraId="789E8F73" w14:textId="77777777" w:rsidR="00F24531" w:rsidRPr="00B14524" w:rsidRDefault="00F24531" w:rsidP="004653FC">
            <w:pPr>
              <w:spacing w:after="0" w:line="240" w:lineRule="auto"/>
              <w:jc w:val="center"/>
              <w:rPr>
                <w:rFonts w:ascii="Calibri" w:eastAsia="Times New Roman" w:hAnsi="Calibri" w:cs="Calibri"/>
                <w:color w:val="000000"/>
                <w:sz w:val="20"/>
                <w:szCs w:val="20"/>
                <w:lang w:eastAsia="en-GB"/>
              </w:rPr>
            </w:pPr>
            <w:r w:rsidRPr="00B14524">
              <w:rPr>
                <w:rFonts w:ascii="Calibri" w:eastAsia="Times New Roman" w:hAnsi="Calibri" w:cs="Calibri"/>
                <w:color w:val="000000"/>
                <w:sz w:val="20"/>
                <w:szCs w:val="20"/>
                <w:lang w:eastAsia="en-GB"/>
              </w:rPr>
              <w:t> </w:t>
            </w:r>
          </w:p>
        </w:tc>
        <w:tc>
          <w:tcPr>
            <w:tcW w:w="1276" w:type="dxa"/>
            <w:tcBorders>
              <w:top w:val="nil"/>
              <w:left w:val="nil"/>
              <w:bottom w:val="single" w:sz="8" w:space="0" w:color="FFFFFF"/>
              <w:right w:val="single" w:sz="8" w:space="0" w:color="FFFFFF"/>
            </w:tcBorders>
            <w:shd w:val="clear" w:color="000000" w:fill="C5E0B4"/>
            <w:vAlign w:val="center"/>
            <w:hideMark/>
          </w:tcPr>
          <w:p w14:paraId="75F222D7" w14:textId="77777777" w:rsidR="00F24531" w:rsidRPr="00B14524" w:rsidRDefault="00F24531" w:rsidP="004653FC">
            <w:pPr>
              <w:spacing w:after="0" w:line="240" w:lineRule="auto"/>
              <w:jc w:val="center"/>
              <w:rPr>
                <w:rFonts w:ascii="Calibri" w:eastAsia="Times New Roman" w:hAnsi="Calibri" w:cs="Calibri"/>
                <w:color w:val="000000"/>
                <w:sz w:val="20"/>
                <w:szCs w:val="20"/>
                <w:lang w:eastAsia="en-GB"/>
              </w:rPr>
            </w:pPr>
            <w:r w:rsidRPr="00B14524">
              <w:rPr>
                <w:rFonts w:ascii="Calibri" w:eastAsia="Times New Roman" w:hAnsi="Calibri" w:cs="Calibri"/>
                <w:color w:val="000000"/>
                <w:sz w:val="20"/>
                <w:szCs w:val="20"/>
                <w:lang w:eastAsia="en-GB"/>
              </w:rPr>
              <w:t>25%</w:t>
            </w:r>
          </w:p>
        </w:tc>
        <w:tc>
          <w:tcPr>
            <w:tcW w:w="1276" w:type="dxa"/>
            <w:tcBorders>
              <w:top w:val="nil"/>
              <w:left w:val="nil"/>
              <w:bottom w:val="single" w:sz="8" w:space="0" w:color="FFFFFF"/>
              <w:right w:val="single" w:sz="8" w:space="0" w:color="FFFFFF"/>
            </w:tcBorders>
            <w:shd w:val="clear" w:color="000000" w:fill="C5E0B4"/>
            <w:vAlign w:val="center"/>
            <w:hideMark/>
          </w:tcPr>
          <w:p w14:paraId="652F79E1" w14:textId="77777777" w:rsidR="00F24531" w:rsidRPr="00B14524" w:rsidRDefault="00F24531" w:rsidP="004653FC">
            <w:pPr>
              <w:spacing w:after="0" w:line="240" w:lineRule="auto"/>
              <w:jc w:val="center"/>
              <w:rPr>
                <w:rFonts w:ascii="Calibri" w:eastAsia="Times New Roman" w:hAnsi="Calibri" w:cs="Calibri"/>
                <w:color w:val="000000"/>
                <w:sz w:val="20"/>
                <w:szCs w:val="20"/>
                <w:lang w:eastAsia="en-GB"/>
              </w:rPr>
            </w:pPr>
            <w:r w:rsidRPr="00B14524">
              <w:rPr>
                <w:rFonts w:ascii="Calibri" w:eastAsia="Times New Roman" w:hAnsi="Calibri" w:cs="Calibri"/>
                <w:color w:val="000000"/>
                <w:sz w:val="20"/>
                <w:szCs w:val="20"/>
                <w:lang w:eastAsia="en-GB"/>
              </w:rPr>
              <w:t> </w:t>
            </w:r>
          </w:p>
        </w:tc>
      </w:tr>
      <w:tr w:rsidR="00F24531" w:rsidRPr="00B14524" w14:paraId="4FB7C436" w14:textId="77777777" w:rsidTr="004653FC">
        <w:trPr>
          <w:trHeight w:val="620"/>
        </w:trPr>
        <w:tc>
          <w:tcPr>
            <w:tcW w:w="1300" w:type="dxa"/>
            <w:vMerge/>
            <w:tcBorders>
              <w:top w:val="nil"/>
              <w:left w:val="single" w:sz="8" w:space="0" w:color="FFFFFF"/>
              <w:bottom w:val="nil"/>
              <w:right w:val="single" w:sz="8" w:space="0" w:color="FFFFFF"/>
            </w:tcBorders>
            <w:vAlign w:val="center"/>
            <w:hideMark/>
          </w:tcPr>
          <w:p w14:paraId="2D7BC76B" w14:textId="77777777" w:rsidR="00F24531" w:rsidRPr="00FF6F7D" w:rsidRDefault="00F24531" w:rsidP="004653FC">
            <w:pPr>
              <w:spacing w:after="0" w:line="240" w:lineRule="auto"/>
              <w:rPr>
                <w:rFonts w:ascii="Arial" w:eastAsia="Times New Roman" w:hAnsi="Arial" w:cs="Arial"/>
                <w:b/>
                <w:bCs/>
                <w:color w:val="FFFFFF"/>
                <w:sz w:val="20"/>
                <w:szCs w:val="20"/>
                <w:lang w:eastAsia="en-GB"/>
              </w:rPr>
            </w:pPr>
          </w:p>
        </w:tc>
        <w:tc>
          <w:tcPr>
            <w:tcW w:w="958" w:type="dxa"/>
            <w:tcBorders>
              <w:top w:val="nil"/>
              <w:left w:val="nil"/>
              <w:bottom w:val="single" w:sz="8" w:space="0" w:color="FFFFFF"/>
              <w:right w:val="single" w:sz="8" w:space="0" w:color="FFFFFF"/>
            </w:tcBorders>
            <w:shd w:val="clear" w:color="000000" w:fill="E2F1DA"/>
            <w:vAlign w:val="center"/>
            <w:hideMark/>
          </w:tcPr>
          <w:p w14:paraId="009E16F0" w14:textId="77777777" w:rsidR="00F24531" w:rsidRPr="00B14524" w:rsidRDefault="00F24531" w:rsidP="004653FC">
            <w:pPr>
              <w:spacing w:after="0" w:line="240" w:lineRule="auto"/>
              <w:jc w:val="center"/>
              <w:rPr>
                <w:rFonts w:ascii="Calibri" w:eastAsia="Times New Roman" w:hAnsi="Calibri" w:cs="Calibri"/>
                <w:b/>
                <w:bCs/>
                <w:color w:val="097D31"/>
                <w:sz w:val="24"/>
                <w:szCs w:val="24"/>
                <w:lang w:eastAsia="en-GB"/>
              </w:rPr>
            </w:pPr>
            <w:r w:rsidRPr="00B14524">
              <w:rPr>
                <w:rFonts w:ascii="Calibri" w:eastAsia="Times New Roman" w:hAnsi="Calibri" w:cs="Calibri"/>
                <w:b/>
                <w:bCs/>
                <w:color w:val="097D31"/>
                <w:sz w:val="24"/>
                <w:szCs w:val="24"/>
                <w:lang w:eastAsia="en-GB"/>
              </w:rPr>
              <w:t>1.9</w:t>
            </w:r>
          </w:p>
        </w:tc>
        <w:tc>
          <w:tcPr>
            <w:tcW w:w="3686" w:type="dxa"/>
            <w:tcBorders>
              <w:top w:val="nil"/>
              <w:left w:val="nil"/>
              <w:bottom w:val="single" w:sz="8" w:space="0" w:color="FFFFFF"/>
              <w:right w:val="single" w:sz="8" w:space="0" w:color="FFFFFF"/>
            </w:tcBorders>
            <w:shd w:val="clear" w:color="000000" w:fill="E2F1DA"/>
            <w:vAlign w:val="center"/>
            <w:hideMark/>
          </w:tcPr>
          <w:p w14:paraId="4BE2981B" w14:textId="77777777" w:rsidR="00F24531" w:rsidRPr="00B14524" w:rsidRDefault="00F24531" w:rsidP="004653FC">
            <w:pPr>
              <w:spacing w:after="0" w:line="240" w:lineRule="auto"/>
              <w:rPr>
                <w:rFonts w:ascii="Calibri" w:eastAsia="Times New Roman" w:hAnsi="Calibri" w:cs="Calibri"/>
                <w:color w:val="000000"/>
                <w:sz w:val="20"/>
                <w:szCs w:val="20"/>
                <w:lang w:eastAsia="en-GB"/>
              </w:rPr>
            </w:pPr>
            <w:r w:rsidRPr="00B14524">
              <w:rPr>
                <w:rFonts w:ascii="Calibri" w:eastAsia="Times New Roman" w:hAnsi="Calibri" w:cs="Calibri"/>
                <w:color w:val="000000"/>
                <w:sz w:val="20"/>
                <w:szCs w:val="20"/>
                <w:lang w:eastAsia="en-GB"/>
              </w:rPr>
              <w:t xml:space="preserve">Revise cosmetic </w:t>
            </w:r>
            <w:r>
              <w:rPr>
                <w:rFonts w:ascii="Calibri" w:eastAsia="Times New Roman" w:hAnsi="Calibri" w:cs="Calibri"/>
                <w:color w:val="000000"/>
                <w:sz w:val="20"/>
                <w:szCs w:val="20"/>
                <w:lang w:eastAsia="en-GB"/>
              </w:rPr>
              <w:t xml:space="preserve">quality </w:t>
            </w:r>
            <w:r w:rsidRPr="00B14524">
              <w:rPr>
                <w:rFonts w:ascii="Calibri" w:eastAsia="Times New Roman" w:hAnsi="Calibri" w:cs="Calibri"/>
                <w:color w:val="000000"/>
                <w:sz w:val="20"/>
                <w:szCs w:val="20"/>
                <w:lang w:eastAsia="en-GB"/>
              </w:rPr>
              <w:t>standards for fruit and vegetables</w:t>
            </w:r>
          </w:p>
        </w:tc>
        <w:tc>
          <w:tcPr>
            <w:tcW w:w="850" w:type="dxa"/>
            <w:tcBorders>
              <w:top w:val="nil"/>
              <w:left w:val="nil"/>
              <w:bottom w:val="single" w:sz="8" w:space="0" w:color="FFFFFF"/>
              <w:right w:val="single" w:sz="8" w:space="0" w:color="FFFFFF"/>
            </w:tcBorders>
            <w:shd w:val="clear" w:color="000000" w:fill="E2F1DA"/>
            <w:vAlign w:val="center"/>
            <w:hideMark/>
          </w:tcPr>
          <w:p w14:paraId="4EF21003" w14:textId="77777777" w:rsidR="00F24531" w:rsidRPr="00B14524" w:rsidRDefault="00F24531" w:rsidP="004653FC">
            <w:pPr>
              <w:spacing w:after="0" w:line="240" w:lineRule="auto"/>
              <w:jc w:val="center"/>
              <w:rPr>
                <w:rFonts w:ascii="Calibri" w:eastAsia="Times New Roman" w:hAnsi="Calibri" w:cs="Calibri"/>
                <w:color w:val="000000"/>
                <w:sz w:val="20"/>
                <w:szCs w:val="20"/>
                <w:lang w:eastAsia="en-GB"/>
              </w:rPr>
            </w:pPr>
            <w:r w:rsidRPr="00B14524">
              <w:rPr>
                <w:rFonts w:ascii="Calibri" w:eastAsia="Times New Roman" w:hAnsi="Calibri" w:cs="Calibri"/>
                <w:color w:val="000000"/>
                <w:sz w:val="20"/>
                <w:szCs w:val="20"/>
                <w:lang w:eastAsia="en-GB"/>
              </w:rPr>
              <w:t> </w:t>
            </w:r>
          </w:p>
        </w:tc>
        <w:tc>
          <w:tcPr>
            <w:tcW w:w="1276" w:type="dxa"/>
            <w:tcBorders>
              <w:top w:val="nil"/>
              <w:left w:val="nil"/>
              <w:bottom w:val="single" w:sz="8" w:space="0" w:color="FFFFFF"/>
              <w:right w:val="single" w:sz="8" w:space="0" w:color="FFFFFF"/>
            </w:tcBorders>
            <w:shd w:val="clear" w:color="000000" w:fill="E2F1DA"/>
            <w:vAlign w:val="center"/>
            <w:hideMark/>
          </w:tcPr>
          <w:p w14:paraId="375D1DFB" w14:textId="77777777" w:rsidR="00F24531" w:rsidRPr="00B14524" w:rsidRDefault="00F24531" w:rsidP="004653FC">
            <w:pPr>
              <w:spacing w:after="0" w:line="240" w:lineRule="auto"/>
              <w:jc w:val="center"/>
              <w:rPr>
                <w:rFonts w:ascii="Calibri" w:eastAsia="Times New Roman" w:hAnsi="Calibri" w:cs="Calibri"/>
                <w:color w:val="000000"/>
                <w:sz w:val="20"/>
                <w:szCs w:val="20"/>
                <w:lang w:eastAsia="en-GB"/>
              </w:rPr>
            </w:pPr>
            <w:r w:rsidRPr="00B14524">
              <w:rPr>
                <w:rFonts w:ascii="Calibri" w:eastAsia="Times New Roman" w:hAnsi="Calibri" w:cs="Calibri"/>
                <w:color w:val="000000"/>
                <w:sz w:val="20"/>
                <w:szCs w:val="20"/>
                <w:lang w:eastAsia="en-GB"/>
              </w:rPr>
              <w:t>20%</w:t>
            </w:r>
          </w:p>
        </w:tc>
        <w:tc>
          <w:tcPr>
            <w:tcW w:w="1276" w:type="dxa"/>
            <w:tcBorders>
              <w:top w:val="nil"/>
              <w:left w:val="nil"/>
              <w:bottom w:val="single" w:sz="8" w:space="0" w:color="FFFFFF"/>
              <w:right w:val="single" w:sz="8" w:space="0" w:color="FFFFFF"/>
            </w:tcBorders>
            <w:shd w:val="clear" w:color="000000" w:fill="E2F1DA"/>
            <w:vAlign w:val="center"/>
            <w:hideMark/>
          </w:tcPr>
          <w:p w14:paraId="0A53E653" w14:textId="77777777" w:rsidR="00F24531" w:rsidRPr="00B14524" w:rsidRDefault="00F24531" w:rsidP="004653FC">
            <w:pPr>
              <w:spacing w:after="0" w:line="240" w:lineRule="auto"/>
              <w:jc w:val="center"/>
              <w:rPr>
                <w:rFonts w:ascii="Calibri" w:eastAsia="Times New Roman" w:hAnsi="Calibri" w:cs="Calibri"/>
                <w:color w:val="000000"/>
                <w:sz w:val="20"/>
                <w:szCs w:val="20"/>
                <w:lang w:eastAsia="en-GB"/>
              </w:rPr>
            </w:pPr>
            <w:r w:rsidRPr="00B14524">
              <w:rPr>
                <w:rFonts w:ascii="Calibri" w:eastAsia="Times New Roman" w:hAnsi="Calibri" w:cs="Calibri"/>
                <w:color w:val="000000"/>
                <w:sz w:val="20"/>
                <w:szCs w:val="20"/>
                <w:lang w:eastAsia="en-GB"/>
              </w:rPr>
              <w:t> </w:t>
            </w:r>
          </w:p>
        </w:tc>
      </w:tr>
      <w:tr w:rsidR="00F24531" w:rsidRPr="00B14524" w14:paraId="6481F38A" w14:textId="77777777" w:rsidTr="004653FC">
        <w:trPr>
          <w:cantSplit/>
          <w:trHeight w:hRule="exact" w:val="340"/>
        </w:trPr>
        <w:tc>
          <w:tcPr>
            <w:tcW w:w="1300" w:type="dxa"/>
            <w:vMerge w:val="restart"/>
            <w:tcBorders>
              <w:top w:val="single" w:sz="8" w:space="0" w:color="FFFFFF"/>
              <w:left w:val="single" w:sz="8" w:space="0" w:color="FFFFFF"/>
              <w:bottom w:val="nil"/>
              <w:right w:val="single" w:sz="8" w:space="0" w:color="FFFFFF"/>
            </w:tcBorders>
            <w:shd w:val="clear" w:color="000000" w:fill="0DA03E"/>
            <w:textDirection w:val="btLr"/>
            <w:vAlign w:val="center"/>
            <w:hideMark/>
          </w:tcPr>
          <w:p w14:paraId="57EF1F16" w14:textId="77777777" w:rsidR="00F24531" w:rsidRPr="00FF6F7D" w:rsidRDefault="00F24531" w:rsidP="004653FC">
            <w:pPr>
              <w:spacing w:after="0" w:line="240" w:lineRule="auto"/>
              <w:jc w:val="center"/>
              <w:rPr>
                <w:rFonts w:ascii="Arial" w:eastAsia="Times New Roman" w:hAnsi="Arial" w:cs="Arial"/>
                <w:b/>
                <w:bCs/>
                <w:color w:val="F2F2F2"/>
                <w:sz w:val="20"/>
                <w:szCs w:val="20"/>
                <w:lang w:eastAsia="en-GB"/>
              </w:rPr>
            </w:pPr>
            <w:r w:rsidRPr="00FF6F7D">
              <w:rPr>
                <w:rFonts w:ascii="Arial" w:eastAsia="Times New Roman" w:hAnsi="Arial" w:cs="Arial"/>
                <w:b/>
                <w:bCs/>
                <w:color w:val="F2F2F2"/>
                <w:sz w:val="20"/>
                <w:szCs w:val="20"/>
                <w:lang w:val="en-GB" w:eastAsia="en-GB"/>
              </w:rPr>
              <w:t>Reuse</w:t>
            </w:r>
          </w:p>
        </w:tc>
        <w:tc>
          <w:tcPr>
            <w:tcW w:w="958" w:type="dxa"/>
            <w:tcBorders>
              <w:top w:val="nil"/>
              <w:left w:val="nil"/>
              <w:bottom w:val="single" w:sz="8" w:space="0" w:color="FFFFFF"/>
              <w:right w:val="single" w:sz="8" w:space="0" w:color="FFFFFF"/>
            </w:tcBorders>
            <w:shd w:val="clear" w:color="000000" w:fill="F3F8F4"/>
            <w:vAlign w:val="center"/>
            <w:hideMark/>
          </w:tcPr>
          <w:p w14:paraId="0B88762C" w14:textId="77777777" w:rsidR="00F24531" w:rsidRPr="00B14524" w:rsidRDefault="00F24531" w:rsidP="004653FC">
            <w:pPr>
              <w:spacing w:after="0" w:line="240" w:lineRule="auto"/>
              <w:jc w:val="center"/>
              <w:rPr>
                <w:rFonts w:ascii="Calibri" w:eastAsia="Times New Roman" w:hAnsi="Calibri" w:cs="Calibri"/>
                <w:b/>
                <w:bCs/>
                <w:color w:val="0DA03E"/>
                <w:sz w:val="24"/>
                <w:szCs w:val="24"/>
                <w:lang w:eastAsia="en-GB"/>
              </w:rPr>
            </w:pPr>
            <w:r w:rsidRPr="00B14524">
              <w:rPr>
                <w:rFonts w:ascii="Calibri" w:eastAsia="Times New Roman" w:hAnsi="Calibri" w:cs="Calibri"/>
                <w:b/>
                <w:bCs/>
                <w:color w:val="0DA03E"/>
                <w:sz w:val="24"/>
                <w:szCs w:val="24"/>
                <w:lang w:val="en-GB" w:eastAsia="en-GB"/>
              </w:rPr>
              <w:t>2.1</w:t>
            </w:r>
          </w:p>
        </w:tc>
        <w:tc>
          <w:tcPr>
            <w:tcW w:w="3686" w:type="dxa"/>
            <w:tcBorders>
              <w:top w:val="nil"/>
              <w:left w:val="nil"/>
              <w:bottom w:val="single" w:sz="8" w:space="0" w:color="FFFFFF"/>
              <w:right w:val="single" w:sz="8" w:space="0" w:color="FFFFFF"/>
            </w:tcBorders>
            <w:shd w:val="clear" w:color="000000" w:fill="F3F8F4"/>
            <w:vAlign w:val="center"/>
            <w:hideMark/>
          </w:tcPr>
          <w:p w14:paraId="0D2A2E09" w14:textId="77777777" w:rsidR="00F24531" w:rsidRPr="00B14524" w:rsidRDefault="00F24531" w:rsidP="004653FC">
            <w:pPr>
              <w:spacing w:after="0" w:line="240" w:lineRule="auto"/>
              <w:rPr>
                <w:rFonts w:ascii="Calibri" w:eastAsia="Times New Roman" w:hAnsi="Calibri" w:cs="Calibri"/>
                <w:color w:val="000000"/>
                <w:sz w:val="20"/>
                <w:szCs w:val="20"/>
                <w:lang w:eastAsia="en-GB"/>
              </w:rPr>
            </w:pPr>
            <w:r w:rsidRPr="00B14524">
              <w:rPr>
                <w:rFonts w:ascii="Calibri" w:eastAsia="Times New Roman" w:hAnsi="Calibri" w:cs="Calibri"/>
                <w:color w:val="000000"/>
                <w:sz w:val="20"/>
                <w:szCs w:val="20"/>
                <w:lang w:val="en-GB" w:eastAsia="en-GB"/>
              </w:rPr>
              <w:t>Food Rescue</w:t>
            </w:r>
          </w:p>
        </w:tc>
        <w:tc>
          <w:tcPr>
            <w:tcW w:w="850" w:type="dxa"/>
            <w:tcBorders>
              <w:top w:val="nil"/>
              <w:left w:val="nil"/>
              <w:bottom w:val="single" w:sz="8" w:space="0" w:color="FFFFFF"/>
              <w:right w:val="single" w:sz="8" w:space="0" w:color="FFFFFF"/>
            </w:tcBorders>
            <w:shd w:val="clear" w:color="000000" w:fill="F3F8F4"/>
            <w:vAlign w:val="center"/>
            <w:hideMark/>
          </w:tcPr>
          <w:p w14:paraId="2634BDA7" w14:textId="77777777" w:rsidR="00F24531" w:rsidRPr="00B14524" w:rsidRDefault="00F24531" w:rsidP="004653FC">
            <w:pPr>
              <w:spacing w:after="0" w:line="240" w:lineRule="auto"/>
              <w:jc w:val="center"/>
              <w:rPr>
                <w:rFonts w:ascii="Calibri" w:eastAsia="Times New Roman" w:hAnsi="Calibri" w:cs="Calibri"/>
                <w:color w:val="000000"/>
                <w:sz w:val="20"/>
                <w:szCs w:val="20"/>
                <w:lang w:eastAsia="en-GB"/>
              </w:rPr>
            </w:pPr>
            <w:r w:rsidRPr="00B14524">
              <w:rPr>
                <w:rFonts w:ascii="Calibri" w:eastAsia="Times New Roman" w:hAnsi="Calibri" w:cs="Calibri"/>
                <w:color w:val="000000"/>
                <w:sz w:val="20"/>
                <w:szCs w:val="20"/>
                <w:lang w:val="en-GB" w:eastAsia="en-GB"/>
              </w:rPr>
              <w:t>48</w:t>
            </w:r>
          </w:p>
        </w:tc>
        <w:tc>
          <w:tcPr>
            <w:tcW w:w="1276" w:type="dxa"/>
            <w:tcBorders>
              <w:top w:val="nil"/>
              <w:left w:val="nil"/>
              <w:bottom w:val="single" w:sz="8" w:space="0" w:color="FFFFFF"/>
              <w:right w:val="single" w:sz="8" w:space="0" w:color="FFFFFF"/>
            </w:tcBorders>
            <w:shd w:val="clear" w:color="000000" w:fill="F3F8F4"/>
            <w:vAlign w:val="center"/>
            <w:hideMark/>
          </w:tcPr>
          <w:p w14:paraId="505C73DA" w14:textId="77777777" w:rsidR="00F24531" w:rsidRPr="00B14524" w:rsidRDefault="00F24531" w:rsidP="004653FC">
            <w:pPr>
              <w:spacing w:after="0" w:line="240" w:lineRule="auto"/>
              <w:jc w:val="center"/>
              <w:rPr>
                <w:rFonts w:ascii="Calibri" w:eastAsia="Times New Roman" w:hAnsi="Calibri" w:cs="Calibri"/>
                <w:color w:val="000000"/>
                <w:sz w:val="20"/>
                <w:szCs w:val="20"/>
                <w:lang w:eastAsia="en-GB"/>
              </w:rPr>
            </w:pPr>
            <w:r w:rsidRPr="00B14524">
              <w:rPr>
                <w:rFonts w:ascii="Calibri" w:eastAsia="Times New Roman" w:hAnsi="Calibri" w:cs="Calibri"/>
                <w:color w:val="000000"/>
                <w:sz w:val="20"/>
                <w:szCs w:val="20"/>
                <w:lang w:val="en-GB" w:eastAsia="en-GB"/>
              </w:rPr>
              <w:t>30%/3-4 fold</w:t>
            </w:r>
          </w:p>
        </w:tc>
        <w:tc>
          <w:tcPr>
            <w:tcW w:w="1276" w:type="dxa"/>
            <w:tcBorders>
              <w:top w:val="nil"/>
              <w:left w:val="nil"/>
              <w:bottom w:val="single" w:sz="8" w:space="0" w:color="FFFFFF"/>
              <w:right w:val="single" w:sz="8" w:space="0" w:color="FFFFFF"/>
            </w:tcBorders>
            <w:shd w:val="clear" w:color="000000" w:fill="F3F8F4"/>
            <w:vAlign w:val="center"/>
            <w:hideMark/>
          </w:tcPr>
          <w:p w14:paraId="05D55747" w14:textId="77777777" w:rsidR="00F24531" w:rsidRPr="00B14524" w:rsidRDefault="00F24531" w:rsidP="004653FC">
            <w:pPr>
              <w:spacing w:after="0" w:line="240" w:lineRule="auto"/>
              <w:jc w:val="center"/>
              <w:rPr>
                <w:rFonts w:ascii="Calibri" w:eastAsia="Times New Roman" w:hAnsi="Calibri" w:cs="Calibri"/>
                <w:color w:val="000000"/>
                <w:sz w:val="20"/>
                <w:szCs w:val="20"/>
                <w:lang w:eastAsia="en-GB"/>
              </w:rPr>
            </w:pPr>
            <w:r w:rsidRPr="00B14524">
              <w:rPr>
                <w:rFonts w:ascii="Calibri" w:eastAsia="Times New Roman" w:hAnsi="Calibri" w:cs="Calibri"/>
                <w:color w:val="000000"/>
                <w:sz w:val="20"/>
                <w:szCs w:val="20"/>
                <w:lang w:eastAsia="en-GB"/>
              </w:rPr>
              <w:t>80%/10 fold</w:t>
            </w:r>
          </w:p>
        </w:tc>
      </w:tr>
      <w:tr w:rsidR="00F24531" w:rsidRPr="00B14524" w14:paraId="5DE6D3C2" w14:textId="77777777" w:rsidTr="004653FC">
        <w:trPr>
          <w:trHeight w:val="340"/>
        </w:trPr>
        <w:tc>
          <w:tcPr>
            <w:tcW w:w="1300" w:type="dxa"/>
            <w:vMerge/>
            <w:tcBorders>
              <w:top w:val="single" w:sz="8" w:space="0" w:color="FFFFFF"/>
              <w:left w:val="single" w:sz="8" w:space="0" w:color="FFFFFF"/>
              <w:bottom w:val="nil"/>
              <w:right w:val="single" w:sz="8" w:space="0" w:color="FFFFFF"/>
            </w:tcBorders>
            <w:vAlign w:val="center"/>
            <w:hideMark/>
          </w:tcPr>
          <w:p w14:paraId="6868F08A" w14:textId="77777777" w:rsidR="00F24531" w:rsidRPr="00FF6F7D" w:rsidRDefault="00F24531" w:rsidP="004653FC">
            <w:pPr>
              <w:spacing w:after="0" w:line="240" w:lineRule="auto"/>
              <w:rPr>
                <w:rFonts w:ascii="Arial" w:eastAsia="Times New Roman" w:hAnsi="Arial" w:cs="Arial"/>
                <w:b/>
                <w:bCs/>
                <w:color w:val="F2F2F2"/>
                <w:sz w:val="20"/>
                <w:szCs w:val="20"/>
                <w:lang w:eastAsia="en-GB"/>
              </w:rPr>
            </w:pPr>
          </w:p>
        </w:tc>
        <w:tc>
          <w:tcPr>
            <w:tcW w:w="958" w:type="dxa"/>
            <w:tcBorders>
              <w:top w:val="nil"/>
              <w:left w:val="nil"/>
              <w:bottom w:val="single" w:sz="8" w:space="0" w:color="FFFFFF"/>
              <w:right w:val="single" w:sz="8" w:space="0" w:color="FFFFFF"/>
            </w:tcBorders>
            <w:shd w:val="clear" w:color="000000" w:fill="DAE6DC"/>
            <w:vAlign w:val="center"/>
            <w:hideMark/>
          </w:tcPr>
          <w:p w14:paraId="1CE0BE31" w14:textId="77777777" w:rsidR="00F24531" w:rsidRPr="00B14524" w:rsidRDefault="00F24531" w:rsidP="004653FC">
            <w:pPr>
              <w:spacing w:after="0" w:line="240" w:lineRule="auto"/>
              <w:jc w:val="center"/>
              <w:rPr>
                <w:rFonts w:ascii="Calibri" w:eastAsia="Times New Roman" w:hAnsi="Calibri" w:cs="Calibri"/>
                <w:b/>
                <w:bCs/>
                <w:color w:val="0DA03E"/>
                <w:sz w:val="24"/>
                <w:szCs w:val="24"/>
                <w:lang w:eastAsia="en-GB"/>
              </w:rPr>
            </w:pPr>
            <w:r w:rsidRPr="00B14524">
              <w:rPr>
                <w:rFonts w:ascii="Calibri" w:eastAsia="Times New Roman" w:hAnsi="Calibri" w:cs="Calibri"/>
                <w:b/>
                <w:bCs/>
                <w:color w:val="0DA03E"/>
                <w:sz w:val="24"/>
                <w:szCs w:val="24"/>
                <w:lang w:val="en-GB" w:eastAsia="en-GB"/>
              </w:rPr>
              <w:t>2.2</w:t>
            </w:r>
          </w:p>
        </w:tc>
        <w:tc>
          <w:tcPr>
            <w:tcW w:w="3686" w:type="dxa"/>
            <w:tcBorders>
              <w:top w:val="nil"/>
              <w:left w:val="nil"/>
              <w:bottom w:val="single" w:sz="8" w:space="0" w:color="FFFFFF"/>
              <w:right w:val="single" w:sz="8" w:space="0" w:color="FFFFFF"/>
            </w:tcBorders>
            <w:shd w:val="clear" w:color="000000" w:fill="DAE6DC"/>
            <w:vAlign w:val="center"/>
            <w:hideMark/>
          </w:tcPr>
          <w:p w14:paraId="74ED3264" w14:textId="77777777" w:rsidR="00F24531" w:rsidRPr="00B14524" w:rsidRDefault="00F24531" w:rsidP="004653FC">
            <w:pPr>
              <w:spacing w:after="0" w:line="240" w:lineRule="auto"/>
              <w:rPr>
                <w:rFonts w:ascii="Calibri" w:eastAsia="Times New Roman" w:hAnsi="Calibri" w:cs="Calibri"/>
                <w:color w:val="000000"/>
                <w:sz w:val="20"/>
                <w:szCs w:val="20"/>
                <w:lang w:eastAsia="en-GB"/>
              </w:rPr>
            </w:pPr>
            <w:r w:rsidRPr="00B14524">
              <w:rPr>
                <w:rFonts w:ascii="Calibri" w:eastAsia="Times New Roman" w:hAnsi="Calibri" w:cs="Calibri"/>
                <w:color w:val="000000"/>
                <w:sz w:val="20"/>
                <w:szCs w:val="20"/>
                <w:lang w:val="en-GB" w:eastAsia="en-GB"/>
              </w:rPr>
              <w:t>Secondary reseller</w:t>
            </w:r>
          </w:p>
        </w:tc>
        <w:tc>
          <w:tcPr>
            <w:tcW w:w="850" w:type="dxa"/>
            <w:tcBorders>
              <w:top w:val="nil"/>
              <w:left w:val="nil"/>
              <w:bottom w:val="single" w:sz="8" w:space="0" w:color="FFFFFF"/>
              <w:right w:val="single" w:sz="8" w:space="0" w:color="FFFFFF"/>
            </w:tcBorders>
            <w:shd w:val="clear" w:color="000000" w:fill="DAE6DC"/>
            <w:vAlign w:val="center"/>
            <w:hideMark/>
          </w:tcPr>
          <w:p w14:paraId="4AB3294D" w14:textId="77777777" w:rsidR="00F24531" w:rsidRPr="00B14524" w:rsidRDefault="00F24531" w:rsidP="004653FC">
            <w:pPr>
              <w:spacing w:after="0" w:line="240" w:lineRule="auto"/>
              <w:jc w:val="center"/>
              <w:rPr>
                <w:rFonts w:ascii="Calibri" w:eastAsia="Times New Roman" w:hAnsi="Calibri" w:cs="Calibri"/>
                <w:color w:val="000000"/>
                <w:sz w:val="20"/>
                <w:szCs w:val="20"/>
                <w:lang w:eastAsia="en-GB"/>
              </w:rPr>
            </w:pPr>
            <w:r w:rsidRPr="00B14524">
              <w:rPr>
                <w:rFonts w:ascii="Calibri" w:eastAsia="Times New Roman" w:hAnsi="Calibri" w:cs="Calibri"/>
                <w:color w:val="000000"/>
                <w:sz w:val="20"/>
                <w:szCs w:val="20"/>
                <w:lang w:val="en-GB" w:eastAsia="en-GB"/>
              </w:rPr>
              <w:t> </w:t>
            </w:r>
          </w:p>
        </w:tc>
        <w:tc>
          <w:tcPr>
            <w:tcW w:w="1276" w:type="dxa"/>
            <w:tcBorders>
              <w:top w:val="nil"/>
              <w:left w:val="nil"/>
              <w:bottom w:val="single" w:sz="8" w:space="0" w:color="FFFFFF"/>
              <w:right w:val="single" w:sz="8" w:space="0" w:color="FFFFFF"/>
            </w:tcBorders>
            <w:shd w:val="clear" w:color="000000" w:fill="DAE6DC"/>
            <w:vAlign w:val="center"/>
            <w:hideMark/>
          </w:tcPr>
          <w:p w14:paraId="56445C4B" w14:textId="77777777" w:rsidR="00F24531" w:rsidRPr="00B14524" w:rsidRDefault="00F24531" w:rsidP="004653FC">
            <w:pPr>
              <w:spacing w:after="0" w:line="240" w:lineRule="auto"/>
              <w:jc w:val="center"/>
              <w:rPr>
                <w:rFonts w:ascii="Calibri" w:eastAsia="Times New Roman" w:hAnsi="Calibri" w:cs="Calibri"/>
                <w:color w:val="000000"/>
                <w:sz w:val="20"/>
                <w:szCs w:val="20"/>
                <w:lang w:eastAsia="en-GB"/>
              </w:rPr>
            </w:pPr>
            <w:r w:rsidRPr="00B14524">
              <w:rPr>
                <w:rFonts w:ascii="Calibri" w:eastAsia="Times New Roman" w:hAnsi="Calibri" w:cs="Calibri"/>
                <w:color w:val="000000"/>
                <w:sz w:val="20"/>
                <w:szCs w:val="20"/>
                <w:lang w:val="en-GB" w:eastAsia="en-GB"/>
              </w:rPr>
              <w:t> </w:t>
            </w:r>
          </w:p>
        </w:tc>
        <w:tc>
          <w:tcPr>
            <w:tcW w:w="1276" w:type="dxa"/>
            <w:tcBorders>
              <w:top w:val="nil"/>
              <w:left w:val="nil"/>
              <w:bottom w:val="single" w:sz="8" w:space="0" w:color="FFFFFF"/>
              <w:right w:val="single" w:sz="8" w:space="0" w:color="FFFFFF"/>
            </w:tcBorders>
            <w:shd w:val="clear" w:color="000000" w:fill="DAE6DC"/>
            <w:vAlign w:val="center"/>
            <w:hideMark/>
          </w:tcPr>
          <w:p w14:paraId="1795839D" w14:textId="77777777" w:rsidR="00F24531" w:rsidRPr="00B14524" w:rsidRDefault="00F24531" w:rsidP="004653FC">
            <w:pPr>
              <w:spacing w:after="0" w:line="240" w:lineRule="auto"/>
              <w:jc w:val="center"/>
              <w:rPr>
                <w:rFonts w:ascii="Calibri" w:eastAsia="Times New Roman" w:hAnsi="Calibri" w:cs="Calibri"/>
                <w:color w:val="000000"/>
                <w:sz w:val="20"/>
                <w:szCs w:val="20"/>
                <w:lang w:eastAsia="en-GB"/>
              </w:rPr>
            </w:pPr>
            <w:r w:rsidRPr="00B14524">
              <w:rPr>
                <w:rFonts w:ascii="Calibri" w:eastAsia="Times New Roman" w:hAnsi="Calibri" w:cs="Calibri"/>
                <w:color w:val="000000"/>
                <w:sz w:val="20"/>
                <w:szCs w:val="20"/>
                <w:lang w:eastAsia="en-GB"/>
              </w:rPr>
              <w:t> </w:t>
            </w:r>
          </w:p>
        </w:tc>
      </w:tr>
      <w:tr w:rsidR="00F24531" w:rsidRPr="00B14524" w14:paraId="577DE537" w14:textId="77777777" w:rsidTr="004653FC">
        <w:trPr>
          <w:trHeight w:val="340"/>
        </w:trPr>
        <w:tc>
          <w:tcPr>
            <w:tcW w:w="1300" w:type="dxa"/>
            <w:vMerge/>
            <w:tcBorders>
              <w:top w:val="single" w:sz="8" w:space="0" w:color="FFFFFF"/>
              <w:left w:val="single" w:sz="8" w:space="0" w:color="FFFFFF"/>
              <w:bottom w:val="nil"/>
              <w:right w:val="single" w:sz="8" w:space="0" w:color="FFFFFF"/>
            </w:tcBorders>
            <w:vAlign w:val="center"/>
            <w:hideMark/>
          </w:tcPr>
          <w:p w14:paraId="7B569C61" w14:textId="77777777" w:rsidR="00F24531" w:rsidRPr="00FF6F7D" w:rsidRDefault="00F24531" w:rsidP="004653FC">
            <w:pPr>
              <w:spacing w:after="0" w:line="240" w:lineRule="auto"/>
              <w:rPr>
                <w:rFonts w:ascii="Arial" w:eastAsia="Times New Roman" w:hAnsi="Arial" w:cs="Arial"/>
                <w:b/>
                <w:bCs/>
                <w:color w:val="F2F2F2"/>
                <w:sz w:val="20"/>
                <w:szCs w:val="20"/>
                <w:lang w:eastAsia="en-GB"/>
              </w:rPr>
            </w:pPr>
          </w:p>
        </w:tc>
        <w:tc>
          <w:tcPr>
            <w:tcW w:w="958" w:type="dxa"/>
            <w:tcBorders>
              <w:top w:val="nil"/>
              <w:left w:val="nil"/>
              <w:bottom w:val="single" w:sz="8" w:space="0" w:color="FFFFFF"/>
              <w:right w:val="single" w:sz="8" w:space="0" w:color="FFFFFF"/>
            </w:tcBorders>
            <w:shd w:val="clear" w:color="000000" w:fill="F3F8F4"/>
            <w:vAlign w:val="center"/>
            <w:hideMark/>
          </w:tcPr>
          <w:p w14:paraId="44BA2C73" w14:textId="77777777" w:rsidR="00F24531" w:rsidRPr="00B14524" w:rsidRDefault="00F24531" w:rsidP="004653FC">
            <w:pPr>
              <w:spacing w:after="0" w:line="240" w:lineRule="auto"/>
              <w:jc w:val="center"/>
              <w:rPr>
                <w:rFonts w:ascii="Calibri" w:eastAsia="Times New Roman" w:hAnsi="Calibri" w:cs="Calibri"/>
                <w:b/>
                <w:bCs/>
                <w:color w:val="0DA03E"/>
                <w:sz w:val="24"/>
                <w:szCs w:val="24"/>
                <w:lang w:eastAsia="en-GB"/>
              </w:rPr>
            </w:pPr>
            <w:r w:rsidRPr="00B14524">
              <w:rPr>
                <w:rFonts w:ascii="Calibri" w:eastAsia="Times New Roman" w:hAnsi="Calibri" w:cs="Calibri"/>
                <w:b/>
                <w:bCs/>
                <w:color w:val="0DA03E"/>
                <w:sz w:val="24"/>
                <w:szCs w:val="24"/>
                <w:lang w:val="en-GB" w:eastAsia="en-GB"/>
              </w:rPr>
              <w:t>2.3</w:t>
            </w:r>
          </w:p>
        </w:tc>
        <w:tc>
          <w:tcPr>
            <w:tcW w:w="3686" w:type="dxa"/>
            <w:tcBorders>
              <w:top w:val="nil"/>
              <w:left w:val="nil"/>
              <w:bottom w:val="single" w:sz="8" w:space="0" w:color="FFFFFF"/>
              <w:right w:val="single" w:sz="8" w:space="0" w:color="FFFFFF"/>
            </w:tcBorders>
            <w:shd w:val="clear" w:color="000000" w:fill="F3F8F4"/>
            <w:vAlign w:val="center"/>
            <w:hideMark/>
          </w:tcPr>
          <w:p w14:paraId="35481151" w14:textId="77777777" w:rsidR="00F24531" w:rsidRPr="00B14524" w:rsidRDefault="00F24531" w:rsidP="004653FC">
            <w:pPr>
              <w:spacing w:after="0" w:line="240" w:lineRule="auto"/>
              <w:rPr>
                <w:rFonts w:ascii="Calibri" w:eastAsia="Times New Roman" w:hAnsi="Calibri" w:cs="Calibri"/>
                <w:color w:val="000000"/>
                <w:sz w:val="20"/>
                <w:szCs w:val="20"/>
                <w:lang w:eastAsia="en-GB"/>
              </w:rPr>
            </w:pPr>
            <w:r w:rsidRPr="00B14524">
              <w:rPr>
                <w:rFonts w:ascii="Calibri" w:eastAsia="Times New Roman" w:hAnsi="Calibri" w:cs="Calibri"/>
                <w:color w:val="000000"/>
                <w:sz w:val="20"/>
                <w:szCs w:val="20"/>
                <w:lang w:eastAsia="en-GB"/>
              </w:rPr>
              <w:t>Biomaterials - High valorisation</w:t>
            </w:r>
          </w:p>
        </w:tc>
        <w:tc>
          <w:tcPr>
            <w:tcW w:w="850" w:type="dxa"/>
            <w:tcBorders>
              <w:top w:val="nil"/>
              <w:left w:val="nil"/>
              <w:bottom w:val="single" w:sz="8" w:space="0" w:color="FFFFFF"/>
              <w:right w:val="single" w:sz="8" w:space="0" w:color="FFFFFF"/>
            </w:tcBorders>
            <w:shd w:val="clear" w:color="000000" w:fill="F3F8F4"/>
            <w:vAlign w:val="center"/>
            <w:hideMark/>
          </w:tcPr>
          <w:p w14:paraId="28CD2C97" w14:textId="77777777" w:rsidR="00F24531" w:rsidRPr="00B14524" w:rsidRDefault="00F24531" w:rsidP="004653FC">
            <w:pPr>
              <w:spacing w:after="0" w:line="240" w:lineRule="auto"/>
              <w:jc w:val="center"/>
              <w:rPr>
                <w:rFonts w:ascii="Calibri" w:eastAsia="Times New Roman" w:hAnsi="Calibri" w:cs="Calibri"/>
                <w:color w:val="000000"/>
                <w:sz w:val="20"/>
                <w:szCs w:val="20"/>
                <w:lang w:eastAsia="en-GB"/>
              </w:rPr>
            </w:pPr>
            <w:r w:rsidRPr="00B14524">
              <w:rPr>
                <w:rFonts w:ascii="Calibri" w:eastAsia="Times New Roman" w:hAnsi="Calibri" w:cs="Calibri"/>
                <w:color w:val="000000"/>
                <w:sz w:val="20"/>
                <w:szCs w:val="20"/>
                <w:lang w:eastAsia="en-GB"/>
              </w:rPr>
              <w:t> </w:t>
            </w:r>
          </w:p>
        </w:tc>
        <w:tc>
          <w:tcPr>
            <w:tcW w:w="1276" w:type="dxa"/>
            <w:tcBorders>
              <w:top w:val="nil"/>
              <w:left w:val="nil"/>
              <w:bottom w:val="single" w:sz="8" w:space="0" w:color="FFFFFF"/>
              <w:right w:val="single" w:sz="8" w:space="0" w:color="FFFFFF"/>
            </w:tcBorders>
            <w:shd w:val="clear" w:color="000000" w:fill="F3F8F4"/>
            <w:vAlign w:val="center"/>
            <w:hideMark/>
          </w:tcPr>
          <w:p w14:paraId="6234605D" w14:textId="77777777" w:rsidR="00F24531" w:rsidRPr="00B14524" w:rsidRDefault="00F24531" w:rsidP="004653FC">
            <w:pPr>
              <w:spacing w:after="0" w:line="240" w:lineRule="auto"/>
              <w:jc w:val="center"/>
              <w:rPr>
                <w:rFonts w:ascii="Calibri" w:eastAsia="Times New Roman" w:hAnsi="Calibri" w:cs="Calibri"/>
                <w:color w:val="000000"/>
                <w:sz w:val="20"/>
                <w:szCs w:val="20"/>
                <w:lang w:eastAsia="en-GB"/>
              </w:rPr>
            </w:pPr>
            <w:r w:rsidRPr="00B14524">
              <w:rPr>
                <w:rFonts w:ascii="Calibri" w:eastAsia="Times New Roman" w:hAnsi="Calibri" w:cs="Calibri"/>
                <w:color w:val="000000"/>
                <w:sz w:val="20"/>
                <w:szCs w:val="20"/>
                <w:lang w:eastAsia="en-GB"/>
              </w:rPr>
              <w:t>5%</w:t>
            </w:r>
          </w:p>
        </w:tc>
        <w:tc>
          <w:tcPr>
            <w:tcW w:w="1276" w:type="dxa"/>
            <w:tcBorders>
              <w:top w:val="nil"/>
              <w:left w:val="nil"/>
              <w:bottom w:val="single" w:sz="8" w:space="0" w:color="FFFFFF"/>
              <w:right w:val="single" w:sz="8" w:space="0" w:color="FFFFFF"/>
            </w:tcBorders>
            <w:shd w:val="clear" w:color="000000" w:fill="F3F8F4"/>
            <w:vAlign w:val="center"/>
            <w:hideMark/>
          </w:tcPr>
          <w:p w14:paraId="0E61C2E1" w14:textId="77777777" w:rsidR="00F24531" w:rsidRPr="00B14524" w:rsidRDefault="00F24531" w:rsidP="004653FC">
            <w:pPr>
              <w:spacing w:after="0" w:line="240" w:lineRule="auto"/>
              <w:jc w:val="center"/>
              <w:rPr>
                <w:rFonts w:ascii="Calibri" w:eastAsia="Times New Roman" w:hAnsi="Calibri" w:cs="Calibri"/>
                <w:color w:val="000000"/>
                <w:sz w:val="20"/>
                <w:szCs w:val="20"/>
                <w:lang w:eastAsia="en-GB"/>
              </w:rPr>
            </w:pPr>
            <w:r w:rsidRPr="00B14524">
              <w:rPr>
                <w:rFonts w:ascii="Calibri" w:eastAsia="Times New Roman" w:hAnsi="Calibri" w:cs="Calibri"/>
                <w:color w:val="000000"/>
                <w:sz w:val="20"/>
                <w:szCs w:val="20"/>
                <w:lang w:eastAsia="en-GB"/>
              </w:rPr>
              <w:t>25%</w:t>
            </w:r>
          </w:p>
        </w:tc>
      </w:tr>
      <w:tr w:rsidR="00F24531" w:rsidRPr="00B14524" w14:paraId="4B7FF3EB" w14:textId="77777777" w:rsidTr="004653FC">
        <w:trPr>
          <w:trHeight w:val="620"/>
        </w:trPr>
        <w:tc>
          <w:tcPr>
            <w:tcW w:w="1300" w:type="dxa"/>
            <w:vMerge/>
            <w:tcBorders>
              <w:top w:val="single" w:sz="8" w:space="0" w:color="FFFFFF"/>
              <w:left w:val="single" w:sz="8" w:space="0" w:color="FFFFFF"/>
              <w:bottom w:val="nil"/>
              <w:right w:val="single" w:sz="8" w:space="0" w:color="FFFFFF"/>
            </w:tcBorders>
            <w:vAlign w:val="center"/>
            <w:hideMark/>
          </w:tcPr>
          <w:p w14:paraId="13CF40A8" w14:textId="77777777" w:rsidR="00F24531" w:rsidRPr="00FF6F7D" w:rsidRDefault="00F24531" w:rsidP="004653FC">
            <w:pPr>
              <w:spacing w:after="0" w:line="240" w:lineRule="auto"/>
              <w:rPr>
                <w:rFonts w:ascii="Arial" w:eastAsia="Times New Roman" w:hAnsi="Arial" w:cs="Arial"/>
                <w:b/>
                <w:bCs/>
                <w:color w:val="F2F2F2"/>
                <w:sz w:val="20"/>
                <w:szCs w:val="20"/>
                <w:lang w:eastAsia="en-GB"/>
              </w:rPr>
            </w:pPr>
          </w:p>
        </w:tc>
        <w:tc>
          <w:tcPr>
            <w:tcW w:w="958" w:type="dxa"/>
            <w:tcBorders>
              <w:top w:val="nil"/>
              <w:left w:val="nil"/>
              <w:bottom w:val="single" w:sz="8" w:space="0" w:color="FFFFFF"/>
              <w:right w:val="single" w:sz="8" w:space="0" w:color="FFFFFF"/>
            </w:tcBorders>
            <w:shd w:val="clear" w:color="000000" w:fill="DAE8DC"/>
            <w:vAlign w:val="center"/>
            <w:hideMark/>
          </w:tcPr>
          <w:p w14:paraId="10F02010" w14:textId="77777777" w:rsidR="00F24531" w:rsidRPr="00B14524" w:rsidRDefault="00F24531" w:rsidP="004653FC">
            <w:pPr>
              <w:spacing w:after="0" w:line="240" w:lineRule="auto"/>
              <w:jc w:val="center"/>
              <w:rPr>
                <w:rFonts w:ascii="Calibri" w:eastAsia="Times New Roman" w:hAnsi="Calibri" w:cs="Calibri"/>
                <w:b/>
                <w:bCs/>
                <w:color w:val="0DA03E"/>
                <w:sz w:val="24"/>
                <w:szCs w:val="24"/>
                <w:lang w:eastAsia="en-GB"/>
              </w:rPr>
            </w:pPr>
            <w:r w:rsidRPr="00B14524">
              <w:rPr>
                <w:rFonts w:ascii="Calibri" w:eastAsia="Times New Roman" w:hAnsi="Calibri" w:cs="Calibri"/>
                <w:b/>
                <w:bCs/>
                <w:color w:val="0DA03E"/>
                <w:sz w:val="24"/>
                <w:szCs w:val="24"/>
                <w:lang w:val="en-GB" w:eastAsia="en-GB"/>
              </w:rPr>
              <w:t>2.4</w:t>
            </w:r>
          </w:p>
        </w:tc>
        <w:tc>
          <w:tcPr>
            <w:tcW w:w="3686" w:type="dxa"/>
            <w:tcBorders>
              <w:top w:val="nil"/>
              <w:left w:val="nil"/>
              <w:bottom w:val="single" w:sz="8" w:space="0" w:color="FFFFFF"/>
              <w:right w:val="single" w:sz="8" w:space="0" w:color="FFFFFF"/>
            </w:tcBorders>
            <w:shd w:val="clear" w:color="000000" w:fill="DAE8DC"/>
            <w:vAlign w:val="center"/>
            <w:hideMark/>
          </w:tcPr>
          <w:p w14:paraId="670AADAC" w14:textId="77777777" w:rsidR="00F24531" w:rsidRPr="00B14524" w:rsidRDefault="00F24531" w:rsidP="004653FC">
            <w:pPr>
              <w:spacing w:after="0" w:line="240" w:lineRule="auto"/>
              <w:rPr>
                <w:rFonts w:ascii="Calibri" w:eastAsia="Times New Roman" w:hAnsi="Calibri" w:cs="Calibri"/>
                <w:color w:val="000000"/>
                <w:sz w:val="20"/>
                <w:szCs w:val="20"/>
                <w:lang w:eastAsia="en-GB"/>
              </w:rPr>
            </w:pPr>
            <w:r w:rsidRPr="00B14524">
              <w:rPr>
                <w:rFonts w:ascii="Calibri" w:eastAsia="Times New Roman" w:hAnsi="Calibri" w:cs="Calibri"/>
                <w:color w:val="000000"/>
                <w:sz w:val="20"/>
                <w:szCs w:val="20"/>
                <w:lang w:eastAsia="en-GB"/>
              </w:rPr>
              <w:t>Increase utilisation of manufacturing waste streams</w:t>
            </w:r>
          </w:p>
        </w:tc>
        <w:tc>
          <w:tcPr>
            <w:tcW w:w="850" w:type="dxa"/>
            <w:tcBorders>
              <w:top w:val="nil"/>
              <w:left w:val="nil"/>
              <w:bottom w:val="single" w:sz="8" w:space="0" w:color="FFFFFF"/>
              <w:right w:val="single" w:sz="8" w:space="0" w:color="FFFFFF"/>
            </w:tcBorders>
            <w:shd w:val="clear" w:color="000000" w:fill="DAE8DC"/>
            <w:vAlign w:val="center"/>
            <w:hideMark/>
          </w:tcPr>
          <w:p w14:paraId="1FB5919A" w14:textId="77777777" w:rsidR="00F24531" w:rsidRPr="00B14524" w:rsidRDefault="00F24531" w:rsidP="004653FC">
            <w:pPr>
              <w:spacing w:after="0" w:line="240" w:lineRule="auto"/>
              <w:jc w:val="center"/>
              <w:rPr>
                <w:rFonts w:ascii="Calibri" w:eastAsia="Times New Roman" w:hAnsi="Calibri" w:cs="Calibri"/>
                <w:color w:val="000000"/>
                <w:sz w:val="20"/>
                <w:szCs w:val="20"/>
                <w:lang w:eastAsia="en-GB"/>
              </w:rPr>
            </w:pPr>
            <w:r w:rsidRPr="00B14524">
              <w:rPr>
                <w:rFonts w:ascii="Calibri" w:eastAsia="Times New Roman" w:hAnsi="Calibri" w:cs="Calibri"/>
                <w:color w:val="000000"/>
                <w:sz w:val="20"/>
                <w:szCs w:val="20"/>
                <w:lang w:eastAsia="en-GB"/>
              </w:rPr>
              <w:t> </w:t>
            </w:r>
          </w:p>
        </w:tc>
        <w:tc>
          <w:tcPr>
            <w:tcW w:w="1276" w:type="dxa"/>
            <w:tcBorders>
              <w:top w:val="nil"/>
              <w:left w:val="nil"/>
              <w:bottom w:val="single" w:sz="8" w:space="0" w:color="FFFFFF"/>
              <w:right w:val="single" w:sz="8" w:space="0" w:color="FFFFFF"/>
            </w:tcBorders>
            <w:shd w:val="clear" w:color="000000" w:fill="DAE8DC"/>
            <w:vAlign w:val="center"/>
            <w:hideMark/>
          </w:tcPr>
          <w:p w14:paraId="139F8CED" w14:textId="77777777" w:rsidR="00F24531" w:rsidRPr="00B14524" w:rsidRDefault="00F24531" w:rsidP="004653FC">
            <w:pPr>
              <w:spacing w:after="0" w:line="240" w:lineRule="auto"/>
              <w:jc w:val="center"/>
              <w:rPr>
                <w:rFonts w:ascii="Calibri" w:eastAsia="Times New Roman" w:hAnsi="Calibri" w:cs="Calibri"/>
                <w:color w:val="000000"/>
                <w:sz w:val="20"/>
                <w:szCs w:val="20"/>
                <w:lang w:eastAsia="en-GB"/>
              </w:rPr>
            </w:pPr>
            <w:r w:rsidRPr="00B14524">
              <w:rPr>
                <w:rFonts w:ascii="Calibri" w:eastAsia="Times New Roman" w:hAnsi="Calibri" w:cs="Calibri"/>
                <w:color w:val="000000"/>
                <w:sz w:val="20"/>
                <w:szCs w:val="20"/>
                <w:lang w:eastAsia="en-GB"/>
              </w:rPr>
              <w:t>30%</w:t>
            </w:r>
          </w:p>
        </w:tc>
        <w:tc>
          <w:tcPr>
            <w:tcW w:w="1276" w:type="dxa"/>
            <w:tcBorders>
              <w:top w:val="nil"/>
              <w:left w:val="nil"/>
              <w:bottom w:val="single" w:sz="8" w:space="0" w:color="FFFFFF"/>
              <w:right w:val="single" w:sz="8" w:space="0" w:color="FFFFFF"/>
            </w:tcBorders>
            <w:shd w:val="clear" w:color="000000" w:fill="DAE8DC"/>
            <w:vAlign w:val="center"/>
            <w:hideMark/>
          </w:tcPr>
          <w:p w14:paraId="6AEE1A9D" w14:textId="77777777" w:rsidR="00F24531" w:rsidRPr="00B14524" w:rsidRDefault="00F24531" w:rsidP="004653FC">
            <w:pPr>
              <w:spacing w:after="0" w:line="240" w:lineRule="auto"/>
              <w:jc w:val="center"/>
              <w:rPr>
                <w:rFonts w:ascii="Calibri" w:eastAsia="Times New Roman" w:hAnsi="Calibri" w:cs="Calibri"/>
                <w:color w:val="000000"/>
                <w:sz w:val="20"/>
                <w:szCs w:val="20"/>
                <w:lang w:eastAsia="en-GB"/>
              </w:rPr>
            </w:pPr>
            <w:r w:rsidRPr="00B14524">
              <w:rPr>
                <w:rFonts w:ascii="Calibri" w:eastAsia="Times New Roman" w:hAnsi="Calibri" w:cs="Calibri"/>
                <w:color w:val="000000"/>
                <w:sz w:val="20"/>
                <w:szCs w:val="20"/>
                <w:lang w:eastAsia="en-GB"/>
              </w:rPr>
              <w:t> </w:t>
            </w:r>
          </w:p>
        </w:tc>
      </w:tr>
      <w:tr w:rsidR="00F24531" w:rsidRPr="00B14524" w14:paraId="1B807CDF" w14:textId="77777777" w:rsidTr="004653FC">
        <w:trPr>
          <w:trHeight w:val="340"/>
        </w:trPr>
        <w:tc>
          <w:tcPr>
            <w:tcW w:w="1300" w:type="dxa"/>
            <w:vMerge/>
            <w:tcBorders>
              <w:top w:val="single" w:sz="8" w:space="0" w:color="FFFFFF"/>
              <w:left w:val="single" w:sz="8" w:space="0" w:color="FFFFFF"/>
              <w:bottom w:val="nil"/>
              <w:right w:val="single" w:sz="8" w:space="0" w:color="FFFFFF"/>
            </w:tcBorders>
            <w:vAlign w:val="center"/>
            <w:hideMark/>
          </w:tcPr>
          <w:p w14:paraId="06BD5405" w14:textId="77777777" w:rsidR="00F24531" w:rsidRPr="00FF6F7D" w:rsidRDefault="00F24531" w:rsidP="004653FC">
            <w:pPr>
              <w:spacing w:after="0" w:line="240" w:lineRule="auto"/>
              <w:rPr>
                <w:rFonts w:ascii="Arial" w:eastAsia="Times New Roman" w:hAnsi="Arial" w:cs="Arial"/>
                <w:b/>
                <w:bCs/>
                <w:color w:val="F2F2F2"/>
                <w:sz w:val="20"/>
                <w:szCs w:val="20"/>
                <w:lang w:eastAsia="en-GB"/>
              </w:rPr>
            </w:pPr>
          </w:p>
        </w:tc>
        <w:tc>
          <w:tcPr>
            <w:tcW w:w="958" w:type="dxa"/>
            <w:tcBorders>
              <w:top w:val="nil"/>
              <w:left w:val="nil"/>
              <w:bottom w:val="single" w:sz="8" w:space="0" w:color="FFFFFF"/>
              <w:right w:val="single" w:sz="8" w:space="0" w:color="FFFFFF"/>
            </w:tcBorders>
            <w:shd w:val="clear" w:color="000000" w:fill="F3F9F4"/>
            <w:vAlign w:val="center"/>
            <w:hideMark/>
          </w:tcPr>
          <w:p w14:paraId="284CE888" w14:textId="77777777" w:rsidR="00F24531" w:rsidRPr="00B14524" w:rsidRDefault="00F24531" w:rsidP="004653FC">
            <w:pPr>
              <w:spacing w:after="0" w:line="240" w:lineRule="auto"/>
              <w:jc w:val="center"/>
              <w:rPr>
                <w:rFonts w:ascii="Calibri" w:eastAsia="Times New Roman" w:hAnsi="Calibri" w:cs="Calibri"/>
                <w:b/>
                <w:bCs/>
                <w:color w:val="0DA03E"/>
                <w:sz w:val="24"/>
                <w:szCs w:val="24"/>
                <w:lang w:eastAsia="en-GB"/>
              </w:rPr>
            </w:pPr>
            <w:r w:rsidRPr="00B14524">
              <w:rPr>
                <w:rFonts w:ascii="Calibri" w:eastAsia="Times New Roman" w:hAnsi="Calibri" w:cs="Calibri"/>
                <w:b/>
                <w:bCs/>
                <w:color w:val="0DA03E"/>
                <w:sz w:val="24"/>
                <w:szCs w:val="24"/>
                <w:lang w:eastAsia="en-GB"/>
              </w:rPr>
              <w:t>2.5</w:t>
            </w:r>
          </w:p>
        </w:tc>
        <w:tc>
          <w:tcPr>
            <w:tcW w:w="3686" w:type="dxa"/>
            <w:tcBorders>
              <w:top w:val="nil"/>
              <w:left w:val="nil"/>
              <w:bottom w:val="single" w:sz="8" w:space="0" w:color="FFFFFF"/>
              <w:right w:val="single" w:sz="8" w:space="0" w:color="FFFFFF"/>
            </w:tcBorders>
            <w:shd w:val="clear" w:color="000000" w:fill="F3F9F4"/>
            <w:vAlign w:val="center"/>
            <w:hideMark/>
          </w:tcPr>
          <w:p w14:paraId="29818366" w14:textId="77777777" w:rsidR="00F24531" w:rsidRPr="00B14524" w:rsidRDefault="00F24531" w:rsidP="004653FC">
            <w:pPr>
              <w:spacing w:after="0" w:line="240" w:lineRule="auto"/>
              <w:rPr>
                <w:rFonts w:ascii="Calibri" w:eastAsia="Times New Roman" w:hAnsi="Calibri" w:cs="Calibri"/>
                <w:color w:val="000000"/>
                <w:sz w:val="20"/>
                <w:szCs w:val="20"/>
                <w:lang w:eastAsia="en-GB"/>
              </w:rPr>
            </w:pPr>
            <w:r w:rsidRPr="00B14524">
              <w:rPr>
                <w:rFonts w:ascii="Calibri" w:eastAsia="Times New Roman" w:hAnsi="Calibri" w:cs="Calibri"/>
                <w:color w:val="000000"/>
                <w:sz w:val="20"/>
                <w:szCs w:val="20"/>
                <w:lang w:eastAsia="en-GB"/>
              </w:rPr>
              <w:t>Increase food waste to animal feed</w:t>
            </w:r>
          </w:p>
        </w:tc>
        <w:tc>
          <w:tcPr>
            <w:tcW w:w="850" w:type="dxa"/>
            <w:tcBorders>
              <w:top w:val="nil"/>
              <w:left w:val="nil"/>
              <w:bottom w:val="single" w:sz="8" w:space="0" w:color="FFFFFF"/>
              <w:right w:val="single" w:sz="8" w:space="0" w:color="FFFFFF"/>
            </w:tcBorders>
            <w:shd w:val="clear" w:color="000000" w:fill="F3F9F4"/>
            <w:vAlign w:val="center"/>
            <w:hideMark/>
          </w:tcPr>
          <w:p w14:paraId="689A994C" w14:textId="77777777" w:rsidR="00F24531" w:rsidRPr="00B14524" w:rsidRDefault="00F24531" w:rsidP="004653FC">
            <w:pPr>
              <w:spacing w:after="0" w:line="240" w:lineRule="auto"/>
              <w:jc w:val="center"/>
              <w:rPr>
                <w:rFonts w:ascii="Calibri" w:eastAsia="Times New Roman" w:hAnsi="Calibri" w:cs="Calibri"/>
                <w:color w:val="000000"/>
                <w:sz w:val="20"/>
                <w:szCs w:val="20"/>
                <w:lang w:eastAsia="en-GB"/>
              </w:rPr>
            </w:pPr>
            <w:r w:rsidRPr="00B14524">
              <w:rPr>
                <w:rFonts w:ascii="Calibri" w:eastAsia="Times New Roman" w:hAnsi="Calibri" w:cs="Calibri"/>
                <w:color w:val="000000"/>
                <w:sz w:val="20"/>
                <w:szCs w:val="20"/>
                <w:lang w:eastAsia="en-GB"/>
              </w:rPr>
              <w:t>3934</w:t>
            </w:r>
          </w:p>
        </w:tc>
        <w:tc>
          <w:tcPr>
            <w:tcW w:w="1276" w:type="dxa"/>
            <w:tcBorders>
              <w:top w:val="nil"/>
              <w:left w:val="nil"/>
              <w:bottom w:val="single" w:sz="8" w:space="0" w:color="FFFFFF"/>
              <w:right w:val="single" w:sz="8" w:space="0" w:color="FFFFFF"/>
            </w:tcBorders>
            <w:shd w:val="clear" w:color="000000" w:fill="F3F9F4"/>
            <w:vAlign w:val="center"/>
            <w:hideMark/>
          </w:tcPr>
          <w:p w14:paraId="0DF7F020" w14:textId="77777777" w:rsidR="00F24531" w:rsidRPr="00B14524" w:rsidRDefault="00F24531" w:rsidP="004653FC">
            <w:pPr>
              <w:spacing w:after="0" w:line="240" w:lineRule="auto"/>
              <w:jc w:val="center"/>
              <w:rPr>
                <w:rFonts w:ascii="Calibri" w:eastAsia="Times New Roman" w:hAnsi="Calibri" w:cs="Calibri"/>
                <w:color w:val="000000"/>
                <w:sz w:val="20"/>
                <w:szCs w:val="20"/>
                <w:lang w:eastAsia="en-GB"/>
              </w:rPr>
            </w:pPr>
            <w:r w:rsidRPr="00B14524">
              <w:rPr>
                <w:rFonts w:ascii="Calibri" w:eastAsia="Times New Roman" w:hAnsi="Calibri" w:cs="Calibri"/>
                <w:color w:val="000000"/>
                <w:sz w:val="20"/>
                <w:szCs w:val="20"/>
                <w:lang w:eastAsia="en-GB"/>
              </w:rPr>
              <w:t>30%</w:t>
            </w:r>
          </w:p>
        </w:tc>
        <w:tc>
          <w:tcPr>
            <w:tcW w:w="1276" w:type="dxa"/>
            <w:tcBorders>
              <w:top w:val="nil"/>
              <w:left w:val="nil"/>
              <w:bottom w:val="single" w:sz="8" w:space="0" w:color="FFFFFF"/>
              <w:right w:val="single" w:sz="8" w:space="0" w:color="FFFFFF"/>
            </w:tcBorders>
            <w:shd w:val="clear" w:color="000000" w:fill="F3F9F4"/>
            <w:vAlign w:val="center"/>
            <w:hideMark/>
          </w:tcPr>
          <w:p w14:paraId="7BC3A43C" w14:textId="77777777" w:rsidR="00F24531" w:rsidRPr="00B14524" w:rsidRDefault="00F24531" w:rsidP="004653FC">
            <w:pPr>
              <w:spacing w:after="0" w:line="240" w:lineRule="auto"/>
              <w:jc w:val="center"/>
              <w:rPr>
                <w:rFonts w:ascii="Calibri" w:eastAsia="Times New Roman" w:hAnsi="Calibri" w:cs="Calibri"/>
                <w:color w:val="000000"/>
                <w:sz w:val="20"/>
                <w:szCs w:val="20"/>
                <w:lang w:eastAsia="en-GB"/>
              </w:rPr>
            </w:pPr>
            <w:r w:rsidRPr="00B14524">
              <w:rPr>
                <w:rFonts w:ascii="Calibri" w:eastAsia="Times New Roman" w:hAnsi="Calibri" w:cs="Calibri"/>
                <w:color w:val="000000"/>
                <w:sz w:val="20"/>
                <w:szCs w:val="20"/>
                <w:lang w:eastAsia="en-GB"/>
              </w:rPr>
              <w:t> </w:t>
            </w:r>
          </w:p>
        </w:tc>
      </w:tr>
      <w:tr w:rsidR="00F24531" w:rsidRPr="00B14524" w14:paraId="70E73F06" w14:textId="77777777" w:rsidTr="004653FC">
        <w:trPr>
          <w:trHeight w:val="620"/>
        </w:trPr>
        <w:tc>
          <w:tcPr>
            <w:tcW w:w="1300" w:type="dxa"/>
            <w:vMerge/>
            <w:tcBorders>
              <w:top w:val="single" w:sz="8" w:space="0" w:color="FFFFFF"/>
              <w:left w:val="single" w:sz="8" w:space="0" w:color="FFFFFF"/>
              <w:bottom w:val="nil"/>
              <w:right w:val="single" w:sz="8" w:space="0" w:color="FFFFFF"/>
            </w:tcBorders>
            <w:vAlign w:val="center"/>
            <w:hideMark/>
          </w:tcPr>
          <w:p w14:paraId="2B434038" w14:textId="77777777" w:rsidR="00F24531" w:rsidRPr="00FF6F7D" w:rsidRDefault="00F24531" w:rsidP="004653FC">
            <w:pPr>
              <w:spacing w:after="0" w:line="240" w:lineRule="auto"/>
              <w:rPr>
                <w:rFonts w:ascii="Arial" w:eastAsia="Times New Roman" w:hAnsi="Arial" w:cs="Arial"/>
                <w:b/>
                <w:bCs/>
                <w:color w:val="F2F2F2"/>
                <w:sz w:val="20"/>
                <w:szCs w:val="20"/>
                <w:lang w:eastAsia="en-GB"/>
              </w:rPr>
            </w:pPr>
          </w:p>
        </w:tc>
        <w:tc>
          <w:tcPr>
            <w:tcW w:w="958" w:type="dxa"/>
            <w:tcBorders>
              <w:top w:val="nil"/>
              <w:left w:val="nil"/>
              <w:bottom w:val="single" w:sz="8" w:space="0" w:color="FFFFFF"/>
              <w:right w:val="single" w:sz="8" w:space="0" w:color="FFFFFF"/>
            </w:tcBorders>
            <w:shd w:val="clear" w:color="000000" w:fill="DAE8DC"/>
            <w:vAlign w:val="center"/>
            <w:hideMark/>
          </w:tcPr>
          <w:p w14:paraId="4E036994" w14:textId="77777777" w:rsidR="00F24531" w:rsidRPr="00B14524" w:rsidRDefault="00F24531" w:rsidP="004653FC">
            <w:pPr>
              <w:spacing w:after="0" w:line="240" w:lineRule="auto"/>
              <w:jc w:val="center"/>
              <w:rPr>
                <w:rFonts w:ascii="Calibri" w:eastAsia="Times New Roman" w:hAnsi="Calibri" w:cs="Calibri"/>
                <w:b/>
                <w:bCs/>
                <w:color w:val="0DA03E"/>
                <w:sz w:val="24"/>
                <w:szCs w:val="24"/>
                <w:lang w:eastAsia="en-GB"/>
              </w:rPr>
            </w:pPr>
            <w:r w:rsidRPr="00B14524">
              <w:rPr>
                <w:rFonts w:ascii="Calibri" w:eastAsia="Times New Roman" w:hAnsi="Calibri" w:cs="Calibri"/>
                <w:b/>
                <w:bCs/>
                <w:color w:val="0DA03E"/>
                <w:sz w:val="24"/>
                <w:szCs w:val="24"/>
                <w:lang w:eastAsia="en-GB"/>
              </w:rPr>
              <w:t>2.6</w:t>
            </w:r>
          </w:p>
        </w:tc>
        <w:tc>
          <w:tcPr>
            <w:tcW w:w="3686" w:type="dxa"/>
            <w:tcBorders>
              <w:top w:val="nil"/>
              <w:left w:val="nil"/>
              <w:bottom w:val="single" w:sz="8" w:space="0" w:color="FFFFFF"/>
              <w:right w:val="single" w:sz="8" w:space="0" w:color="FFFFFF"/>
            </w:tcBorders>
            <w:shd w:val="clear" w:color="000000" w:fill="DAE8DC"/>
            <w:vAlign w:val="center"/>
            <w:hideMark/>
          </w:tcPr>
          <w:p w14:paraId="73F6264F" w14:textId="77777777" w:rsidR="00F24531" w:rsidRPr="00B14524" w:rsidRDefault="00F24531" w:rsidP="004653FC">
            <w:pPr>
              <w:spacing w:after="0" w:line="240" w:lineRule="auto"/>
              <w:rPr>
                <w:rFonts w:ascii="Calibri" w:eastAsia="Times New Roman" w:hAnsi="Calibri" w:cs="Calibri"/>
                <w:color w:val="000000"/>
                <w:sz w:val="20"/>
                <w:szCs w:val="20"/>
                <w:lang w:eastAsia="en-GB"/>
              </w:rPr>
            </w:pPr>
            <w:r w:rsidRPr="00B14524">
              <w:rPr>
                <w:rFonts w:ascii="Calibri" w:eastAsia="Times New Roman" w:hAnsi="Calibri" w:cs="Calibri"/>
                <w:color w:val="000000"/>
                <w:sz w:val="20"/>
                <w:szCs w:val="20"/>
                <w:lang w:eastAsia="en-GB"/>
              </w:rPr>
              <w:t>Higher valorisation of on farm/ post-harvest biomass</w:t>
            </w:r>
          </w:p>
        </w:tc>
        <w:tc>
          <w:tcPr>
            <w:tcW w:w="850" w:type="dxa"/>
            <w:tcBorders>
              <w:top w:val="nil"/>
              <w:left w:val="nil"/>
              <w:bottom w:val="single" w:sz="8" w:space="0" w:color="FFFFFF"/>
              <w:right w:val="single" w:sz="8" w:space="0" w:color="FFFFFF"/>
            </w:tcBorders>
            <w:shd w:val="clear" w:color="000000" w:fill="DAE8DC"/>
            <w:vAlign w:val="center"/>
            <w:hideMark/>
          </w:tcPr>
          <w:p w14:paraId="452892D8" w14:textId="77777777" w:rsidR="00F24531" w:rsidRPr="00B14524" w:rsidRDefault="00F24531" w:rsidP="004653FC">
            <w:pPr>
              <w:spacing w:after="0" w:line="240" w:lineRule="auto"/>
              <w:jc w:val="center"/>
              <w:rPr>
                <w:rFonts w:ascii="Calibri" w:eastAsia="Times New Roman" w:hAnsi="Calibri" w:cs="Calibri"/>
                <w:color w:val="000000"/>
                <w:sz w:val="20"/>
                <w:szCs w:val="20"/>
                <w:lang w:eastAsia="en-GB"/>
              </w:rPr>
            </w:pPr>
            <w:r w:rsidRPr="00B14524">
              <w:rPr>
                <w:rFonts w:ascii="Calibri" w:eastAsia="Times New Roman" w:hAnsi="Calibri" w:cs="Calibri"/>
                <w:color w:val="000000"/>
                <w:sz w:val="20"/>
                <w:szCs w:val="20"/>
                <w:lang w:eastAsia="en-GB"/>
              </w:rPr>
              <w:t> </w:t>
            </w:r>
          </w:p>
        </w:tc>
        <w:tc>
          <w:tcPr>
            <w:tcW w:w="1276" w:type="dxa"/>
            <w:tcBorders>
              <w:top w:val="nil"/>
              <w:left w:val="nil"/>
              <w:bottom w:val="single" w:sz="8" w:space="0" w:color="FFFFFF"/>
              <w:right w:val="single" w:sz="8" w:space="0" w:color="FFFFFF"/>
            </w:tcBorders>
            <w:shd w:val="clear" w:color="000000" w:fill="DAE8DC"/>
            <w:vAlign w:val="center"/>
            <w:hideMark/>
          </w:tcPr>
          <w:p w14:paraId="409642E8" w14:textId="77777777" w:rsidR="00F24531" w:rsidRPr="00B14524" w:rsidRDefault="00F24531" w:rsidP="004653FC">
            <w:pPr>
              <w:spacing w:after="0" w:line="240" w:lineRule="auto"/>
              <w:jc w:val="center"/>
              <w:rPr>
                <w:rFonts w:ascii="Calibri" w:eastAsia="Times New Roman" w:hAnsi="Calibri" w:cs="Calibri"/>
                <w:color w:val="000000"/>
                <w:sz w:val="20"/>
                <w:szCs w:val="20"/>
                <w:lang w:eastAsia="en-GB"/>
              </w:rPr>
            </w:pPr>
            <w:r w:rsidRPr="00B14524">
              <w:rPr>
                <w:rFonts w:ascii="Calibri" w:eastAsia="Times New Roman" w:hAnsi="Calibri" w:cs="Calibri"/>
                <w:color w:val="000000"/>
                <w:sz w:val="20"/>
                <w:szCs w:val="20"/>
                <w:lang w:eastAsia="en-GB"/>
              </w:rPr>
              <w:t>5%</w:t>
            </w:r>
          </w:p>
        </w:tc>
        <w:tc>
          <w:tcPr>
            <w:tcW w:w="1276" w:type="dxa"/>
            <w:tcBorders>
              <w:top w:val="nil"/>
              <w:left w:val="nil"/>
              <w:bottom w:val="single" w:sz="8" w:space="0" w:color="FFFFFF"/>
              <w:right w:val="single" w:sz="8" w:space="0" w:color="FFFFFF"/>
            </w:tcBorders>
            <w:shd w:val="clear" w:color="000000" w:fill="DAE8DC"/>
            <w:vAlign w:val="center"/>
            <w:hideMark/>
          </w:tcPr>
          <w:p w14:paraId="5F91A156" w14:textId="77777777" w:rsidR="00F24531" w:rsidRPr="00B14524" w:rsidRDefault="00F24531" w:rsidP="004653FC">
            <w:pPr>
              <w:spacing w:after="0" w:line="240" w:lineRule="auto"/>
              <w:jc w:val="center"/>
              <w:rPr>
                <w:rFonts w:ascii="Calibri" w:eastAsia="Times New Roman" w:hAnsi="Calibri" w:cs="Calibri"/>
                <w:color w:val="000000"/>
                <w:sz w:val="20"/>
                <w:szCs w:val="20"/>
                <w:lang w:eastAsia="en-GB"/>
              </w:rPr>
            </w:pPr>
            <w:r w:rsidRPr="00B14524">
              <w:rPr>
                <w:rFonts w:ascii="Calibri" w:eastAsia="Times New Roman" w:hAnsi="Calibri" w:cs="Calibri"/>
                <w:color w:val="000000"/>
                <w:sz w:val="20"/>
                <w:szCs w:val="20"/>
                <w:lang w:eastAsia="en-GB"/>
              </w:rPr>
              <w:t> </w:t>
            </w:r>
          </w:p>
        </w:tc>
      </w:tr>
      <w:tr w:rsidR="00F24531" w:rsidRPr="00B14524" w14:paraId="3FFFD86C" w14:textId="77777777" w:rsidTr="004653FC">
        <w:trPr>
          <w:trHeight w:val="620"/>
        </w:trPr>
        <w:tc>
          <w:tcPr>
            <w:tcW w:w="1300" w:type="dxa"/>
            <w:vMerge/>
            <w:tcBorders>
              <w:top w:val="single" w:sz="8" w:space="0" w:color="FFFFFF"/>
              <w:left w:val="single" w:sz="8" w:space="0" w:color="FFFFFF"/>
              <w:bottom w:val="nil"/>
              <w:right w:val="single" w:sz="8" w:space="0" w:color="FFFFFF"/>
            </w:tcBorders>
            <w:vAlign w:val="center"/>
            <w:hideMark/>
          </w:tcPr>
          <w:p w14:paraId="7269C0C3" w14:textId="77777777" w:rsidR="00F24531" w:rsidRPr="00FF6F7D" w:rsidRDefault="00F24531" w:rsidP="004653FC">
            <w:pPr>
              <w:spacing w:after="0" w:line="240" w:lineRule="auto"/>
              <w:rPr>
                <w:rFonts w:ascii="Arial" w:eastAsia="Times New Roman" w:hAnsi="Arial" w:cs="Arial"/>
                <w:b/>
                <w:bCs/>
                <w:color w:val="F2F2F2"/>
                <w:sz w:val="20"/>
                <w:szCs w:val="20"/>
                <w:lang w:eastAsia="en-GB"/>
              </w:rPr>
            </w:pPr>
          </w:p>
        </w:tc>
        <w:tc>
          <w:tcPr>
            <w:tcW w:w="958" w:type="dxa"/>
            <w:tcBorders>
              <w:top w:val="nil"/>
              <w:left w:val="nil"/>
              <w:bottom w:val="single" w:sz="8" w:space="0" w:color="FFFFFF"/>
              <w:right w:val="single" w:sz="8" w:space="0" w:color="FFFFFF"/>
            </w:tcBorders>
            <w:shd w:val="clear" w:color="000000" w:fill="F3F9F4"/>
            <w:vAlign w:val="center"/>
            <w:hideMark/>
          </w:tcPr>
          <w:p w14:paraId="5E14F525" w14:textId="77777777" w:rsidR="00F24531" w:rsidRPr="00B14524" w:rsidRDefault="00F24531" w:rsidP="004653FC">
            <w:pPr>
              <w:spacing w:after="0" w:line="240" w:lineRule="auto"/>
              <w:jc w:val="center"/>
              <w:rPr>
                <w:rFonts w:ascii="Calibri" w:eastAsia="Times New Roman" w:hAnsi="Calibri" w:cs="Calibri"/>
                <w:b/>
                <w:bCs/>
                <w:color w:val="0DA03E"/>
                <w:sz w:val="24"/>
                <w:szCs w:val="24"/>
                <w:lang w:eastAsia="en-GB"/>
              </w:rPr>
            </w:pPr>
            <w:r w:rsidRPr="00B14524">
              <w:rPr>
                <w:rFonts w:ascii="Calibri" w:eastAsia="Times New Roman" w:hAnsi="Calibri" w:cs="Calibri"/>
                <w:b/>
                <w:bCs/>
                <w:color w:val="0DA03E"/>
                <w:sz w:val="24"/>
                <w:szCs w:val="24"/>
                <w:lang w:eastAsia="en-GB"/>
              </w:rPr>
              <w:t>2.7</w:t>
            </w:r>
          </w:p>
        </w:tc>
        <w:tc>
          <w:tcPr>
            <w:tcW w:w="3686" w:type="dxa"/>
            <w:tcBorders>
              <w:top w:val="nil"/>
              <w:left w:val="nil"/>
              <w:bottom w:val="single" w:sz="8" w:space="0" w:color="FFFFFF"/>
              <w:right w:val="single" w:sz="8" w:space="0" w:color="FFFFFF"/>
            </w:tcBorders>
            <w:shd w:val="clear" w:color="000000" w:fill="F3F9F4"/>
            <w:vAlign w:val="center"/>
            <w:hideMark/>
          </w:tcPr>
          <w:p w14:paraId="650D7377" w14:textId="77777777" w:rsidR="00F24531" w:rsidRPr="00B14524" w:rsidRDefault="00F24531" w:rsidP="004653FC">
            <w:pPr>
              <w:spacing w:after="0" w:line="240" w:lineRule="auto"/>
              <w:rPr>
                <w:rFonts w:ascii="Calibri" w:eastAsia="Times New Roman" w:hAnsi="Calibri" w:cs="Calibri"/>
                <w:color w:val="000000"/>
                <w:sz w:val="20"/>
                <w:szCs w:val="20"/>
                <w:lang w:eastAsia="en-GB"/>
              </w:rPr>
            </w:pPr>
            <w:r w:rsidRPr="00B14524">
              <w:rPr>
                <w:rFonts w:ascii="Calibri" w:eastAsia="Times New Roman" w:hAnsi="Calibri" w:cs="Calibri"/>
                <w:color w:val="000000"/>
                <w:sz w:val="20"/>
                <w:szCs w:val="20"/>
                <w:lang w:eastAsia="en-GB"/>
              </w:rPr>
              <w:t xml:space="preserve">Regional valorisation hubs (food processing) </w:t>
            </w:r>
          </w:p>
        </w:tc>
        <w:tc>
          <w:tcPr>
            <w:tcW w:w="850" w:type="dxa"/>
            <w:tcBorders>
              <w:top w:val="nil"/>
              <w:left w:val="nil"/>
              <w:bottom w:val="single" w:sz="8" w:space="0" w:color="FFFFFF"/>
              <w:right w:val="single" w:sz="8" w:space="0" w:color="FFFFFF"/>
            </w:tcBorders>
            <w:shd w:val="clear" w:color="000000" w:fill="F3F9F4"/>
            <w:vAlign w:val="center"/>
            <w:hideMark/>
          </w:tcPr>
          <w:p w14:paraId="50139311" w14:textId="77777777" w:rsidR="00F24531" w:rsidRPr="00B14524" w:rsidRDefault="00F24531" w:rsidP="004653FC">
            <w:pPr>
              <w:spacing w:after="0" w:line="240" w:lineRule="auto"/>
              <w:jc w:val="center"/>
              <w:rPr>
                <w:rFonts w:ascii="Calibri" w:eastAsia="Times New Roman" w:hAnsi="Calibri" w:cs="Calibri"/>
                <w:color w:val="000000"/>
                <w:sz w:val="20"/>
                <w:szCs w:val="20"/>
                <w:lang w:eastAsia="en-GB"/>
              </w:rPr>
            </w:pPr>
            <w:r w:rsidRPr="00B14524">
              <w:rPr>
                <w:rFonts w:ascii="Calibri" w:eastAsia="Times New Roman" w:hAnsi="Calibri" w:cs="Calibri"/>
                <w:color w:val="000000"/>
                <w:sz w:val="20"/>
                <w:szCs w:val="20"/>
                <w:lang w:eastAsia="en-GB"/>
              </w:rPr>
              <w:t> </w:t>
            </w:r>
          </w:p>
        </w:tc>
        <w:tc>
          <w:tcPr>
            <w:tcW w:w="1276" w:type="dxa"/>
            <w:tcBorders>
              <w:top w:val="nil"/>
              <w:left w:val="nil"/>
              <w:bottom w:val="single" w:sz="8" w:space="0" w:color="FFFFFF"/>
              <w:right w:val="single" w:sz="8" w:space="0" w:color="FFFFFF"/>
            </w:tcBorders>
            <w:shd w:val="clear" w:color="000000" w:fill="F3F9F4"/>
            <w:vAlign w:val="center"/>
            <w:hideMark/>
          </w:tcPr>
          <w:p w14:paraId="19FDD02A" w14:textId="77777777" w:rsidR="00F24531" w:rsidRPr="00B14524" w:rsidRDefault="00F24531" w:rsidP="004653FC">
            <w:pPr>
              <w:spacing w:after="0" w:line="240" w:lineRule="auto"/>
              <w:jc w:val="center"/>
              <w:rPr>
                <w:rFonts w:ascii="Calibri" w:eastAsia="Times New Roman" w:hAnsi="Calibri" w:cs="Calibri"/>
                <w:color w:val="000000"/>
                <w:sz w:val="20"/>
                <w:szCs w:val="20"/>
                <w:lang w:eastAsia="en-GB"/>
              </w:rPr>
            </w:pPr>
            <w:r w:rsidRPr="00B14524">
              <w:rPr>
                <w:rFonts w:ascii="Calibri" w:eastAsia="Times New Roman" w:hAnsi="Calibri" w:cs="Calibri"/>
                <w:color w:val="000000"/>
                <w:sz w:val="20"/>
                <w:szCs w:val="20"/>
                <w:lang w:eastAsia="en-GB"/>
              </w:rPr>
              <w:t>20%</w:t>
            </w:r>
          </w:p>
        </w:tc>
        <w:tc>
          <w:tcPr>
            <w:tcW w:w="1276" w:type="dxa"/>
            <w:tcBorders>
              <w:top w:val="nil"/>
              <w:left w:val="nil"/>
              <w:bottom w:val="single" w:sz="8" w:space="0" w:color="FFFFFF"/>
              <w:right w:val="single" w:sz="8" w:space="0" w:color="FFFFFF"/>
            </w:tcBorders>
            <w:shd w:val="clear" w:color="000000" w:fill="F3F9F4"/>
            <w:vAlign w:val="center"/>
            <w:hideMark/>
          </w:tcPr>
          <w:p w14:paraId="39279EB2" w14:textId="77777777" w:rsidR="00F24531" w:rsidRPr="00B14524" w:rsidRDefault="00F24531" w:rsidP="004653FC">
            <w:pPr>
              <w:spacing w:after="0" w:line="240" w:lineRule="auto"/>
              <w:jc w:val="center"/>
              <w:rPr>
                <w:rFonts w:ascii="Calibri" w:eastAsia="Times New Roman" w:hAnsi="Calibri" w:cs="Calibri"/>
                <w:color w:val="000000"/>
                <w:sz w:val="20"/>
                <w:szCs w:val="20"/>
                <w:lang w:eastAsia="en-GB"/>
              </w:rPr>
            </w:pPr>
            <w:r w:rsidRPr="00B14524">
              <w:rPr>
                <w:rFonts w:ascii="Calibri" w:eastAsia="Times New Roman" w:hAnsi="Calibri" w:cs="Calibri"/>
                <w:color w:val="000000"/>
                <w:sz w:val="20"/>
                <w:szCs w:val="20"/>
                <w:lang w:eastAsia="en-GB"/>
              </w:rPr>
              <w:t> </w:t>
            </w:r>
          </w:p>
        </w:tc>
      </w:tr>
      <w:tr w:rsidR="00F24531" w:rsidRPr="00B14524" w14:paraId="69015B98" w14:textId="77777777" w:rsidTr="004653FC">
        <w:trPr>
          <w:cantSplit/>
          <w:trHeight w:hRule="exact" w:val="620"/>
        </w:trPr>
        <w:tc>
          <w:tcPr>
            <w:tcW w:w="1300" w:type="dxa"/>
            <w:vMerge w:val="restart"/>
            <w:tcBorders>
              <w:top w:val="single" w:sz="8" w:space="0" w:color="FFFFFF"/>
              <w:left w:val="single" w:sz="8" w:space="0" w:color="FFFFFF"/>
              <w:bottom w:val="nil"/>
              <w:right w:val="single" w:sz="8" w:space="0" w:color="FFFFFF"/>
            </w:tcBorders>
            <w:shd w:val="clear" w:color="000000" w:fill="E2BF08"/>
            <w:textDirection w:val="btLr"/>
            <w:vAlign w:val="center"/>
            <w:hideMark/>
          </w:tcPr>
          <w:p w14:paraId="551E8532" w14:textId="77777777" w:rsidR="00F24531" w:rsidRPr="00FF6F7D" w:rsidRDefault="00F24531" w:rsidP="004653FC">
            <w:pPr>
              <w:spacing w:after="0" w:line="240" w:lineRule="auto"/>
              <w:jc w:val="center"/>
              <w:rPr>
                <w:rFonts w:ascii="Arial" w:eastAsia="Times New Roman" w:hAnsi="Arial" w:cs="Arial"/>
                <w:b/>
                <w:bCs/>
                <w:color w:val="F2F2F2"/>
                <w:sz w:val="20"/>
                <w:szCs w:val="20"/>
                <w:lang w:eastAsia="en-GB"/>
              </w:rPr>
            </w:pPr>
            <w:r w:rsidRPr="00FF6F7D">
              <w:rPr>
                <w:rFonts w:ascii="Arial" w:eastAsia="Times New Roman" w:hAnsi="Arial" w:cs="Arial"/>
                <w:b/>
                <w:bCs/>
                <w:color w:val="F2F2F2"/>
                <w:sz w:val="20"/>
                <w:szCs w:val="20"/>
                <w:lang w:val="en-GB" w:eastAsia="en-GB"/>
              </w:rPr>
              <w:t>Recycling</w:t>
            </w:r>
          </w:p>
        </w:tc>
        <w:tc>
          <w:tcPr>
            <w:tcW w:w="958" w:type="dxa"/>
            <w:tcBorders>
              <w:top w:val="nil"/>
              <w:left w:val="nil"/>
              <w:bottom w:val="single" w:sz="8" w:space="0" w:color="FFFFFF"/>
              <w:right w:val="single" w:sz="8" w:space="0" w:color="FFFFFF"/>
            </w:tcBorders>
            <w:shd w:val="clear" w:color="000000" w:fill="FFF2CC"/>
            <w:vAlign w:val="center"/>
            <w:hideMark/>
          </w:tcPr>
          <w:p w14:paraId="0EE8A077" w14:textId="77777777" w:rsidR="00F24531" w:rsidRPr="00B14524" w:rsidRDefault="00F24531" w:rsidP="004653FC">
            <w:pPr>
              <w:spacing w:after="0" w:line="240" w:lineRule="auto"/>
              <w:jc w:val="center"/>
              <w:rPr>
                <w:rFonts w:ascii="Calibri" w:eastAsia="Times New Roman" w:hAnsi="Calibri" w:cs="Calibri"/>
                <w:b/>
                <w:bCs/>
                <w:color w:val="BF8F00"/>
                <w:sz w:val="24"/>
                <w:szCs w:val="24"/>
                <w:lang w:eastAsia="en-GB"/>
              </w:rPr>
            </w:pPr>
            <w:r w:rsidRPr="00B14524">
              <w:rPr>
                <w:rFonts w:ascii="Calibri" w:eastAsia="Times New Roman" w:hAnsi="Calibri" w:cs="Calibri"/>
                <w:b/>
                <w:bCs/>
                <w:color w:val="BF8F00"/>
                <w:sz w:val="24"/>
                <w:szCs w:val="24"/>
                <w:lang w:val="en-GB" w:eastAsia="en-GB"/>
              </w:rPr>
              <w:t>3.1</w:t>
            </w:r>
          </w:p>
        </w:tc>
        <w:tc>
          <w:tcPr>
            <w:tcW w:w="3686" w:type="dxa"/>
            <w:tcBorders>
              <w:top w:val="nil"/>
              <w:left w:val="nil"/>
              <w:bottom w:val="single" w:sz="8" w:space="0" w:color="FFFFFF"/>
              <w:right w:val="single" w:sz="8" w:space="0" w:color="FFFFFF"/>
            </w:tcBorders>
            <w:shd w:val="clear" w:color="000000" w:fill="FFF2CC"/>
            <w:vAlign w:val="center"/>
            <w:hideMark/>
          </w:tcPr>
          <w:p w14:paraId="0D60ABC8" w14:textId="77777777" w:rsidR="00F24531" w:rsidRPr="00B14524" w:rsidRDefault="00F24531" w:rsidP="004653FC">
            <w:pPr>
              <w:spacing w:after="0" w:line="240" w:lineRule="auto"/>
              <w:rPr>
                <w:rFonts w:ascii="Calibri" w:eastAsia="Times New Roman" w:hAnsi="Calibri" w:cs="Calibri"/>
                <w:color w:val="000000"/>
                <w:sz w:val="20"/>
                <w:szCs w:val="20"/>
                <w:lang w:eastAsia="en-GB"/>
              </w:rPr>
            </w:pPr>
            <w:r w:rsidRPr="00B14524">
              <w:rPr>
                <w:rFonts w:ascii="Calibri" w:eastAsia="Times New Roman" w:hAnsi="Calibri" w:cs="Calibri"/>
                <w:color w:val="000000"/>
                <w:sz w:val="20"/>
                <w:szCs w:val="20"/>
                <w:lang w:val="en-GB" w:eastAsia="en-GB"/>
              </w:rPr>
              <w:t>Food waste to accredited compost facility</w:t>
            </w:r>
          </w:p>
        </w:tc>
        <w:tc>
          <w:tcPr>
            <w:tcW w:w="850" w:type="dxa"/>
            <w:tcBorders>
              <w:top w:val="nil"/>
              <w:left w:val="nil"/>
              <w:bottom w:val="single" w:sz="8" w:space="0" w:color="FFFFFF"/>
              <w:right w:val="single" w:sz="8" w:space="0" w:color="FFFFFF"/>
            </w:tcBorders>
            <w:shd w:val="clear" w:color="000000" w:fill="FFF2CC"/>
            <w:vAlign w:val="center"/>
            <w:hideMark/>
          </w:tcPr>
          <w:p w14:paraId="50AAD41F" w14:textId="77777777" w:rsidR="00F24531" w:rsidRPr="00B14524" w:rsidRDefault="00F24531" w:rsidP="004653FC">
            <w:pPr>
              <w:spacing w:after="0" w:line="240" w:lineRule="auto"/>
              <w:jc w:val="center"/>
              <w:rPr>
                <w:rFonts w:ascii="Calibri" w:eastAsia="Times New Roman" w:hAnsi="Calibri" w:cs="Calibri"/>
                <w:color w:val="000000"/>
                <w:sz w:val="20"/>
                <w:szCs w:val="20"/>
                <w:lang w:eastAsia="en-GB"/>
              </w:rPr>
            </w:pPr>
            <w:r w:rsidRPr="00B14524">
              <w:rPr>
                <w:rFonts w:ascii="Calibri" w:eastAsia="Times New Roman" w:hAnsi="Calibri" w:cs="Calibri"/>
                <w:color w:val="000000"/>
                <w:sz w:val="20"/>
                <w:szCs w:val="20"/>
                <w:lang w:val="en-GB" w:eastAsia="en-GB"/>
              </w:rPr>
              <w:t>992</w:t>
            </w:r>
          </w:p>
        </w:tc>
        <w:tc>
          <w:tcPr>
            <w:tcW w:w="1276" w:type="dxa"/>
            <w:tcBorders>
              <w:top w:val="nil"/>
              <w:left w:val="nil"/>
              <w:bottom w:val="single" w:sz="8" w:space="0" w:color="FFFFFF"/>
              <w:right w:val="single" w:sz="8" w:space="0" w:color="FFFFFF"/>
            </w:tcBorders>
            <w:shd w:val="clear" w:color="000000" w:fill="FFF2CC"/>
            <w:vAlign w:val="center"/>
            <w:hideMark/>
          </w:tcPr>
          <w:p w14:paraId="44989981" w14:textId="77777777" w:rsidR="00F24531" w:rsidRPr="00B14524" w:rsidRDefault="00F24531" w:rsidP="004653FC">
            <w:pPr>
              <w:spacing w:after="0" w:line="240" w:lineRule="auto"/>
              <w:jc w:val="center"/>
              <w:rPr>
                <w:rFonts w:ascii="Calibri" w:eastAsia="Times New Roman" w:hAnsi="Calibri" w:cs="Calibri"/>
                <w:color w:val="000000"/>
                <w:sz w:val="20"/>
                <w:szCs w:val="20"/>
                <w:lang w:eastAsia="en-GB"/>
              </w:rPr>
            </w:pPr>
            <w:r w:rsidRPr="00B14524">
              <w:rPr>
                <w:rFonts w:ascii="Calibri" w:eastAsia="Times New Roman" w:hAnsi="Calibri" w:cs="Calibri"/>
                <w:color w:val="000000"/>
                <w:sz w:val="20"/>
                <w:szCs w:val="20"/>
                <w:lang w:val="en-GB" w:eastAsia="en-GB"/>
              </w:rPr>
              <w:t>40%</w:t>
            </w:r>
          </w:p>
        </w:tc>
        <w:tc>
          <w:tcPr>
            <w:tcW w:w="1276" w:type="dxa"/>
            <w:tcBorders>
              <w:top w:val="nil"/>
              <w:left w:val="nil"/>
              <w:bottom w:val="single" w:sz="8" w:space="0" w:color="FFFFFF"/>
              <w:right w:val="single" w:sz="8" w:space="0" w:color="FFFFFF"/>
            </w:tcBorders>
            <w:shd w:val="clear" w:color="000000" w:fill="FFF2CC"/>
            <w:vAlign w:val="center"/>
            <w:hideMark/>
          </w:tcPr>
          <w:p w14:paraId="2D45C773" w14:textId="77777777" w:rsidR="00F24531" w:rsidRPr="00B14524" w:rsidRDefault="00F24531" w:rsidP="004653FC">
            <w:pPr>
              <w:spacing w:after="0" w:line="240" w:lineRule="auto"/>
              <w:jc w:val="center"/>
              <w:rPr>
                <w:rFonts w:ascii="Calibri" w:eastAsia="Times New Roman" w:hAnsi="Calibri" w:cs="Calibri"/>
                <w:color w:val="000000"/>
                <w:sz w:val="20"/>
                <w:szCs w:val="20"/>
                <w:lang w:eastAsia="en-GB"/>
              </w:rPr>
            </w:pPr>
            <w:r w:rsidRPr="00B14524">
              <w:rPr>
                <w:rFonts w:ascii="Calibri" w:eastAsia="Times New Roman" w:hAnsi="Calibri" w:cs="Calibri"/>
                <w:color w:val="000000"/>
                <w:sz w:val="20"/>
                <w:szCs w:val="20"/>
                <w:lang w:eastAsia="en-GB"/>
              </w:rPr>
              <w:t>90%</w:t>
            </w:r>
          </w:p>
        </w:tc>
      </w:tr>
      <w:tr w:rsidR="00F24531" w:rsidRPr="00B14524" w14:paraId="69054941" w14:textId="77777777" w:rsidTr="004653FC">
        <w:trPr>
          <w:trHeight w:val="620"/>
        </w:trPr>
        <w:tc>
          <w:tcPr>
            <w:tcW w:w="1300" w:type="dxa"/>
            <w:vMerge/>
            <w:tcBorders>
              <w:top w:val="single" w:sz="8" w:space="0" w:color="FFFFFF"/>
              <w:left w:val="single" w:sz="8" w:space="0" w:color="FFFFFF"/>
              <w:bottom w:val="nil"/>
              <w:right w:val="single" w:sz="8" w:space="0" w:color="FFFFFF"/>
            </w:tcBorders>
            <w:vAlign w:val="center"/>
            <w:hideMark/>
          </w:tcPr>
          <w:p w14:paraId="7423C7BB" w14:textId="77777777" w:rsidR="00F24531" w:rsidRPr="00FF6F7D" w:rsidRDefault="00F24531" w:rsidP="004653FC">
            <w:pPr>
              <w:spacing w:after="0" w:line="240" w:lineRule="auto"/>
              <w:rPr>
                <w:rFonts w:ascii="Arial" w:eastAsia="Times New Roman" w:hAnsi="Arial" w:cs="Arial"/>
                <w:b/>
                <w:bCs/>
                <w:color w:val="F2F2F2"/>
                <w:sz w:val="20"/>
                <w:szCs w:val="20"/>
                <w:lang w:eastAsia="en-GB"/>
              </w:rPr>
            </w:pPr>
          </w:p>
        </w:tc>
        <w:tc>
          <w:tcPr>
            <w:tcW w:w="958" w:type="dxa"/>
            <w:tcBorders>
              <w:top w:val="nil"/>
              <w:left w:val="nil"/>
              <w:bottom w:val="single" w:sz="8" w:space="0" w:color="FFFFFF"/>
              <w:right w:val="single" w:sz="8" w:space="0" w:color="FFFFFF"/>
            </w:tcBorders>
            <w:shd w:val="clear" w:color="000000" w:fill="FFE699"/>
            <w:vAlign w:val="center"/>
            <w:hideMark/>
          </w:tcPr>
          <w:p w14:paraId="1BB25842" w14:textId="77777777" w:rsidR="00F24531" w:rsidRPr="00B14524" w:rsidRDefault="00F24531" w:rsidP="004653FC">
            <w:pPr>
              <w:spacing w:after="0" w:line="240" w:lineRule="auto"/>
              <w:jc w:val="center"/>
              <w:rPr>
                <w:rFonts w:ascii="Calibri" w:eastAsia="Times New Roman" w:hAnsi="Calibri" w:cs="Calibri"/>
                <w:b/>
                <w:bCs/>
                <w:color w:val="BF8F00"/>
                <w:sz w:val="24"/>
                <w:szCs w:val="24"/>
                <w:lang w:eastAsia="en-GB"/>
              </w:rPr>
            </w:pPr>
            <w:r w:rsidRPr="00B14524">
              <w:rPr>
                <w:rFonts w:ascii="Calibri" w:eastAsia="Times New Roman" w:hAnsi="Calibri" w:cs="Calibri"/>
                <w:b/>
                <w:bCs/>
                <w:color w:val="BF8F00"/>
                <w:sz w:val="24"/>
                <w:szCs w:val="24"/>
                <w:lang w:val="en-GB" w:eastAsia="en-GB"/>
              </w:rPr>
              <w:t>3.2</w:t>
            </w:r>
          </w:p>
        </w:tc>
        <w:tc>
          <w:tcPr>
            <w:tcW w:w="3686" w:type="dxa"/>
            <w:tcBorders>
              <w:top w:val="nil"/>
              <w:left w:val="nil"/>
              <w:bottom w:val="single" w:sz="8" w:space="0" w:color="FFFFFF"/>
              <w:right w:val="single" w:sz="8" w:space="0" w:color="FFFFFF"/>
            </w:tcBorders>
            <w:shd w:val="clear" w:color="000000" w:fill="FFE699"/>
            <w:vAlign w:val="center"/>
            <w:hideMark/>
          </w:tcPr>
          <w:p w14:paraId="23F09141" w14:textId="77777777" w:rsidR="00F24531" w:rsidRPr="00B14524" w:rsidRDefault="00F24531" w:rsidP="004653FC">
            <w:pPr>
              <w:spacing w:after="0" w:line="240" w:lineRule="auto"/>
              <w:ind w:leftChars="-8" w:left="2" w:hangingChars="10" w:hanging="20"/>
              <w:rPr>
                <w:rFonts w:ascii="Calibri" w:eastAsia="Times New Roman" w:hAnsi="Calibri" w:cs="Calibri"/>
                <w:color w:val="000000"/>
                <w:sz w:val="20"/>
                <w:szCs w:val="20"/>
                <w:lang w:eastAsia="en-GB"/>
              </w:rPr>
            </w:pPr>
            <w:r w:rsidRPr="00B14524">
              <w:rPr>
                <w:rFonts w:ascii="Calibri" w:eastAsia="Times New Roman" w:hAnsi="Calibri" w:cs="Calibri"/>
                <w:color w:val="000000"/>
                <w:sz w:val="20"/>
                <w:szCs w:val="20"/>
                <w:lang w:eastAsia="en-GB"/>
              </w:rPr>
              <w:t>Increase valorisation of waste streams</w:t>
            </w:r>
          </w:p>
        </w:tc>
        <w:tc>
          <w:tcPr>
            <w:tcW w:w="850" w:type="dxa"/>
            <w:tcBorders>
              <w:top w:val="nil"/>
              <w:left w:val="nil"/>
              <w:bottom w:val="single" w:sz="8" w:space="0" w:color="FFFFFF"/>
              <w:right w:val="single" w:sz="8" w:space="0" w:color="FFFFFF"/>
            </w:tcBorders>
            <w:shd w:val="clear" w:color="000000" w:fill="FFE699"/>
            <w:vAlign w:val="center"/>
            <w:hideMark/>
          </w:tcPr>
          <w:p w14:paraId="5F0123B5" w14:textId="77777777" w:rsidR="00F24531" w:rsidRPr="00B14524" w:rsidRDefault="00F24531" w:rsidP="004653FC">
            <w:pPr>
              <w:spacing w:after="0" w:line="240" w:lineRule="auto"/>
              <w:jc w:val="center"/>
              <w:rPr>
                <w:rFonts w:ascii="Calibri" w:eastAsia="Times New Roman" w:hAnsi="Calibri" w:cs="Calibri"/>
                <w:color w:val="000000"/>
                <w:sz w:val="20"/>
                <w:szCs w:val="20"/>
                <w:lang w:eastAsia="en-GB"/>
              </w:rPr>
            </w:pPr>
            <w:r w:rsidRPr="00B14524">
              <w:rPr>
                <w:rFonts w:ascii="Calibri" w:eastAsia="Times New Roman" w:hAnsi="Calibri" w:cs="Calibri"/>
                <w:color w:val="000000"/>
                <w:sz w:val="20"/>
                <w:szCs w:val="20"/>
                <w:lang w:eastAsia="en-GB"/>
              </w:rPr>
              <w:t> </w:t>
            </w:r>
          </w:p>
        </w:tc>
        <w:tc>
          <w:tcPr>
            <w:tcW w:w="1276" w:type="dxa"/>
            <w:tcBorders>
              <w:top w:val="nil"/>
              <w:left w:val="nil"/>
              <w:bottom w:val="single" w:sz="8" w:space="0" w:color="FFFFFF"/>
              <w:right w:val="single" w:sz="8" w:space="0" w:color="FFFFFF"/>
            </w:tcBorders>
            <w:shd w:val="clear" w:color="000000" w:fill="FFE699"/>
            <w:vAlign w:val="center"/>
            <w:hideMark/>
          </w:tcPr>
          <w:p w14:paraId="49C3C054" w14:textId="77777777" w:rsidR="00F24531" w:rsidRPr="00B14524" w:rsidRDefault="00F24531" w:rsidP="004653FC">
            <w:pPr>
              <w:spacing w:after="0" w:line="240" w:lineRule="auto"/>
              <w:jc w:val="center"/>
              <w:rPr>
                <w:rFonts w:ascii="Calibri" w:eastAsia="Times New Roman" w:hAnsi="Calibri" w:cs="Calibri"/>
                <w:color w:val="000000"/>
                <w:sz w:val="20"/>
                <w:szCs w:val="20"/>
                <w:lang w:eastAsia="en-GB"/>
              </w:rPr>
            </w:pPr>
            <w:r w:rsidRPr="00B14524">
              <w:rPr>
                <w:rFonts w:ascii="Calibri" w:eastAsia="Times New Roman" w:hAnsi="Calibri" w:cs="Calibri"/>
                <w:color w:val="000000"/>
                <w:sz w:val="20"/>
                <w:szCs w:val="20"/>
                <w:lang w:eastAsia="en-GB"/>
              </w:rPr>
              <w:t> </w:t>
            </w:r>
          </w:p>
        </w:tc>
        <w:tc>
          <w:tcPr>
            <w:tcW w:w="1276" w:type="dxa"/>
            <w:tcBorders>
              <w:top w:val="nil"/>
              <w:left w:val="nil"/>
              <w:bottom w:val="single" w:sz="8" w:space="0" w:color="FFFFFF"/>
              <w:right w:val="single" w:sz="8" w:space="0" w:color="FFFFFF"/>
            </w:tcBorders>
            <w:shd w:val="clear" w:color="000000" w:fill="FFE699"/>
            <w:vAlign w:val="center"/>
            <w:hideMark/>
          </w:tcPr>
          <w:p w14:paraId="75B62DBB" w14:textId="77777777" w:rsidR="00F24531" w:rsidRPr="00B14524" w:rsidRDefault="00F24531" w:rsidP="004653FC">
            <w:pPr>
              <w:spacing w:after="0" w:line="240" w:lineRule="auto"/>
              <w:jc w:val="center"/>
              <w:rPr>
                <w:rFonts w:ascii="Calibri" w:eastAsia="Times New Roman" w:hAnsi="Calibri" w:cs="Calibri"/>
                <w:color w:val="000000"/>
                <w:sz w:val="20"/>
                <w:szCs w:val="20"/>
                <w:lang w:eastAsia="en-GB"/>
              </w:rPr>
            </w:pPr>
            <w:r w:rsidRPr="00B14524">
              <w:rPr>
                <w:rFonts w:ascii="Calibri" w:eastAsia="Times New Roman" w:hAnsi="Calibri" w:cs="Calibri"/>
                <w:color w:val="000000"/>
                <w:sz w:val="20"/>
                <w:szCs w:val="20"/>
                <w:lang w:eastAsia="en-GB"/>
              </w:rPr>
              <w:t>10% in volume</w:t>
            </w:r>
            <w:r>
              <w:rPr>
                <w:rFonts w:ascii="Calibri" w:eastAsia="Times New Roman" w:hAnsi="Calibri" w:cs="Calibri"/>
                <w:color w:val="000000"/>
                <w:sz w:val="20"/>
                <w:szCs w:val="20"/>
                <w:lang w:eastAsia="en-GB"/>
              </w:rPr>
              <w:t>,</w:t>
            </w:r>
            <w:r w:rsidRPr="00B14524">
              <w:rPr>
                <w:rFonts w:ascii="Calibri" w:eastAsia="Times New Roman" w:hAnsi="Calibri" w:cs="Calibri"/>
                <w:color w:val="000000"/>
                <w:sz w:val="20"/>
                <w:szCs w:val="20"/>
                <w:lang w:eastAsia="en-GB"/>
              </w:rPr>
              <w:t xml:space="preserve"> 20% in value</w:t>
            </w:r>
          </w:p>
        </w:tc>
      </w:tr>
      <w:tr w:rsidR="00F24531" w:rsidRPr="00B14524" w14:paraId="29704AE3" w14:textId="77777777" w:rsidTr="004653FC">
        <w:trPr>
          <w:trHeight w:val="340"/>
        </w:trPr>
        <w:tc>
          <w:tcPr>
            <w:tcW w:w="1300" w:type="dxa"/>
            <w:vMerge/>
            <w:tcBorders>
              <w:top w:val="single" w:sz="8" w:space="0" w:color="FFFFFF"/>
              <w:left w:val="single" w:sz="8" w:space="0" w:color="FFFFFF"/>
              <w:bottom w:val="nil"/>
              <w:right w:val="single" w:sz="8" w:space="0" w:color="FFFFFF"/>
            </w:tcBorders>
            <w:vAlign w:val="center"/>
            <w:hideMark/>
          </w:tcPr>
          <w:p w14:paraId="0AD8393A" w14:textId="77777777" w:rsidR="00F24531" w:rsidRPr="00FF6F7D" w:rsidRDefault="00F24531" w:rsidP="004653FC">
            <w:pPr>
              <w:spacing w:after="0" w:line="240" w:lineRule="auto"/>
              <w:rPr>
                <w:rFonts w:ascii="Arial" w:eastAsia="Times New Roman" w:hAnsi="Arial" w:cs="Arial"/>
                <w:b/>
                <w:bCs/>
                <w:color w:val="F2F2F2"/>
                <w:sz w:val="20"/>
                <w:szCs w:val="20"/>
                <w:lang w:eastAsia="en-GB"/>
              </w:rPr>
            </w:pPr>
          </w:p>
        </w:tc>
        <w:tc>
          <w:tcPr>
            <w:tcW w:w="958" w:type="dxa"/>
            <w:tcBorders>
              <w:top w:val="nil"/>
              <w:left w:val="nil"/>
              <w:bottom w:val="single" w:sz="8" w:space="0" w:color="FFFFFF"/>
              <w:right w:val="single" w:sz="8" w:space="0" w:color="FFFFFF"/>
            </w:tcBorders>
            <w:shd w:val="clear" w:color="000000" w:fill="FFF2CC"/>
            <w:vAlign w:val="center"/>
            <w:hideMark/>
          </w:tcPr>
          <w:p w14:paraId="24182E27" w14:textId="77777777" w:rsidR="00F24531" w:rsidRPr="00B14524" w:rsidRDefault="00F24531" w:rsidP="004653FC">
            <w:pPr>
              <w:spacing w:after="0" w:line="240" w:lineRule="auto"/>
              <w:jc w:val="center"/>
              <w:rPr>
                <w:rFonts w:ascii="Calibri" w:eastAsia="Times New Roman" w:hAnsi="Calibri" w:cs="Calibri"/>
                <w:b/>
                <w:bCs/>
                <w:color w:val="BF8F00"/>
                <w:sz w:val="24"/>
                <w:szCs w:val="24"/>
                <w:lang w:eastAsia="en-GB"/>
              </w:rPr>
            </w:pPr>
            <w:r w:rsidRPr="00B14524">
              <w:rPr>
                <w:rFonts w:ascii="Calibri" w:eastAsia="Times New Roman" w:hAnsi="Calibri" w:cs="Calibri"/>
                <w:b/>
                <w:bCs/>
                <w:color w:val="BF8F00"/>
                <w:sz w:val="24"/>
                <w:szCs w:val="24"/>
                <w:lang w:val="en-GB" w:eastAsia="en-GB"/>
              </w:rPr>
              <w:t>3.3</w:t>
            </w:r>
          </w:p>
        </w:tc>
        <w:tc>
          <w:tcPr>
            <w:tcW w:w="3686" w:type="dxa"/>
            <w:tcBorders>
              <w:top w:val="nil"/>
              <w:left w:val="nil"/>
              <w:bottom w:val="single" w:sz="8" w:space="0" w:color="FFFFFF"/>
              <w:right w:val="single" w:sz="8" w:space="0" w:color="FFFFFF"/>
            </w:tcBorders>
            <w:shd w:val="clear" w:color="000000" w:fill="FFF2CC"/>
            <w:vAlign w:val="center"/>
            <w:hideMark/>
          </w:tcPr>
          <w:p w14:paraId="4EAF5DF7" w14:textId="77777777" w:rsidR="00F24531" w:rsidRPr="00B14524" w:rsidRDefault="00F24531" w:rsidP="004653FC">
            <w:pPr>
              <w:spacing w:after="0" w:line="240" w:lineRule="auto"/>
              <w:rPr>
                <w:rFonts w:ascii="Calibri" w:eastAsia="Times New Roman" w:hAnsi="Calibri" w:cs="Calibri"/>
                <w:color w:val="000000"/>
                <w:sz w:val="20"/>
                <w:szCs w:val="20"/>
                <w:lang w:eastAsia="en-GB"/>
              </w:rPr>
            </w:pPr>
            <w:r w:rsidRPr="00B14524">
              <w:rPr>
                <w:rFonts w:ascii="Calibri" w:eastAsia="Times New Roman" w:hAnsi="Calibri" w:cs="Calibri"/>
                <w:color w:val="000000"/>
                <w:sz w:val="20"/>
                <w:szCs w:val="20"/>
                <w:lang w:eastAsia="en-GB"/>
              </w:rPr>
              <w:t>Increase consumer access to FOGO</w:t>
            </w:r>
          </w:p>
        </w:tc>
        <w:tc>
          <w:tcPr>
            <w:tcW w:w="850" w:type="dxa"/>
            <w:tcBorders>
              <w:top w:val="nil"/>
              <w:left w:val="nil"/>
              <w:bottom w:val="single" w:sz="8" w:space="0" w:color="FFFFFF"/>
              <w:right w:val="single" w:sz="8" w:space="0" w:color="FFFFFF"/>
            </w:tcBorders>
            <w:shd w:val="clear" w:color="000000" w:fill="FFF2CC"/>
            <w:vAlign w:val="center"/>
            <w:hideMark/>
          </w:tcPr>
          <w:p w14:paraId="38B4B7BB" w14:textId="77777777" w:rsidR="00F24531" w:rsidRPr="00B14524" w:rsidRDefault="00F24531" w:rsidP="004653FC">
            <w:pPr>
              <w:spacing w:after="0" w:line="240" w:lineRule="auto"/>
              <w:jc w:val="center"/>
              <w:rPr>
                <w:rFonts w:ascii="Calibri" w:eastAsia="Times New Roman" w:hAnsi="Calibri" w:cs="Calibri"/>
                <w:color w:val="000000"/>
                <w:sz w:val="20"/>
                <w:szCs w:val="20"/>
                <w:lang w:eastAsia="en-GB"/>
              </w:rPr>
            </w:pPr>
            <w:r w:rsidRPr="00B14524">
              <w:rPr>
                <w:rFonts w:ascii="Calibri" w:eastAsia="Times New Roman" w:hAnsi="Calibri" w:cs="Calibri"/>
                <w:color w:val="000000"/>
                <w:sz w:val="20"/>
                <w:szCs w:val="20"/>
                <w:lang w:eastAsia="en-GB"/>
              </w:rPr>
              <w:t> </w:t>
            </w:r>
          </w:p>
        </w:tc>
        <w:tc>
          <w:tcPr>
            <w:tcW w:w="1276" w:type="dxa"/>
            <w:tcBorders>
              <w:top w:val="nil"/>
              <w:left w:val="nil"/>
              <w:bottom w:val="single" w:sz="8" w:space="0" w:color="FFFFFF"/>
              <w:right w:val="single" w:sz="8" w:space="0" w:color="FFFFFF"/>
            </w:tcBorders>
            <w:shd w:val="clear" w:color="000000" w:fill="FFF2CC"/>
            <w:vAlign w:val="center"/>
            <w:hideMark/>
          </w:tcPr>
          <w:p w14:paraId="07F94319" w14:textId="77777777" w:rsidR="00F24531" w:rsidRPr="00B14524" w:rsidRDefault="00F24531" w:rsidP="004653FC">
            <w:pPr>
              <w:spacing w:after="0" w:line="240" w:lineRule="auto"/>
              <w:jc w:val="center"/>
              <w:rPr>
                <w:rFonts w:ascii="Calibri" w:eastAsia="Times New Roman" w:hAnsi="Calibri" w:cs="Calibri"/>
                <w:color w:val="000000"/>
                <w:sz w:val="20"/>
                <w:szCs w:val="20"/>
                <w:lang w:eastAsia="en-GB"/>
              </w:rPr>
            </w:pPr>
            <w:r w:rsidRPr="00B14524">
              <w:rPr>
                <w:rFonts w:ascii="Calibri" w:eastAsia="Times New Roman" w:hAnsi="Calibri" w:cs="Calibri"/>
                <w:color w:val="000000"/>
                <w:sz w:val="20"/>
                <w:szCs w:val="20"/>
                <w:lang w:eastAsia="en-GB"/>
              </w:rPr>
              <w:t>50%</w:t>
            </w:r>
          </w:p>
        </w:tc>
        <w:tc>
          <w:tcPr>
            <w:tcW w:w="1276" w:type="dxa"/>
            <w:tcBorders>
              <w:top w:val="nil"/>
              <w:left w:val="nil"/>
              <w:bottom w:val="single" w:sz="8" w:space="0" w:color="FFFFFF"/>
              <w:right w:val="single" w:sz="8" w:space="0" w:color="FFFFFF"/>
            </w:tcBorders>
            <w:shd w:val="clear" w:color="000000" w:fill="FFF2CC"/>
            <w:vAlign w:val="center"/>
            <w:hideMark/>
          </w:tcPr>
          <w:p w14:paraId="008FD879" w14:textId="77777777" w:rsidR="00F24531" w:rsidRPr="00B14524" w:rsidRDefault="00F24531" w:rsidP="004653FC">
            <w:pPr>
              <w:spacing w:after="0" w:line="240" w:lineRule="auto"/>
              <w:jc w:val="center"/>
              <w:rPr>
                <w:rFonts w:ascii="Calibri" w:eastAsia="Times New Roman" w:hAnsi="Calibri" w:cs="Calibri"/>
                <w:color w:val="000000"/>
                <w:sz w:val="20"/>
                <w:szCs w:val="20"/>
                <w:lang w:eastAsia="en-GB"/>
              </w:rPr>
            </w:pPr>
            <w:r w:rsidRPr="00B14524">
              <w:rPr>
                <w:rFonts w:ascii="Calibri" w:eastAsia="Times New Roman" w:hAnsi="Calibri" w:cs="Calibri"/>
                <w:color w:val="000000"/>
                <w:sz w:val="20"/>
                <w:szCs w:val="20"/>
                <w:lang w:eastAsia="en-GB"/>
              </w:rPr>
              <w:t>90%</w:t>
            </w:r>
          </w:p>
        </w:tc>
      </w:tr>
      <w:tr w:rsidR="00F24531" w:rsidRPr="00B14524" w14:paraId="495EC4D7" w14:textId="77777777" w:rsidTr="004653FC">
        <w:trPr>
          <w:cantSplit/>
          <w:trHeight w:hRule="exact" w:val="340"/>
        </w:trPr>
        <w:tc>
          <w:tcPr>
            <w:tcW w:w="1300" w:type="dxa"/>
            <w:vMerge w:val="restart"/>
            <w:tcBorders>
              <w:top w:val="single" w:sz="8" w:space="0" w:color="FFFFFF"/>
              <w:left w:val="single" w:sz="8" w:space="0" w:color="FFFFFF"/>
              <w:bottom w:val="single" w:sz="8" w:space="0" w:color="FFFFFF"/>
              <w:right w:val="single" w:sz="8" w:space="0" w:color="FFFFFF"/>
            </w:tcBorders>
            <w:shd w:val="clear" w:color="000000" w:fill="F6A271"/>
            <w:textDirection w:val="btLr"/>
            <w:vAlign w:val="center"/>
            <w:hideMark/>
          </w:tcPr>
          <w:p w14:paraId="53F5B165" w14:textId="77777777" w:rsidR="00F24531" w:rsidRPr="00FF6F7D" w:rsidRDefault="00F24531" w:rsidP="004653FC">
            <w:pPr>
              <w:spacing w:after="0" w:line="240" w:lineRule="auto"/>
              <w:jc w:val="center"/>
              <w:rPr>
                <w:rFonts w:ascii="Arial" w:eastAsia="Times New Roman" w:hAnsi="Arial" w:cs="Arial"/>
                <w:b/>
                <w:bCs/>
                <w:color w:val="FFFFFF"/>
                <w:sz w:val="20"/>
                <w:szCs w:val="20"/>
                <w:lang w:eastAsia="en-GB"/>
              </w:rPr>
            </w:pPr>
            <w:r w:rsidRPr="00FF6F7D">
              <w:rPr>
                <w:rFonts w:ascii="Arial" w:eastAsia="Times New Roman" w:hAnsi="Arial" w:cs="Arial"/>
                <w:b/>
                <w:bCs/>
                <w:color w:val="FFFFFF"/>
                <w:sz w:val="20"/>
                <w:szCs w:val="20"/>
                <w:lang w:val="en-GB" w:eastAsia="en-GB"/>
              </w:rPr>
              <w:t>Recovery</w:t>
            </w:r>
          </w:p>
        </w:tc>
        <w:tc>
          <w:tcPr>
            <w:tcW w:w="958" w:type="dxa"/>
            <w:tcBorders>
              <w:top w:val="nil"/>
              <w:left w:val="nil"/>
              <w:bottom w:val="single" w:sz="8" w:space="0" w:color="FFFFFF"/>
              <w:right w:val="single" w:sz="8" w:space="0" w:color="FFFFFF"/>
            </w:tcBorders>
            <w:shd w:val="clear" w:color="000000" w:fill="FBE4D5"/>
            <w:vAlign w:val="center"/>
            <w:hideMark/>
          </w:tcPr>
          <w:p w14:paraId="13A34740" w14:textId="77777777" w:rsidR="00F24531" w:rsidRPr="00B14524" w:rsidRDefault="00F24531" w:rsidP="004653FC">
            <w:pPr>
              <w:spacing w:after="0" w:line="240" w:lineRule="auto"/>
              <w:jc w:val="center"/>
              <w:rPr>
                <w:rFonts w:ascii="Calibri" w:eastAsia="Times New Roman" w:hAnsi="Calibri" w:cs="Calibri"/>
                <w:b/>
                <w:bCs/>
                <w:color w:val="C45911"/>
                <w:sz w:val="24"/>
                <w:szCs w:val="24"/>
                <w:lang w:eastAsia="en-GB"/>
              </w:rPr>
            </w:pPr>
            <w:r w:rsidRPr="00B14524">
              <w:rPr>
                <w:rFonts w:ascii="Calibri" w:eastAsia="Times New Roman" w:hAnsi="Calibri" w:cs="Calibri"/>
                <w:b/>
                <w:bCs/>
                <w:color w:val="C45911"/>
                <w:sz w:val="24"/>
                <w:szCs w:val="24"/>
                <w:lang w:val="en-GB" w:eastAsia="en-GB"/>
              </w:rPr>
              <w:t>5.1</w:t>
            </w:r>
          </w:p>
        </w:tc>
        <w:tc>
          <w:tcPr>
            <w:tcW w:w="3686" w:type="dxa"/>
            <w:tcBorders>
              <w:top w:val="nil"/>
              <w:left w:val="nil"/>
              <w:bottom w:val="single" w:sz="8" w:space="0" w:color="FFFFFF"/>
              <w:right w:val="single" w:sz="8" w:space="0" w:color="FFFFFF"/>
            </w:tcBorders>
            <w:shd w:val="clear" w:color="000000" w:fill="FBE4D5"/>
            <w:vAlign w:val="center"/>
            <w:hideMark/>
          </w:tcPr>
          <w:p w14:paraId="79F10C0F" w14:textId="77777777" w:rsidR="00F24531" w:rsidRPr="00B14524" w:rsidRDefault="00F24531" w:rsidP="004653FC">
            <w:pPr>
              <w:spacing w:after="0" w:line="240" w:lineRule="auto"/>
              <w:rPr>
                <w:rFonts w:ascii="Calibri" w:eastAsia="Times New Roman" w:hAnsi="Calibri" w:cs="Calibri"/>
                <w:color w:val="000000"/>
                <w:sz w:val="20"/>
                <w:szCs w:val="20"/>
                <w:lang w:eastAsia="en-GB"/>
              </w:rPr>
            </w:pPr>
            <w:r w:rsidRPr="00B14524">
              <w:rPr>
                <w:rFonts w:ascii="Calibri" w:eastAsia="Times New Roman" w:hAnsi="Calibri" w:cs="Calibri"/>
                <w:color w:val="000000"/>
                <w:sz w:val="20"/>
                <w:szCs w:val="20"/>
                <w:lang w:eastAsia="en-GB"/>
              </w:rPr>
              <w:t>Increase use of organics in AD</w:t>
            </w:r>
          </w:p>
        </w:tc>
        <w:tc>
          <w:tcPr>
            <w:tcW w:w="850" w:type="dxa"/>
            <w:tcBorders>
              <w:top w:val="nil"/>
              <w:left w:val="nil"/>
              <w:bottom w:val="single" w:sz="8" w:space="0" w:color="FFFFFF"/>
              <w:right w:val="single" w:sz="8" w:space="0" w:color="FFFFFF"/>
            </w:tcBorders>
            <w:shd w:val="clear" w:color="000000" w:fill="FBE4D5"/>
            <w:vAlign w:val="center"/>
            <w:hideMark/>
          </w:tcPr>
          <w:p w14:paraId="2F6882ED" w14:textId="77777777" w:rsidR="00F24531" w:rsidRPr="00B14524" w:rsidRDefault="00F24531" w:rsidP="004653FC">
            <w:pPr>
              <w:spacing w:after="0" w:line="240" w:lineRule="auto"/>
              <w:jc w:val="center"/>
              <w:rPr>
                <w:rFonts w:ascii="Calibri" w:eastAsia="Times New Roman" w:hAnsi="Calibri" w:cs="Calibri"/>
                <w:color w:val="000000"/>
                <w:sz w:val="20"/>
                <w:szCs w:val="20"/>
                <w:lang w:eastAsia="en-GB"/>
              </w:rPr>
            </w:pPr>
            <w:r w:rsidRPr="00B14524">
              <w:rPr>
                <w:rFonts w:ascii="Calibri" w:eastAsia="Times New Roman" w:hAnsi="Calibri" w:cs="Calibri"/>
                <w:color w:val="000000"/>
                <w:sz w:val="20"/>
                <w:szCs w:val="20"/>
                <w:lang w:eastAsia="en-GB"/>
              </w:rPr>
              <w:t> </w:t>
            </w:r>
          </w:p>
        </w:tc>
        <w:tc>
          <w:tcPr>
            <w:tcW w:w="1276" w:type="dxa"/>
            <w:tcBorders>
              <w:top w:val="nil"/>
              <w:left w:val="nil"/>
              <w:bottom w:val="single" w:sz="8" w:space="0" w:color="FFFFFF"/>
              <w:right w:val="single" w:sz="8" w:space="0" w:color="FFFFFF"/>
            </w:tcBorders>
            <w:shd w:val="clear" w:color="000000" w:fill="FBE4D5"/>
            <w:vAlign w:val="center"/>
            <w:hideMark/>
          </w:tcPr>
          <w:p w14:paraId="57739217" w14:textId="77777777" w:rsidR="00F24531" w:rsidRPr="00B14524" w:rsidRDefault="00F24531" w:rsidP="004653FC">
            <w:pPr>
              <w:spacing w:after="0" w:line="240" w:lineRule="auto"/>
              <w:jc w:val="center"/>
              <w:rPr>
                <w:rFonts w:ascii="Calibri" w:eastAsia="Times New Roman" w:hAnsi="Calibri" w:cs="Calibri"/>
                <w:color w:val="000000"/>
                <w:sz w:val="20"/>
                <w:szCs w:val="20"/>
                <w:lang w:eastAsia="en-GB"/>
              </w:rPr>
            </w:pPr>
            <w:r w:rsidRPr="00B14524">
              <w:rPr>
                <w:rFonts w:ascii="Calibri" w:eastAsia="Times New Roman" w:hAnsi="Calibri" w:cs="Calibri"/>
                <w:color w:val="000000"/>
                <w:sz w:val="20"/>
                <w:szCs w:val="20"/>
                <w:lang w:eastAsia="en-GB"/>
              </w:rPr>
              <w:t>20%</w:t>
            </w:r>
          </w:p>
        </w:tc>
        <w:tc>
          <w:tcPr>
            <w:tcW w:w="1276" w:type="dxa"/>
            <w:tcBorders>
              <w:top w:val="nil"/>
              <w:left w:val="nil"/>
              <w:bottom w:val="single" w:sz="8" w:space="0" w:color="FFFFFF"/>
              <w:right w:val="single" w:sz="8" w:space="0" w:color="FFFFFF"/>
            </w:tcBorders>
            <w:shd w:val="clear" w:color="000000" w:fill="FBE4D5"/>
            <w:vAlign w:val="center"/>
            <w:hideMark/>
          </w:tcPr>
          <w:p w14:paraId="07B86DF3" w14:textId="77777777" w:rsidR="00F24531" w:rsidRPr="00B14524" w:rsidRDefault="00F24531" w:rsidP="004653FC">
            <w:pPr>
              <w:spacing w:after="0" w:line="240" w:lineRule="auto"/>
              <w:jc w:val="center"/>
              <w:rPr>
                <w:rFonts w:ascii="Calibri" w:eastAsia="Times New Roman" w:hAnsi="Calibri" w:cs="Calibri"/>
                <w:color w:val="000000"/>
                <w:sz w:val="20"/>
                <w:szCs w:val="20"/>
                <w:lang w:eastAsia="en-GB"/>
              </w:rPr>
            </w:pPr>
            <w:r w:rsidRPr="00B14524">
              <w:rPr>
                <w:rFonts w:ascii="Calibri" w:eastAsia="Times New Roman" w:hAnsi="Calibri" w:cs="Calibri"/>
                <w:color w:val="000000"/>
                <w:sz w:val="20"/>
                <w:szCs w:val="20"/>
                <w:lang w:eastAsia="en-GB"/>
              </w:rPr>
              <w:t> </w:t>
            </w:r>
          </w:p>
        </w:tc>
      </w:tr>
      <w:tr w:rsidR="00F24531" w:rsidRPr="00B14524" w14:paraId="021DB7C9" w14:textId="77777777" w:rsidTr="004653FC">
        <w:trPr>
          <w:trHeight w:val="620"/>
        </w:trPr>
        <w:tc>
          <w:tcPr>
            <w:tcW w:w="1300" w:type="dxa"/>
            <w:vMerge/>
            <w:tcBorders>
              <w:top w:val="single" w:sz="8" w:space="0" w:color="FFFFFF"/>
              <w:left w:val="single" w:sz="8" w:space="0" w:color="FFFFFF"/>
              <w:bottom w:val="single" w:sz="8" w:space="0" w:color="FFFFFF"/>
              <w:right w:val="single" w:sz="8" w:space="0" w:color="FFFFFF"/>
            </w:tcBorders>
            <w:vAlign w:val="center"/>
            <w:hideMark/>
          </w:tcPr>
          <w:p w14:paraId="53B24379" w14:textId="77777777" w:rsidR="00F24531" w:rsidRPr="00FF6F7D" w:rsidRDefault="00F24531" w:rsidP="004653FC">
            <w:pPr>
              <w:spacing w:after="0" w:line="240" w:lineRule="auto"/>
              <w:rPr>
                <w:rFonts w:ascii="Arial" w:eastAsia="Times New Roman" w:hAnsi="Arial" w:cs="Arial"/>
                <w:b/>
                <w:bCs/>
                <w:color w:val="FFFFFF"/>
                <w:sz w:val="20"/>
                <w:szCs w:val="20"/>
                <w:lang w:eastAsia="en-GB"/>
              </w:rPr>
            </w:pPr>
          </w:p>
        </w:tc>
        <w:tc>
          <w:tcPr>
            <w:tcW w:w="958" w:type="dxa"/>
            <w:tcBorders>
              <w:top w:val="nil"/>
              <w:left w:val="nil"/>
              <w:bottom w:val="single" w:sz="8" w:space="0" w:color="FFFFFF"/>
              <w:right w:val="single" w:sz="8" w:space="0" w:color="FFFFFF"/>
            </w:tcBorders>
            <w:shd w:val="clear" w:color="000000" w:fill="F7CAAC"/>
            <w:vAlign w:val="center"/>
            <w:hideMark/>
          </w:tcPr>
          <w:p w14:paraId="78D34ADA" w14:textId="77777777" w:rsidR="00F24531" w:rsidRPr="00B14524" w:rsidRDefault="00F24531" w:rsidP="004653FC">
            <w:pPr>
              <w:spacing w:after="0" w:line="240" w:lineRule="auto"/>
              <w:jc w:val="center"/>
              <w:rPr>
                <w:rFonts w:ascii="Calibri" w:eastAsia="Times New Roman" w:hAnsi="Calibri" w:cs="Calibri"/>
                <w:b/>
                <w:bCs/>
                <w:color w:val="C45911"/>
                <w:sz w:val="24"/>
                <w:szCs w:val="24"/>
                <w:lang w:eastAsia="en-GB"/>
              </w:rPr>
            </w:pPr>
            <w:r w:rsidRPr="00B14524">
              <w:rPr>
                <w:rFonts w:ascii="Calibri" w:eastAsia="Times New Roman" w:hAnsi="Calibri" w:cs="Calibri"/>
                <w:b/>
                <w:bCs/>
                <w:color w:val="C45911"/>
                <w:sz w:val="24"/>
                <w:szCs w:val="24"/>
                <w:lang w:val="en-GB" w:eastAsia="en-GB"/>
              </w:rPr>
              <w:t>5.2</w:t>
            </w:r>
          </w:p>
        </w:tc>
        <w:tc>
          <w:tcPr>
            <w:tcW w:w="3686" w:type="dxa"/>
            <w:tcBorders>
              <w:top w:val="nil"/>
              <w:left w:val="nil"/>
              <w:bottom w:val="single" w:sz="8" w:space="0" w:color="FFFFFF"/>
              <w:right w:val="single" w:sz="8" w:space="0" w:color="FFFFFF"/>
            </w:tcBorders>
            <w:shd w:val="clear" w:color="000000" w:fill="F7CAAC"/>
            <w:vAlign w:val="center"/>
            <w:hideMark/>
          </w:tcPr>
          <w:p w14:paraId="5CEB7B7D" w14:textId="77777777" w:rsidR="00F24531" w:rsidRPr="00B14524" w:rsidRDefault="00F24531" w:rsidP="004653FC">
            <w:pPr>
              <w:spacing w:after="0" w:line="240" w:lineRule="auto"/>
              <w:rPr>
                <w:rFonts w:ascii="Calibri" w:eastAsia="Times New Roman" w:hAnsi="Calibri" w:cs="Calibri"/>
                <w:color w:val="000000"/>
                <w:sz w:val="20"/>
                <w:szCs w:val="20"/>
                <w:lang w:eastAsia="en-GB"/>
              </w:rPr>
            </w:pPr>
            <w:r w:rsidRPr="00B14524">
              <w:rPr>
                <w:rFonts w:ascii="Calibri" w:eastAsia="Times New Roman" w:hAnsi="Calibri" w:cs="Calibri"/>
                <w:color w:val="000000"/>
                <w:sz w:val="20"/>
                <w:szCs w:val="20"/>
                <w:lang w:eastAsia="en-GB"/>
              </w:rPr>
              <w:t>Increase provision of collection systems to households</w:t>
            </w:r>
          </w:p>
        </w:tc>
        <w:tc>
          <w:tcPr>
            <w:tcW w:w="850" w:type="dxa"/>
            <w:tcBorders>
              <w:top w:val="nil"/>
              <w:left w:val="nil"/>
              <w:bottom w:val="single" w:sz="8" w:space="0" w:color="FFFFFF"/>
              <w:right w:val="single" w:sz="8" w:space="0" w:color="FFFFFF"/>
            </w:tcBorders>
            <w:shd w:val="clear" w:color="000000" w:fill="F7CAAC"/>
            <w:vAlign w:val="center"/>
            <w:hideMark/>
          </w:tcPr>
          <w:p w14:paraId="50ED52A2" w14:textId="77777777" w:rsidR="00F24531" w:rsidRPr="00B14524" w:rsidRDefault="00F24531" w:rsidP="004653FC">
            <w:pPr>
              <w:spacing w:after="0" w:line="240" w:lineRule="auto"/>
              <w:jc w:val="center"/>
              <w:rPr>
                <w:rFonts w:ascii="Calibri" w:eastAsia="Times New Roman" w:hAnsi="Calibri" w:cs="Calibri"/>
                <w:color w:val="000000"/>
                <w:sz w:val="20"/>
                <w:szCs w:val="20"/>
                <w:lang w:eastAsia="en-GB"/>
              </w:rPr>
            </w:pPr>
            <w:r w:rsidRPr="00B14524">
              <w:rPr>
                <w:rFonts w:ascii="Calibri" w:eastAsia="Times New Roman" w:hAnsi="Calibri" w:cs="Calibri"/>
                <w:color w:val="000000"/>
                <w:sz w:val="20"/>
                <w:szCs w:val="20"/>
                <w:lang w:eastAsia="en-GB"/>
              </w:rPr>
              <w:t> </w:t>
            </w:r>
          </w:p>
        </w:tc>
        <w:tc>
          <w:tcPr>
            <w:tcW w:w="1276" w:type="dxa"/>
            <w:tcBorders>
              <w:top w:val="nil"/>
              <w:left w:val="nil"/>
              <w:bottom w:val="single" w:sz="8" w:space="0" w:color="FFFFFF"/>
              <w:right w:val="single" w:sz="8" w:space="0" w:color="FFFFFF"/>
            </w:tcBorders>
            <w:shd w:val="clear" w:color="000000" w:fill="F7CAAC"/>
            <w:vAlign w:val="center"/>
            <w:hideMark/>
          </w:tcPr>
          <w:p w14:paraId="3B880418" w14:textId="77777777" w:rsidR="00F24531" w:rsidRPr="00B14524" w:rsidRDefault="00F24531" w:rsidP="004653FC">
            <w:pPr>
              <w:spacing w:after="0" w:line="240" w:lineRule="auto"/>
              <w:jc w:val="center"/>
              <w:rPr>
                <w:rFonts w:ascii="Calibri" w:eastAsia="Times New Roman" w:hAnsi="Calibri" w:cs="Calibri"/>
                <w:color w:val="000000"/>
                <w:sz w:val="20"/>
                <w:szCs w:val="20"/>
                <w:lang w:eastAsia="en-GB"/>
              </w:rPr>
            </w:pPr>
            <w:r w:rsidRPr="00B14524">
              <w:rPr>
                <w:rFonts w:ascii="Calibri" w:eastAsia="Times New Roman" w:hAnsi="Calibri" w:cs="Calibri"/>
                <w:color w:val="000000"/>
                <w:sz w:val="20"/>
                <w:szCs w:val="20"/>
                <w:lang w:eastAsia="en-GB"/>
              </w:rPr>
              <w:t>50%</w:t>
            </w:r>
          </w:p>
        </w:tc>
        <w:tc>
          <w:tcPr>
            <w:tcW w:w="1276" w:type="dxa"/>
            <w:tcBorders>
              <w:top w:val="nil"/>
              <w:left w:val="nil"/>
              <w:bottom w:val="single" w:sz="8" w:space="0" w:color="FFFFFF"/>
              <w:right w:val="single" w:sz="8" w:space="0" w:color="FFFFFF"/>
            </w:tcBorders>
            <w:shd w:val="clear" w:color="000000" w:fill="F7CAAC"/>
            <w:vAlign w:val="center"/>
            <w:hideMark/>
          </w:tcPr>
          <w:p w14:paraId="6C11CE21" w14:textId="77777777" w:rsidR="00F24531" w:rsidRPr="00B14524" w:rsidRDefault="00F24531" w:rsidP="004653FC">
            <w:pPr>
              <w:spacing w:after="0" w:line="240" w:lineRule="auto"/>
              <w:jc w:val="center"/>
              <w:rPr>
                <w:rFonts w:ascii="Calibri" w:eastAsia="Times New Roman" w:hAnsi="Calibri" w:cs="Calibri"/>
                <w:color w:val="000000"/>
                <w:sz w:val="20"/>
                <w:szCs w:val="20"/>
                <w:lang w:eastAsia="en-GB"/>
              </w:rPr>
            </w:pPr>
            <w:r w:rsidRPr="00B14524">
              <w:rPr>
                <w:rFonts w:ascii="Calibri" w:eastAsia="Times New Roman" w:hAnsi="Calibri" w:cs="Calibri"/>
                <w:color w:val="000000"/>
                <w:sz w:val="20"/>
                <w:szCs w:val="20"/>
                <w:lang w:eastAsia="en-GB"/>
              </w:rPr>
              <w:t> </w:t>
            </w:r>
          </w:p>
        </w:tc>
      </w:tr>
      <w:tr w:rsidR="00F24531" w:rsidRPr="00B14524" w14:paraId="6522108C" w14:textId="77777777" w:rsidTr="004653FC">
        <w:trPr>
          <w:cantSplit/>
          <w:trHeight w:hRule="exact" w:val="340"/>
        </w:trPr>
        <w:tc>
          <w:tcPr>
            <w:tcW w:w="1300" w:type="dxa"/>
            <w:vMerge w:val="restart"/>
            <w:tcBorders>
              <w:top w:val="nil"/>
              <w:left w:val="single" w:sz="8" w:space="0" w:color="FFFFFF"/>
              <w:bottom w:val="single" w:sz="8" w:space="0" w:color="FFFFFF"/>
              <w:right w:val="single" w:sz="8" w:space="0" w:color="FFFFFF"/>
            </w:tcBorders>
            <w:shd w:val="clear" w:color="000000" w:fill="E5610E"/>
            <w:textDirection w:val="btLr"/>
            <w:vAlign w:val="center"/>
            <w:hideMark/>
          </w:tcPr>
          <w:p w14:paraId="49204DCB" w14:textId="77777777" w:rsidR="00F24531" w:rsidRPr="00FF6F7D" w:rsidRDefault="00F24531" w:rsidP="004653FC">
            <w:pPr>
              <w:spacing w:after="0" w:line="240" w:lineRule="auto"/>
              <w:jc w:val="center"/>
              <w:rPr>
                <w:rFonts w:ascii="Arial" w:eastAsia="Times New Roman" w:hAnsi="Arial" w:cs="Arial"/>
                <w:b/>
                <w:bCs/>
                <w:color w:val="FFFFFF"/>
                <w:sz w:val="20"/>
                <w:szCs w:val="20"/>
                <w:lang w:eastAsia="en-GB"/>
              </w:rPr>
            </w:pPr>
            <w:r w:rsidRPr="00FF6F7D">
              <w:rPr>
                <w:rFonts w:ascii="Arial" w:eastAsia="Times New Roman" w:hAnsi="Arial" w:cs="Arial"/>
                <w:b/>
                <w:bCs/>
                <w:color w:val="FFFFFF"/>
                <w:sz w:val="20"/>
                <w:szCs w:val="20"/>
                <w:lang w:val="en-GB" w:eastAsia="en-GB"/>
              </w:rPr>
              <w:t>Disposal</w:t>
            </w:r>
          </w:p>
        </w:tc>
        <w:tc>
          <w:tcPr>
            <w:tcW w:w="958" w:type="dxa"/>
            <w:tcBorders>
              <w:top w:val="nil"/>
              <w:left w:val="nil"/>
              <w:bottom w:val="single" w:sz="8" w:space="0" w:color="FFFFFF"/>
              <w:right w:val="single" w:sz="8" w:space="0" w:color="FFFFFF"/>
            </w:tcBorders>
            <w:shd w:val="clear" w:color="000000" w:fill="FDF5F3"/>
            <w:vAlign w:val="center"/>
            <w:hideMark/>
          </w:tcPr>
          <w:p w14:paraId="7755524A" w14:textId="77777777" w:rsidR="00F24531" w:rsidRPr="00B14524" w:rsidRDefault="00F24531" w:rsidP="004653FC">
            <w:pPr>
              <w:spacing w:after="0" w:line="240" w:lineRule="auto"/>
              <w:jc w:val="center"/>
              <w:rPr>
                <w:rFonts w:ascii="Calibri" w:eastAsia="Times New Roman" w:hAnsi="Calibri" w:cs="Calibri"/>
                <w:b/>
                <w:bCs/>
                <w:color w:val="E5610E"/>
                <w:sz w:val="24"/>
                <w:szCs w:val="24"/>
                <w:lang w:eastAsia="en-GB"/>
              </w:rPr>
            </w:pPr>
            <w:r w:rsidRPr="00B14524">
              <w:rPr>
                <w:rFonts w:ascii="Calibri" w:eastAsia="Times New Roman" w:hAnsi="Calibri" w:cs="Calibri"/>
                <w:b/>
                <w:bCs/>
                <w:color w:val="E5610E"/>
                <w:sz w:val="24"/>
                <w:szCs w:val="24"/>
                <w:lang w:val="en-GB" w:eastAsia="en-GB"/>
              </w:rPr>
              <w:t>7.1</w:t>
            </w:r>
          </w:p>
        </w:tc>
        <w:tc>
          <w:tcPr>
            <w:tcW w:w="3686" w:type="dxa"/>
            <w:tcBorders>
              <w:top w:val="nil"/>
              <w:left w:val="nil"/>
              <w:bottom w:val="single" w:sz="8" w:space="0" w:color="FFFFFF"/>
              <w:right w:val="single" w:sz="8" w:space="0" w:color="FFFFFF"/>
            </w:tcBorders>
            <w:shd w:val="clear" w:color="000000" w:fill="FDF5F3"/>
            <w:vAlign w:val="center"/>
            <w:hideMark/>
          </w:tcPr>
          <w:p w14:paraId="1F42E728" w14:textId="77777777" w:rsidR="00F24531" w:rsidRPr="00B14524" w:rsidRDefault="00F24531" w:rsidP="004653FC">
            <w:pPr>
              <w:spacing w:after="0" w:line="240" w:lineRule="auto"/>
              <w:rPr>
                <w:rFonts w:ascii="Calibri" w:eastAsia="Times New Roman" w:hAnsi="Calibri" w:cs="Calibri"/>
                <w:color w:val="000000"/>
                <w:sz w:val="20"/>
                <w:szCs w:val="20"/>
                <w:lang w:eastAsia="en-GB"/>
              </w:rPr>
            </w:pPr>
            <w:r w:rsidRPr="00B14524">
              <w:rPr>
                <w:rFonts w:ascii="Calibri" w:eastAsia="Times New Roman" w:hAnsi="Calibri" w:cs="Calibri"/>
                <w:color w:val="000000"/>
                <w:sz w:val="20"/>
                <w:szCs w:val="20"/>
                <w:lang w:val="en-GB" w:eastAsia="en-GB"/>
              </w:rPr>
              <w:t>Reduce food waste to landfill</w:t>
            </w:r>
          </w:p>
        </w:tc>
        <w:tc>
          <w:tcPr>
            <w:tcW w:w="850" w:type="dxa"/>
            <w:tcBorders>
              <w:top w:val="nil"/>
              <w:left w:val="nil"/>
              <w:bottom w:val="single" w:sz="8" w:space="0" w:color="FFFFFF"/>
              <w:right w:val="single" w:sz="8" w:space="0" w:color="FFFFFF"/>
            </w:tcBorders>
            <w:shd w:val="clear" w:color="000000" w:fill="FDF5F3"/>
            <w:vAlign w:val="center"/>
            <w:hideMark/>
          </w:tcPr>
          <w:p w14:paraId="64AAB030" w14:textId="77777777" w:rsidR="00F24531" w:rsidRPr="00B14524" w:rsidRDefault="00F24531" w:rsidP="004653FC">
            <w:pPr>
              <w:spacing w:after="0" w:line="240" w:lineRule="auto"/>
              <w:jc w:val="center"/>
              <w:rPr>
                <w:rFonts w:ascii="Calibri" w:eastAsia="Times New Roman" w:hAnsi="Calibri" w:cs="Calibri"/>
                <w:color w:val="000000"/>
                <w:sz w:val="20"/>
                <w:szCs w:val="20"/>
                <w:lang w:eastAsia="en-GB"/>
              </w:rPr>
            </w:pPr>
            <w:r w:rsidRPr="00B14524">
              <w:rPr>
                <w:rFonts w:ascii="Calibri" w:eastAsia="Times New Roman" w:hAnsi="Calibri" w:cs="Calibri"/>
                <w:color w:val="000000"/>
                <w:sz w:val="20"/>
                <w:szCs w:val="20"/>
                <w:lang w:val="en-GB" w:eastAsia="en-GB"/>
              </w:rPr>
              <w:t>3070</w:t>
            </w:r>
          </w:p>
        </w:tc>
        <w:tc>
          <w:tcPr>
            <w:tcW w:w="1276" w:type="dxa"/>
            <w:tcBorders>
              <w:top w:val="nil"/>
              <w:left w:val="nil"/>
              <w:bottom w:val="single" w:sz="8" w:space="0" w:color="FFFFFF"/>
              <w:right w:val="single" w:sz="8" w:space="0" w:color="FFFFFF"/>
            </w:tcBorders>
            <w:shd w:val="clear" w:color="000000" w:fill="FDF5F3"/>
            <w:vAlign w:val="center"/>
            <w:hideMark/>
          </w:tcPr>
          <w:p w14:paraId="0336064C" w14:textId="77777777" w:rsidR="00F24531" w:rsidRPr="00B14524" w:rsidRDefault="00F24531" w:rsidP="004653FC">
            <w:pPr>
              <w:spacing w:after="0" w:line="240" w:lineRule="auto"/>
              <w:jc w:val="center"/>
              <w:rPr>
                <w:rFonts w:ascii="Calibri" w:eastAsia="Times New Roman" w:hAnsi="Calibri" w:cs="Calibri"/>
                <w:color w:val="000000"/>
                <w:sz w:val="20"/>
                <w:szCs w:val="20"/>
                <w:lang w:eastAsia="en-GB"/>
              </w:rPr>
            </w:pPr>
            <w:r w:rsidRPr="00B14524">
              <w:rPr>
                <w:rFonts w:ascii="Calibri" w:eastAsia="Times New Roman" w:hAnsi="Calibri" w:cs="Calibri"/>
                <w:color w:val="000000"/>
                <w:sz w:val="20"/>
                <w:szCs w:val="20"/>
                <w:lang w:val="en-GB" w:eastAsia="en-GB"/>
              </w:rPr>
              <w:t>10%</w:t>
            </w:r>
          </w:p>
        </w:tc>
        <w:tc>
          <w:tcPr>
            <w:tcW w:w="1276" w:type="dxa"/>
            <w:tcBorders>
              <w:top w:val="nil"/>
              <w:left w:val="nil"/>
              <w:bottom w:val="single" w:sz="8" w:space="0" w:color="FFFFFF"/>
              <w:right w:val="single" w:sz="8" w:space="0" w:color="FFFFFF"/>
            </w:tcBorders>
            <w:shd w:val="clear" w:color="000000" w:fill="FDF5F3"/>
            <w:vAlign w:val="center"/>
            <w:hideMark/>
          </w:tcPr>
          <w:p w14:paraId="4A9C3174" w14:textId="77777777" w:rsidR="00F24531" w:rsidRPr="00B14524" w:rsidRDefault="00F24531" w:rsidP="004653FC">
            <w:pPr>
              <w:spacing w:after="0" w:line="240" w:lineRule="auto"/>
              <w:jc w:val="center"/>
              <w:rPr>
                <w:rFonts w:ascii="Calibri" w:eastAsia="Times New Roman" w:hAnsi="Calibri" w:cs="Calibri"/>
                <w:color w:val="000000"/>
                <w:sz w:val="20"/>
                <w:szCs w:val="20"/>
                <w:lang w:eastAsia="en-GB"/>
              </w:rPr>
            </w:pPr>
            <w:r w:rsidRPr="00B14524">
              <w:rPr>
                <w:rFonts w:ascii="Calibri" w:eastAsia="Times New Roman" w:hAnsi="Calibri" w:cs="Calibri"/>
                <w:color w:val="000000"/>
                <w:sz w:val="20"/>
                <w:szCs w:val="20"/>
                <w:lang w:eastAsia="en-GB"/>
              </w:rPr>
              <w:t> </w:t>
            </w:r>
          </w:p>
        </w:tc>
      </w:tr>
      <w:tr w:rsidR="00F24531" w:rsidRPr="00B14524" w14:paraId="0E1207A7" w14:textId="77777777" w:rsidTr="004653FC">
        <w:trPr>
          <w:trHeight w:val="340"/>
        </w:trPr>
        <w:tc>
          <w:tcPr>
            <w:tcW w:w="1300" w:type="dxa"/>
            <w:vMerge/>
            <w:tcBorders>
              <w:top w:val="nil"/>
              <w:left w:val="single" w:sz="8" w:space="0" w:color="FFFFFF"/>
              <w:bottom w:val="single" w:sz="8" w:space="0" w:color="FFFFFF"/>
              <w:right w:val="single" w:sz="8" w:space="0" w:color="FFFFFF"/>
            </w:tcBorders>
            <w:vAlign w:val="center"/>
            <w:hideMark/>
          </w:tcPr>
          <w:p w14:paraId="66E1C0CB" w14:textId="77777777" w:rsidR="00F24531" w:rsidRPr="00B14524" w:rsidRDefault="00F24531" w:rsidP="004653FC">
            <w:pPr>
              <w:spacing w:after="0" w:line="240" w:lineRule="auto"/>
              <w:rPr>
                <w:rFonts w:ascii="Arial" w:eastAsia="Times New Roman" w:hAnsi="Arial" w:cs="Arial"/>
                <w:b/>
                <w:bCs/>
                <w:color w:val="FFFFFF"/>
                <w:lang w:eastAsia="en-GB"/>
              </w:rPr>
            </w:pPr>
          </w:p>
        </w:tc>
        <w:tc>
          <w:tcPr>
            <w:tcW w:w="958" w:type="dxa"/>
            <w:tcBorders>
              <w:top w:val="nil"/>
              <w:left w:val="nil"/>
              <w:bottom w:val="single" w:sz="8" w:space="0" w:color="FFFFFF"/>
              <w:right w:val="single" w:sz="8" w:space="0" w:color="FFFFFF"/>
            </w:tcBorders>
            <w:shd w:val="clear" w:color="000000" w:fill="F8DFDA"/>
            <w:vAlign w:val="center"/>
            <w:hideMark/>
          </w:tcPr>
          <w:p w14:paraId="7DAE2833" w14:textId="77777777" w:rsidR="00F24531" w:rsidRPr="00B14524" w:rsidRDefault="00F24531" w:rsidP="004653FC">
            <w:pPr>
              <w:spacing w:after="0" w:line="240" w:lineRule="auto"/>
              <w:jc w:val="center"/>
              <w:rPr>
                <w:rFonts w:ascii="Calibri" w:eastAsia="Times New Roman" w:hAnsi="Calibri" w:cs="Calibri"/>
                <w:b/>
                <w:bCs/>
                <w:color w:val="E5610E"/>
                <w:sz w:val="24"/>
                <w:szCs w:val="24"/>
                <w:lang w:eastAsia="en-GB"/>
              </w:rPr>
            </w:pPr>
            <w:r w:rsidRPr="00B14524">
              <w:rPr>
                <w:rFonts w:ascii="Calibri" w:eastAsia="Times New Roman" w:hAnsi="Calibri" w:cs="Calibri"/>
                <w:b/>
                <w:bCs/>
                <w:color w:val="E5610E"/>
                <w:sz w:val="24"/>
                <w:szCs w:val="24"/>
                <w:lang w:val="en-GB" w:eastAsia="en-GB"/>
              </w:rPr>
              <w:t>7.2</w:t>
            </w:r>
          </w:p>
        </w:tc>
        <w:tc>
          <w:tcPr>
            <w:tcW w:w="3686" w:type="dxa"/>
            <w:tcBorders>
              <w:top w:val="nil"/>
              <w:left w:val="nil"/>
              <w:bottom w:val="single" w:sz="8" w:space="0" w:color="FFFFFF"/>
              <w:right w:val="single" w:sz="8" w:space="0" w:color="FFFFFF"/>
            </w:tcBorders>
            <w:shd w:val="clear" w:color="000000" w:fill="F8DFDA"/>
            <w:vAlign w:val="center"/>
            <w:hideMark/>
          </w:tcPr>
          <w:p w14:paraId="1D49216B" w14:textId="77777777" w:rsidR="00F24531" w:rsidRPr="00B14524" w:rsidRDefault="00F24531" w:rsidP="004653FC">
            <w:pPr>
              <w:spacing w:after="0" w:line="240" w:lineRule="auto"/>
              <w:rPr>
                <w:rFonts w:ascii="Calibri" w:eastAsia="Times New Roman" w:hAnsi="Calibri" w:cs="Calibri"/>
                <w:color w:val="000000"/>
                <w:sz w:val="20"/>
                <w:szCs w:val="20"/>
                <w:lang w:eastAsia="en-GB"/>
              </w:rPr>
            </w:pPr>
            <w:r w:rsidRPr="00B14524">
              <w:rPr>
                <w:rFonts w:ascii="Calibri" w:eastAsia="Times New Roman" w:hAnsi="Calibri" w:cs="Calibri"/>
                <w:color w:val="000000"/>
                <w:sz w:val="20"/>
                <w:szCs w:val="20"/>
                <w:lang w:eastAsia="en-GB"/>
              </w:rPr>
              <w:t>Ban food waste to land fill</w:t>
            </w:r>
          </w:p>
        </w:tc>
        <w:tc>
          <w:tcPr>
            <w:tcW w:w="850" w:type="dxa"/>
            <w:tcBorders>
              <w:top w:val="nil"/>
              <w:left w:val="nil"/>
              <w:bottom w:val="single" w:sz="8" w:space="0" w:color="FFFFFF"/>
              <w:right w:val="single" w:sz="8" w:space="0" w:color="FFFFFF"/>
            </w:tcBorders>
            <w:shd w:val="clear" w:color="000000" w:fill="F8DFDA"/>
            <w:vAlign w:val="center"/>
            <w:hideMark/>
          </w:tcPr>
          <w:p w14:paraId="1993C723" w14:textId="77777777" w:rsidR="00F24531" w:rsidRPr="00B14524" w:rsidRDefault="00F24531" w:rsidP="004653FC">
            <w:pPr>
              <w:spacing w:after="0" w:line="240" w:lineRule="auto"/>
              <w:jc w:val="center"/>
              <w:rPr>
                <w:rFonts w:ascii="Calibri" w:eastAsia="Times New Roman" w:hAnsi="Calibri" w:cs="Calibri"/>
                <w:color w:val="000000"/>
                <w:sz w:val="20"/>
                <w:szCs w:val="20"/>
                <w:lang w:eastAsia="en-GB"/>
              </w:rPr>
            </w:pPr>
            <w:r w:rsidRPr="00B14524">
              <w:rPr>
                <w:rFonts w:ascii="Calibri" w:eastAsia="Times New Roman" w:hAnsi="Calibri" w:cs="Calibri"/>
                <w:color w:val="000000"/>
                <w:sz w:val="20"/>
                <w:szCs w:val="20"/>
                <w:lang w:eastAsia="en-GB"/>
              </w:rPr>
              <w:t>3070</w:t>
            </w:r>
          </w:p>
        </w:tc>
        <w:tc>
          <w:tcPr>
            <w:tcW w:w="1276" w:type="dxa"/>
            <w:tcBorders>
              <w:top w:val="nil"/>
              <w:left w:val="nil"/>
              <w:bottom w:val="single" w:sz="8" w:space="0" w:color="FFFFFF"/>
              <w:right w:val="single" w:sz="8" w:space="0" w:color="FFFFFF"/>
            </w:tcBorders>
            <w:shd w:val="clear" w:color="000000" w:fill="F8DFDA"/>
            <w:vAlign w:val="center"/>
            <w:hideMark/>
          </w:tcPr>
          <w:p w14:paraId="554B4535" w14:textId="77777777" w:rsidR="00F24531" w:rsidRPr="00B14524" w:rsidRDefault="00F24531" w:rsidP="004653FC">
            <w:pPr>
              <w:spacing w:after="0" w:line="240" w:lineRule="auto"/>
              <w:jc w:val="center"/>
              <w:rPr>
                <w:rFonts w:ascii="Calibri" w:eastAsia="Times New Roman" w:hAnsi="Calibri" w:cs="Calibri"/>
                <w:color w:val="000000"/>
                <w:sz w:val="20"/>
                <w:szCs w:val="20"/>
                <w:lang w:eastAsia="en-GB"/>
              </w:rPr>
            </w:pPr>
            <w:r w:rsidRPr="00B14524">
              <w:rPr>
                <w:rFonts w:ascii="Calibri" w:eastAsia="Times New Roman" w:hAnsi="Calibri" w:cs="Calibri"/>
                <w:color w:val="000000"/>
                <w:sz w:val="20"/>
                <w:szCs w:val="20"/>
                <w:lang w:val="en-GB" w:eastAsia="en-GB"/>
              </w:rPr>
              <w:t>40%</w:t>
            </w:r>
          </w:p>
        </w:tc>
        <w:tc>
          <w:tcPr>
            <w:tcW w:w="1276" w:type="dxa"/>
            <w:tcBorders>
              <w:top w:val="nil"/>
              <w:left w:val="nil"/>
              <w:bottom w:val="single" w:sz="8" w:space="0" w:color="FFFFFF"/>
              <w:right w:val="single" w:sz="8" w:space="0" w:color="FFFFFF"/>
            </w:tcBorders>
            <w:shd w:val="clear" w:color="000000" w:fill="F8DFDA"/>
            <w:vAlign w:val="center"/>
            <w:hideMark/>
          </w:tcPr>
          <w:p w14:paraId="43AAE4A3" w14:textId="77777777" w:rsidR="00F24531" w:rsidRPr="00B14524" w:rsidRDefault="00F24531" w:rsidP="004653FC">
            <w:pPr>
              <w:spacing w:after="0" w:line="240" w:lineRule="auto"/>
              <w:jc w:val="center"/>
              <w:rPr>
                <w:rFonts w:ascii="Calibri" w:eastAsia="Times New Roman" w:hAnsi="Calibri" w:cs="Calibri"/>
                <w:color w:val="000000"/>
                <w:sz w:val="20"/>
                <w:szCs w:val="20"/>
                <w:lang w:eastAsia="en-GB"/>
              </w:rPr>
            </w:pPr>
            <w:r w:rsidRPr="00B14524">
              <w:rPr>
                <w:rFonts w:ascii="Calibri" w:eastAsia="Times New Roman" w:hAnsi="Calibri" w:cs="Calibri"/>
                <w:color w:val="000000"/>
                <w:sz w:val="20"/>
                <w:szCs w:val="20"/>
                <w:lang w:eastAsia="en-GB"/>
              </w:rPr>
              <w:t>100%</w:t>
            </w:r>
          </w:p>
        </w:tc>
      </w:tr>
      <w:tr w:rsidR="00F24531" w:rsidRPr="00B14524" w14:paraId="6BE9C478" w14:textId="77777777" w:rsidTr="004653FC">
        <w:trPr>
          <w:trHeight w:val="340"/>
        </w:trPr>
        <w:tc>
          <w:tcPr>
            <w:tcW w:w="1300" w:type="dxa"/>
            <w:vMerge/>
            <w:tcBorders>
              <w:top w:val="nil"/>
              <w:left w:val="single" w:sz="8" w:space="0" w:color="FFFFFF"/>
              <w:bottom w:val="single" w:sz="8" w:space="0" w:color="FFFFFF"/>
              <w:right w:val="single" w:sz="8" w:space="0" w:color="FFFFFF"/>
            </w:tcBorders>
            <w:vAlign w:val="center"/>
            <w:hideMark/>
          </w:tcPr>
          <w:p w14:paraId="64BC3B40" w14:textId="77777777" w:rsidR="00F24531" w:rsidRPr="00B14524" w:rsidRDefault="00F24531" w:rsidP="004653FC">
            <w:pPr>
              <w:spacing w:after="0" w:line="240" w:lineRule="auto"/>
              <w:rPr>
                <w:rFonts w:ascii="Arial" w:eastAsia="Times New Roman" w:hAnsi="Arial" w:cs="Arial"/>
                <w:b/>
                <w:bCs/>
                <w:color w:val="FFFFFF"/>
                <w:lang w:eastAsia="en-GB"/>
              </w:rPr>
            </w:pPr>
          </w:p>
        </w:tc>
        <w:tc>
          <w:tcPr>
            <w:tcW w:w="958" w:type="dxa"/>
            <w:tcBorders>
              <w:top w:val="nil"/>
              <w:left w:val="nil"/>
              <w:bottom w:val="single" w:sz="8" w:space="0" w:color="FFFFFF"/>
              <w:right w:val="single" w:sz="8" w:space="0" w:color="FFFFFF"/>
            </w:tcBorders>
            <w:shd w:val="clear" w:color="000000" w:fill="FDF5F3"/>
            <w:vAlign w:val="center"/>
            <w:hideMark/>
          </w:tcPr>
          <w:p w14:paraId="2439FF30" w14:textId="77777777" w:rsidR="00F24531" w:rsidRPr="00B14524" w:rsidRDefault="00F24531" w:rsidP="004653FC">
            <w:pPr>
              <w:spacing w:after="0" w:line="240" w:lineRule="auto"/>
              <w:jc w:val="center"/>
              <w:rPr>
                <w:rFonts w:ascii="Calibri" w:eastAsia="Times New Roman" w:hAnsi="Calibri" w:cs="Calibri"/>
                <w:b/>
                <w:bCs/>
                <w:color w:val="E5610E"/>
                <w:sz w:val="24"/>
                <w:szCs w:val="24"/>
                <w:lang w:eastAsia="en-GB"/>
              </w:rPr>
            </w:pPr>
            <w:r w:rsidRPr="00B14524">
              <w:rPr>
                <w:rFonts w:ascii="Calibri" w:eastAsia="Times New Roman" w:hAnsi="Calibri" w:cs="Calibri"/>
                <w:b/>
                <w:bCs/>
                <w:color w:val="E5610E"/>
                <w:sz w:val="24"/>
                <w:szCs w:val="24"/>
                <w:lang w:eastAsia="en-GB"/>
              </w:rPr>
              <w:t> </w:t>
            </w:r>
          </w:p>
        </w:tc>
        <w:tc>
          <w:tcPr>
            <w:tcW w:w="3686" w:type="dxa"/>
            <w:tcBorders>
              <w:top w:val="nil"/>
              <w:left w:val="nil"/>
              <w:bottom w:val="single" w:sz="8" w:space="0" w:color="FFFFFF"/>
              <w:right w:val="single" w:sz="8" w:space="0" w:color="FFFFFF"/>
            </w:tcBorders>
            <w:shd w:val="clear" w:color="000000" w:fill="FDF5F3"/>
            <w:vAlign w:val="center"/>
            <w:hideMark/>
          </w:tcPr>
          <w:p w14:paraId="5FFF8E5B" w14:textId="77777777" w:rsidR="00F24531" w:rsidRPr="00B14524" w:rsidRDefault="00F24531" w:rsidP="004653FC">
            <w:pPr>
              <w:spacing w:after="0" w:line="240" w:lineRule="auto"/>
              <w:rPr>
                <w:rFonts w:ascii="Calibri" w:eastAsia="Times New Roman" w:hAnsi="Calibri" w:cs="Calibri"/>
                <w:color w:val="000000"/>
                <w:sz w:val="20"/>
                <w:szCs w:val="20"/>
                <w:lang w:eastAsia="en-GB"/>
              </w:rPr>
            </w:pPr>
            <w:r w:rsidRPr="00B14524">
              <w:rPr>
                <w:rFonts w:ascii="Calibri" w:eastAsia="Times New Roman" w:hAnsi="Calibri" w:cs="Calibri"/>
                <w:color w:val="000000"/>
                <w:sz w:val="20"/>
                <w:szCs w:val="20"/>
                <w:lang w:eastAsia="en-GB"/>
              </w:rPr>
              <w:t> </w:t>
            </w:r>
          </w:p>
        </w:tc>
        <w:tc>
          <w:tcPr>
            <w:tcW w:w="850" w:type="dxa"/>
            <w:tcBorders>
              <w:top w:val="nil"/>
              <w:left w:val="nil"/>
              <w:bottom w:val="single" w:sz="8" w:space="0" w:color="FFFFFF"/>
              <w:right w:val="single" w:sz="8" w:space="0" w:color="FFFFFF"/>
            </w:tcBorders>
            <w:shd w:val="clear" w:color="000000" w:fill="FDF5F3"/>
            <w:vAlign w:val="center"/>
            <w:hideMark/>
          </w:tcPr>
          <w:p w14:paraId="6A05228E" w14:textId="77777777" w:rsidR="00F24531" w:rsidRPr="00B14524" w:rsidRDefault="00F24531" w:rsidP="004653FC">
            <w:pPr>
              <w:spacing w:after="0" w:line="240" w:lineRule="auto"/>
              <w:jc w:val="center"/>
              <w:rPr>
                <w:rFonts w:ascii="Calibri" w:eastAsia="Times New Roman" w:hAnsi="Calibri" w:cs="Calibri"/>
                <w:color w:val="000000"/>
                <w:sz w:val="20"/>
                <w:szCs w:val="20"/>
                <w:lang w:eastAsia="en-GB"/>
              </w:rPr>
            </w:pPr>
            <w:r w:rsidRPr="00B14524">
              <w:rPr>
                <w:rFonts w:ascii="Calibri" w:eastAsia="Times New Roman" w:hAnsi="Calibri" w:cs="Calibri"/>
                <w:color w:val="000000"/>
                <w:sz w:val="20"/>
                <w:szCs w:val="20"/>
                <w:lang w:eastAsia="en-GB"/>
              </w:rPr>
              <w:t> </w:t>
            </w:r>
          </w:p>
        </w:tc>
        <w:tc>
          <w:tcPr>
            <w:tcW w:w="1276" w:type="dxa"/>
            <w:tcBorders>
              <w:top w:val="nil"/>
              <w:left w:val="nil"/>
              <w:bottom w:val="single" w:sz="8" w:space="0" w:color="FFFFFF"/>
              <w:right w:val="single" w:sz="8" w:space="0" w:color="FFFFFF"/>
            </w:tcBorders>
            <w:shd w:val="clear" w:color="000000" w:fill="FDF5F3"/>
            <w:vAlign w:val="center"/>
            <w:hideMark/>
          </w:tcPr>
          <w:p w14:paraId="620B9832" w14:textId="77777777" w:rsidR="00F24531" w:rsidRPr="00B14524" w:rsidRDefault="00F24531" w:rsidP="004653FC">
            <w:pPr>
              <w:spacing w:after="0" w:line="240" w:lineRule="auto"/>
              <w:jc w:val="center"/>
              <w:rPr>
                <w:rFonts w:ascii="Calibri" w:eastAsia="Times New Roman" w:hAnsi="Calibri" w:cs="Calibri"/>
                <w:color w:val="000000"/>
                <w:sz w:val="20"/>
                <w:szCs w:val="20"/>
                <w:lang w:eastAsia="en-GB"/>
              </w:rPr>
            </w:pPr>
            <w:r w:rsidRPr="00B14524">
              <w:rPr>
                <w:rFonts w:ascii="Calibri" w:eastAsia="Times New Roman" w:hAnsi="Calibri" w:cs="Calibri"/>
                <w:color w:val="000000"/>
                <w:sz w:val="20"/>
                <w:szCs w:val="20"/>
                <w:lang w:eastAsia="en-GB"/>
              </w:rPr>
              <w:t> </w:t>
            </w:r>
          </w:p>
        </w:tc>
        <w:tc>
          <w:tcPr>
            <w:tcW w:w="1276" w:type="dxa"/>
            <w:tcBorders>
              <w:top w:val="nil"/>
              <w:left w:val="nil"/>
              <w:bottom w:val="single" w:sz="8" w:space="0" w:color="FFFFFF"/>
              <w:right w:val="single" w:sz="8" w:space="0" w:color="FFFFFF"/>
            </w:tcBorders>
            <w:shd w:val="clear" w:color="000000" w:fill="FDF5F3"/>
            <w:vAlign w:val="center"/>
            <w:hideMark/>
          </w:tcPr>
          <w:p w14:paraId="71DAA49B" w14:textId="77777777" w:rsidR="00F24531" w:rsidRPr="00B14524" w:rsidRDefault="00F24531" w:rsidP="004653FC">
            <w:pPr>
              <w:spacing w:after="0" w:line="240" w:lineRule="auto"/>
              <w:jc w:val="center"/>
              <w:rPr>
                <w:rFonts w:ascii="Calibri" w:eastAsia="Times New Roman" w:hAnsi="Calibri" w:cs="Calibri"/>
                <w:color w:val="000000"/>
                <w:sz w:val="20"/>
                <w:szCs w:val="20"/>
                <w:lang w:eastAsia="en-GB"/>
              </w:rPr>
            </w:pPr>
            <w:r w:rsidRPr="00B14524">
              <w:rPr>
                <w:rFonts w:ascii="Calibri" w:eastAsia="Times New Roman" w:hAnsi="Calibri" w:cs="Calibri"/>
                <w:color w:val="000000"/>
                <w:sz w:val="20"/>
                <w:szCs w:val="20"/>
                <w:lang w:eastAsia="en-GB"/>
              </w:rPr>
              <w:t> </w:t>
            </w:r>
          </w:p>
        </w:tc>
      </w:tr>
    </w:tbl>
    <w:p w14:paraId="52C15FDF" w14:textId="77777777" w:rsidR="00F24531" w:rsidRPr="00F24531" w:rsidRDefault="00F24531" w:rsidP="00F24531"/>
    <w:p w14:paraId="3370F548" w14:textId="49F8B2DC" w:rsidR="007770C2" w:rsidRPr="007A03D9" w:rsidRDefault="007770C2" w:rsidP="007A03D9">
      <w:pPr>
        <w:pStyle w:val="Heading1"/>
        <w:rPr>
          <w:rStyle w:val="Strong"/>
          <w:b/>
          <w:bCs w:val="0"/>
        </w:rPr>
      </w:pPr>
      <w:bookmarkStart w:id="50" w:name="_Toc39140018"/>
      <w:r w:rsidRPr="007A03D9">
        <w:rPr>
          <w:rStyle w:val="Strong"/>
          <w:b/>
          <w:bCs w:val="0"/>
        </w:rPr>
        <w:lastRenderedPageBreak/>
        <w:t>Ensuring long-term funding</w:t>
      </w:r>
      <w:bookmarkEnd w:id="50"/>
    </w:p>
    <w:p w14:paraId="0F7EA047" w14:textId="77777777" w:rsidR="007770C2" w:rsidRDefault="007770C2" w:rsidP="007770C2">
      <w:pPr>
        <w:jc w:val="both"/>
        <w:rPr>
          <w:sz w:val="24"/>
          <w:szCs w:val="24"/>
        </w:rPr>
      </w:pPr>
      <w:r w:rsidRPr="001417B2">
        <w:rPr>
          <w:sz w:val="24"/>
          <w:szCs w:val="24"/>
        </w:rPr>
        <w:t xml:space="preserve">Ensuring the long-term financing and financial stability of any voluntary commitment is critical to its longevity and impact, providing confidence of all those involved that it presents a worthwhile investment </w:t>
      </w:r>
      <w:r>
        <w:rPr>
          <w:sz w:val="24"/>
          <w:szCs w:val="24"/>
        </w:rPr>
        <w:t>of</w:t>
      </w:r>
      <w:r w:rsidRPr="001417B2">
        <w:rPr>
          <w:sz w:val="24"/>
          <w:szCs w:val="24"/>
        </w:rPr>
        <w:t xml:space="preserve"> their time and resources and is laying the foundations for long-term change. </w:t>
      </w:r>
    </w:p>
    <w:p w14:paraId="07D78476" w14:textId="6F3F63F2" w:rsidR="007770C2" w:rsidRDefault="007770C2" w:rsidP="007770C2">
      <w:pPr>
        <w:jc w:val="both"/>
        <w:rPr>
          <w:sz w:val="24"/>
          <w:szCs w:val="24"/>
        </w:rPr>
      </w:pPr>
      <w:r w:rsidRPr="001417B2">
        <w:rPr>
          <w:sz w:val="24"/>
          <w:szCs w:val="24"/>
        </w:rPr>
        <w:t>In other countries, different funding compositions exist, which can come in the form of donation</w:t>
      </w:r>
      <w:r w:rsidR="001E4020">
        <w:rPr>
          <w:sz w:val="24"/>
          <w:szCs w:val="24"/>
        </w:rPr>
        <w:t>s</w:t>
      </w:r>
      <w:r w:rsidRPr="001417B2">
        <w:rPr>
          <w:sz w:val="24"/>
          <w:szCs w:val="24"/>
        </w:rPr>
        <w:t xml:space="preserve">, grants or governmental funding agreements, can be 100% private sector, 100% public sector, charitable foundation or donor funding or a mix of all of these funding streams. In most cases, seed and some on-going government funding is required to help establish a </w:t>
      </w:r>
      <w:r>
        <w:rPr>
          <w:sz w:val="24"/>
          <w:szCs w:val="24"/>
        </w:rPr>
        <w:t>voluntary commitment program</w:t>
      </w:r>
      <w:r w:rsidRPr="001417B2">
        <w:rPr>
          <w:sz w:val="24"/>
          <w:szCs w:val="24"/>
        </w:rPr>
        <w:t xml:space="preserve"> and provide others with the confidence to invest in it over time. </w:t>
      </w:r>
    </w:p>
    <w:p w14:paraId="45B2D0CA" w14:textId="74EF51A9" w:rsidR="00FF6F7D" w:rsidRPr="001417B2" w:rsidRDefault="00FF6F7D" w:rsidP="00FF6F7D">
      <w:pPr>
        <w:jc w:val="both"/>
        <w:rPr>
          <w:sz w:val="24"/>
          <w:szCs w:val="24"/>
        </w:rPr>
      </w:pPr>
      <w:r w:rsidRPr="001417B2">
        <w:rPr>
          <w:sz w:val="24"/>
          <w:szCs w:val="24"/>
        </w:rPr>
        <w:t>In the medium to long term (</w:t>
      </w:r>
      <w:r>
        <w:rPr>
          <w:sz w:val="24"/>
          <w:szCs w:val="24"/>
        </w:rPr>
        <w:t>4</w:t>
      </w:r>
      <w:r w:rsidR="00595E32">
        <w:rPr>
          <w:sz w:val="24"/>
          <w:szCs w:val="24"/>
        </w:rPr>
        <w:t xml:space="preserve"> to </w:t>
      </w:r>
      <w:bookmarkStart w:id="51" w:name="_GoBack"/>
      <w:bookmarkEnd w:id="51"/>
      <w:r w:rsidRPr="001417B2">
        <w:rPr>
          <w:sz w:val="24"/>
          <w:szCs w:val="24"/>
        </w:rPr>
        <w:t xml:space="preserve">10 years) those responsible for leading the </w:t>
      </w:r>
      <w:r>
        <w:rPr>
          <w:sz w:val="24"/>
          <w:szCs w:val="24"/>
        </w:rPr>
        <w:t>voluntary commitment program</w:t>
      </w:r>
      <w:r w:rsidRPr="001417B2">
        <w:rPr>
          <w:sz w:val="24"/>
          <w:szCs w:val="24"/>
        </w:rPr>
        <w:t xml:space="preserve"> should seek to secure diversified funding </w:t>
      </w:r>
      <w:r>
        <w:rPr>
          <w:sz w:val="24"/>
          <w:szCs w:val="24"/>
        </w:rPr>
        <w:t>for it</w:t>
      </w:r>
      <w:r w:rsidRPr="001417B2">
        <w:rPr>
          <w:sz w:val="24"/>
          <w:szCs w:val="24"/>
        </w:rPr>
        <w:t>, so it is not dependent on the will of the government or a few actors</w:t>
      </w:r>
      <w:r>
        <w:rPr>
          <w:sz w:val="24"/>
          <w:szCs w:val="24"/>
        </w:rPr>
        <w:t xml:space="preserve"> or signatories</w:t>
      </w:r>
      <w:r w:rsidRPr="001417B2">
        <w:rPr>
          <w:sz w:val="24"/>
          <w:szCs w:val="24"/>
        </w:rPr>
        <w:t>.</w:t>
      </w:r>
    </w:p>
    <w:p w14:paraId="15CA2D2A" w14:textId="77777777" w:rsidR="00AC2D4B" w:rsidRPr="001417B2" w:rsidRDefault="00AC2D4B" w:rsidP="00AC2D4B">
      <w:pPr>
        <w:jc w:val="both"/>
        <w:rPr>
          <w:sz w:val="24"/>
          <w:szCs w:val="24"/>
        </w:rPr>
      </w:pPr>
      <w:r w:rsidRPr="001417B2">
        <w:rPr>
          <w:sz w:val="24"/>
          <w:szCs w:val="24"/>
        </w:rPr>
        <w:t xml:space="preserve">From experience elsewhere (e.g. the Courtauld Commitment in the UK, The Sustainability Consortium in the USA and the UN Environment Transforming Tourism Project in Asia, Africa and Latin America), the ideal </w:t>
      </w:r>
      <w:r>
        <w:rPr>
          <w:sz w:val="24"/>
          <w:szCs w:val="24"/>
        </w:rPr>
        <w:t xml:space="preserve">medium-term </w:t>
      </w:r>
      <w:r w:rsidRPr="001417B2">
        <w:rPr>
          <w:sz w:val="24"/>
          <w:szCs w:val="24"/>
        </w:rPr>
        <w:t xml:space="preserve">funding composition is a mix of private and public funding to ensure success whilst maintaining neutrality. Once a </w:t>
      </w:r>
      <w:r>
        <w:rPr>
          <w:sz w:val="24"/>
          <w:szCs w:val="24"/>
        </w:rPr>
        <w:t>voluntary commitment</w:t>
      </w:r>
      <w:r w:rsidRPr="001417B2">
        <w:rPr>
          <w:sz w:val="24"/>
          <w:szCs w:val="24"/>
        </w:rPr>
        <w:t xml:space="preserve"> is established, it is often easier to ask signatory organisations to contribute to the costs</w:t>
      </w:r>
      <w:r>
        <w:rPr>
          <w:sz w:val="24"/>
          <w:szCs w:val="24"/>
        </w:rPr>
        <w:t>, once they have seen the value from their participation in the program</w:t>
      </w:r>
      <w:r w:rsidRPr="001417B2">
        <w:rPr>
          <w:sz w:val="24"/>
          <w:szCs w:val="24"/>
        </w:rPr>
        <w:t xml:space="preserve">. This also helps them to feel a greater sense of ownership in the </w:t>
      </w:r>
      <w:r>
        <w:rPr>
          <w:sz w:val="24"/>
          <w:szCs w:val="24"/>
        </w:rPr>
        <w:t>voluntary commitment</w:t>
      </w:r>
      <w:r w:rsidRPr="001417B2">
        <w:rPr>
          <w:sz w:val="24"/>
          <w:szCs w:val="24"/>
        </w:rPr>
        <w:t xml:space="preserve"> – but large financial contributors to the </w:t>
      </w:r>
      <w:r>
        <w:rPr>
          <w:sz w:val="24"/>
          <w:szCs w:val="24"/>
        </w:rPr>
        <w:t>voluntary commitment</w:t>
      </w:r>
      <w:r w:rsidRPr="001417B2">
        <w:rPr>
          <w:sz w:val="24"/>
          <w:szCs w:val="24"/>
        </w:rPr>
        <w:t xml:space="preserve"> should not have biased representation in it or be in a position to block progress</w:t>
      </w:r>
      <w:r>
        <w:rPr>
          <w:sz w:val="24"/>
          <w:szCs w:val="24"/>
        </w:rPr>
        <w:t xml:space="preserve"> against agreed objectives and targets</w:t>
      </w:r>
      <w:r w:rsidRPr="001417B2">
        <w:rPr>
          <w:sz w:val="24"/>
          <w:szCs w:val="24"/>
        </w:rPr>
        <w:t>.</w:t>
      </w:r>
    </w:p>
    <w:p w14:paraId="2EC138F5" w14:textId="77777777" w:rsidR="00FF6F7D" w:rsidRPr="001417B2" w:rsidRDefault="00FF6F7D" w:rsidP="007770C2">
      <w:pPr>
        <w:jc w:val="both"/>
        <w:rPr>
          <w:sz w:val="24"/>
          <w:szCs w:val="24"/>
        </w:rPr>
      </w:pPr>
    </w:p>
    <w:p w14:paraId="152F2960" w14:textId="4D52FAE7" w:rsidR="007770C2" w:rsidRDefault="007770C2" w:rsidP="00C117FD">
      <w:pPr>
        <w:jc w:val="both"/>
        <w:rPr>
          <w:sz w:val="24"/>
          <w:szCs w:val="24"/>
        </w:rPr>
      </w:pPr>
    </w:p>
    <w:p w14:paraId="03703E26" w14:textId="040CDD33" w:rsidR="007770C2" w:rsidRDefault="007770C2" w:rsidP="00C117FD">
      <w:pPr>
        <w:jc w:val="both"/>
        <w:rPr>
          <w:sz w:val="24"/>
          <w:szCs w:val="24"/>
        </w:rPr>
      </w:pPr>
    </w:p>
    <w:p w14:paraId="7DF8D963" w14:textId="2E528E45" w:rsidR="00982876" w:rsidRPr="007770C2" w:rsidRDefault="00982876" w:rsidP="00982876">
      <w:pPr>
        <w:jc w:val="both"/>
        <w:rPr>
          <w:sz w:val="20"/>
          <w:szCs w:val="20"/>
        </w:rPr>
      </w:pPr>
    </w:p>
    <w:p w14:paraId="75DD45C8" w14:textId="77777777" w:rsidR="00982876" w:rsidRPr="006E5014" w:rsidRDefault="00982876" w:rsidP="00982876">
      <w:pPr>
        <w:jc w:val="both"/>
        <w:rPr>
          <w:sz w:val="24"/>
          <w:szCs w:val="24"/>
        </w:rPr>
      </w:pPr>
    </w:p>
    <w:p w14:paraId="46C2CEA9" w14:textId="381E0993" w:rsidR="00AC2D4B" w:rsidRDefault="00AC2D4B">
      <w:r>
        <w:br w:type="page"/>
      </w:r>
    </w:p>
    <w:p w14:paraId="3A7EF85F" w14:textId="76AAE8D8" w:rsidR="008B4FDF" w:rsidRPr="007A03D9" w:rsidRDefault="002D5D07" w:rsidP="007A03D9">
      <w:pPr>
        <w:pStyle w:val="Heading1"/>
        <w:rPr>
          <w:rStyle w:val="Strong"/>
          <w:b/>
          <w:bCs w:val="0"/>
        </w:rPr>
      </w:pPr>
      <w:bookmarkStart w:id="52" w:name="_Toc39140019"/>
      <w:r w:rsidRPr="007A03D9">
        <w:rPr>
          <w:rStyle w:val="Strong"/>
          <w:b/>
          <w:bCs w:val="0"/>
        </w:rPr>
        <w:lastRenderedPageBreak/>
        <w:t>Measuring progress</w:t>
      </w:r>
      <w:r w:rsidR="0099233D" w:rsidRPr="007A03D9">
        <w:rPr>
          <w:rStyle w:val="Strong"/>
          <w:b/>
          <w:bCs w:val="0"/>
        </w:rPr>
        <w:t xml:space="preserve"> and impact</w:t>
      </w:r>
      <w:bookmarkEnd w:id="52"/>
    </w:p>
    <w:p w14:paraId="340B1939" w14:textId="53B7ED5D" w:rsidR="0099233D" w:rsidRPr="00120ECE" w:rsidRDefault="00A91E12" w:rsidP="00A91E12">
      <w:pPr>
        <w:jc w:val="both"/>
        <w:rPr>
          <w:sz w:val="24"/>
          <w:szCs w:val="24"/>
          <w:highlight w:val="yellow"/>
        </w:rPr>
      </w:pPr>
      <w:r w:rsidRPr="0099233D">
        <w:rPr>
          <w:sz w:val="24"/>
          <w:szCs w:val="24"/>
        </w:rPr>
        <w:t xml:space="preserve">Once collective targets and objectives have been agreed between signatory organisations, government stakeholders and the independent third party running the </w:t>
      </w:r>
      <w:r w:rsidR="0099233D">
        <w:rPr>
          <w:sz w:val="24"/>
          <w:szCs w:val="24"/>
        </w:rPr>
        <w:t>voluntary commitment program</w:t>
      </w:r>
      <w:r w:rsidRPr="0099233D">
        <w:rPr>
          <w:sz w:val="24"/>
          <w:szCs w:val="24"/>
        </w:rPr>
        <w:t xml:space="preserve">, a clear </w:t>
      </w:r>
      <w:r w:rsidR="0099233D" w:rsidRPr="00120ECE">
        <w:rPr>
          <w:sz w:val="24"/>
          <w:szCs w:val="24"/>
        </w:rPr>
        <w:t>MERI</w:t>
      </w:r>
      <w:r w:rsidR="0099233D">
        <w:rPr>
          <w:sz w:val="24"/>
          <w:szCs w:val="24"/>
        </w:rPr>
        <w:t xml:space="preserve"> </w:t>
      </w:r>
      <w:r w:rsidRPr="0099233D">
        <w:rPr>
          <w:sz w:val="24"/>
          <w:szCs w:val="24"/>
        </w:rPr>
        <w:t xml:space="preserve">framework needs to be put in place. This will help to track the impact of signatory actions over time and ensure that agreed targets and objectives will be met or exceeded; or </w:t>
      </w:r>
      <w:r w:rsidR="00ED6DE8" w:rsidRPr="0099233D">
        <w:rPr>
          <w:sz w:val="24"/>
          <w:szCs w:val="24"/>
        </w:rPr>
        <w:t xml:space="preserve">identify </w:t>
      </w:r>
      <w:r w:rsidRPr="0099233D">
        <w:rPr>
          <w:sz w:val="24"/>
          <w:szCs w:val="24"/>
        </w:rPr>
        <w:t xml:space="preserve">where further action is required. </w:t>
      </w:r>
    </w:p>
    <w:p w14:paraId="28D368D7" w14:textId="77777777" w:rsidR="00FA1BFB" w:rsidRPr="0099233D" w:rsidRDefault="00A91E12" w:rsidP="00A91E12">
      <w:pPr>
        <w:jc w:val="both"/>
        <w:rPr>
          <w:sz w:val="24"/>
          <w:szCs w:val="24"/>
        </w:rPr>
      </w:pPr>
      <w:r w:rsidRPr="0099233D">
        <w:rPr>
          <w:sz w:val="24"/>
          <w:szCs w:val="24"/>
        </w:rPr>
        <w:t xml:space="preserve">Most early stage </w:t>
      </w:r>
      <w:r w:rsidR="0099233D">
        <w:rPr>
          <w:sz w:val="24"/>
          <w:szCs w:val="24"/>
        </w:rPr>
        <w:t>voluntary commitment programs</w:t>
      </w:r>
      <w:r w:rsidRPr="0099233D">
        <w:rPr>
          <w:sz w:val="24"/>
          <w:szCs w:val="24"/>
        </w:rPr>
        <w:t xml:space="preserve"> tend to use a mix of (mostly) quantitative targets and objectives, with some more qualitative measures</w:t>
      </w:r>
      <w:r w:rsidR="0099233D">
        <w:rPr>
          <w:sz w:val="24"/>
          <w:szCs w:val="24"/>
        </w:rPr>
        <w:t>,</w:t>
      </w:r>
      <w:r w:rsidRPr="0099233D">
        <w:rPr>
          <w:sz w:val="24"/>
          <w:szCs w:val="24"/>
        </w:rPr>
        <w:t xml:space="preserve"> where </w:t>
      </w:r>
      <w:r w:rsidR="00FA1BFB" w:rsidRPr="0099233D">
        <w:rPr>
          <w:sz w:val="24"/>
          <w:szCs w:val="24"/>
        </w:rPr>
        <w:t xml:space="preserve">data does not yet exist or is not sufficiently robust or granular at the launch of the </w:t>
      </w:r>
      <w:r w:rsidR="0099233D">
        <w:rPr>
          <w:sz w:val="24"/>
          <w:szCs w:val="24"/>
        </w:rPr>
        <w:t>program</w:t>
      </w:r>
      <w:r w:rsidR="00FA1BFB" w:rsidRPr="0099233D">
        <w:rPr>
          <w:sz w:val="24"/>
          <w:szCs w:val="24"/>
        </w:rPr>
        <w:t xml:space="preserve">. This is particularly the case with existing </w:t>
      </w:r>
      <w:r w:rsidR="0099233D">
        <w:rPr>
          <w:sz w:val="24"/>
          <w:szCs w:val="24"/>
        </w:rPr>
        <w:t>voluntary commitments</w:t>
      </w:r>
      <w:r w:rsidR="00FA1BFB" w:rsidRPr="0099233D">
        <w:rPr>
          <w:sz w:val="24"/>
          <w:szCs w:val="24"/>
        </w:rPr>
        <w:t xml:space="preserve"> relating to the reduction of food loss and waste, where many signatory organisations have not gone through a process of quantifying the food loss and waste present in their own operations – or, at a later stage, </w:t>
      </w:r>
      <w:r w:rsidR="00FC5296">
        <w:rPr>
          <w:sz w:val="24"/>
          <w:szCs w:val="24"/>
        </w:rPr>
        <w:t xml:space="preserve">in </w:t>
      </w:r>
      <w:r w:rsidR="00FA1BFB" w:rsidRPr="0099233D">
        <w:rPr>
          <w:sz w:val="24"/>
          <w:szCs w:val="24"/>
        </w:rPr>
        <w:t xml:space="preserve">their value chains. </w:t>
      </w:r>
    </w:p>
    <w:p w14:paraId="5169BE5F" w14:textId="77777777" w:rsidR="00FA1BFB" w:rsidRPr="0099233D" w:rsidRDefault="00FA1BFB" w:rsidP="00A91E12">
      <w:pPr>
        <w:jc w:val="both"/>
        <w:rPr>
          <w:sz w:val="24"/>
          <w:szCs w:val="24"/>
        </w:rPr>
      </w:pPr>
      <w:r w:rsidRPr="0099233D">
        <w:rPr>
          <w:sz w:val="24"/>
          <w:szCs w:val="24"/>
        </w:rPr>
        <w:t xml:space="preserve">It is worth noting that, in some cases, as the quality, granularity and coverage of food loss and waste data improves total waste volumes and composition can go up before the concerted action of signatories delivers the traction to reduce </w:t>
      </w:r>
      <w:r w:rsidR="0099233D">
        <w:rPr>
          <w:sz w:val="24"/>
          <w:szCs w:val="24"/>
        </w:rPr>
        <w:t>food loss and waste</w:t>
      </w:r>
      <w:r w:rsidRPr="0099233D">
        <w:rPr>
          <w:sz w:val="24"/>
          <w:szCs w:val="24"/>
        </w:rPr>
        <w:t>.</w:t>
      </w:r>
    </w:p>
    <w:p w14:paraId="60B91A2D" w14:textId="77777777" w:rsidR="00854FAE" w:rsidRDefault="00FA1BFB" w:rsidP="00A91E12">
      <w:pPr>
        <w:jc w:val="both"/>
        <w:rPr>
          <w:sz w:val="24"/>
          <w:szCs w:val="24"/>
        </w:rPr>
      </w:pPr>
      <w:r w:rsidRPr="0099233D">
        <w:rPr>
          <w:sz w:val="24"/>
          <w:szCs w:val="24"/>
        </w:rPr>
        <w:t xml:space="preserve">Regardless of these individual signatory data challenges, the starting point </w:t>
      </w:r>
      <w:r w:rsidR="006C023E" w:rsidRPr="0099233D">
        <w:rPr>
          <w:sz w:val="24"/>
          <w:szCs w:val="24"/>
        </w:rPr>
        <w:t xml:space="preserve">for an Australian </w:t>
      </w:r>
      <w:r w:rsidR="0099233D">
        <w:rPr>
          <w:sz w:val="24"/>
          <w:szCs w:val="24"/>
        </w:rPr>
        <w:t>voluntary commitment program</w:t>
      </w:r>
      <w:r w:rsidR="006C023E" w:rsidRPr="0099233D">
        <w:rPr>
          <w:sz w:val="24"/>
          <w:szCs w:val="24"/>
        </w:rPr>
        <w:t xml:space="preserve"> would be to use the national food loss and waste baseline developed by Arcadis</w:t>
      </w:r>
      <w:r w:rsidR="006C023E" w:rsidRPr="0099233D">
        <w:rPr>
          <w:rStyle w:val="FootnoteReference"/>
          <w:sz w:val="24"/>
          <w:szCs w:val="24"/>
        </w:rPr>
        <w:footnoteReference w:id="16"/>
      </w:r>
      <w:r w:rsidR="00355AEC" w:rsidRPr="0099233D">
        <w:rPr>
          <w:sz w:val="24"/>
          <w:szCs w:val="24"/>
        </w:rPr>
        <w:t xml:space="preserve"> as the baseline for the </w:t>
      </w:r>
      <w:r w:rsidR="0099233D">
        <w:rPr>
          <w:sz w:val="24"/>
          <w:szCs w:val="24"/>
        </w:rPr>
        <w:t>voluntary commitment</w:t>
      </w:r>
      <w:r w:rsidR="00872A4F">
        <w:rPr>
          <w:sz w:val="24"/>
          <w:szCs w:val="24"/>
        </w:rPr>
        <w:t>, until such time as better data is available</w:t>
      </w:r>
      <w:r w:rsidR="00355AEC" w:rsidRPr="0099233D">
        <w:rPr>
          <w:sz w:val="24"/>
          <w:szCs w:val="24"/>
        </w:rPr>
        <w:t xml:space="preserve">. </w:t>
      </w:r>
    </w:p>
    <w:p w14:paraId="382E1E1E" w14:textId="77777777" w:rsidR="005632CC" w:rsidRPr="0099233D" w:rsidRDefault="0099233D" w:rsidP="00A91E12">
      <w:pPr>
        <w:jc w:val="both"/>
        <w:rPr>
          <w:sz w:val="24"/>
          <w:szCs w:val="24"/>
        </w:rPr>
      </w:pPr>
      <w:r>
        <w:rPr>
          <w:sz w:val="24"/>
          <w:szCs w:val="24"/>
        </w:rPr>
        <w:t xml:space="preserve">Once </w:t>
      </w:r>
      <w:r w:rsidR="00355AEC" w:rsidRPr="0099233D">
        <w:rPr>
          <w:sz w:val="24"/>
          <w:szCs w:val="24"/>
        </w:rPr>
        <w:t xml:space="preserve">signatories </w:t>
      </w:r>
      <w:r w:rsidR="00663C66" w:rsidRPr="0099233D">
        <w:rPr>
          <w:sz w:val="24"/>
          <w:szCs w:val="24"/>
        </w:rPr>
        <w:t xml:space="preserve">to the </w:t>
      </w:r>
      <w:r w:rsidR="006B03E9">
        <w:rPr>
          <w:sz w:val="24"/>
          <w:szCs w:val="24"/>
        </w:rPr>
        <w:t>voluntary commitment</w:t>
      </w:r>
      <w:r w:rsidR="00663C66" w:rsidRPr="0099233D">
        <w:rPr>
          <w:sz w:val="24"/>
          <w:szCs w:val="24"/>
        </w:rPr>
        <w:t xml:space="preserve"> </w:t>
      </w:r>
      <w:r w:rsidR="006B03E9">
        <w:rPr>
          <w:sz w:val="24"/>
          <w:szCs w:val="24"/>
        </w:rPr>
        <w:t>have</w:t>
      </w:r>
      <w:r w:rsidR="00663C66" w:rsidRPr="0099233D">
        <w:rPr>
          <w:sz w:val="24"/>
          <w:szCs w:val="24"/>
        </w:rPr>
        <w:t xml:space="preserve"> quantif</w:t>
      </w:r>
      <w:r w:rsidR="006B03E9">
        <w:rPr>
          <w:sz w:val="24"/>
          <w:szCs w:val="24"/>
        </w:rPr>
        <w:t>ied</w:t>
      </w:r>
      <w:r w:rsidR="00663C66" w:rsidRPr="0099233D">
        <w:rPr>
          <w:sz w:val="24"/>
          <w:szCs w:val="24"/>
        </w:rPr>
        <w:t xml:space="preserve"> their food loss and waste in line with the requirements and guidance provided in the </w:t>
      </w:r>
      <w:r w:rsidR="00A73927" w:rsidRPr="0099233D">
        <w:rPr>
          <w:sz w:val="24"/>
          <w:szCs w:val="24"/>
        </w:rPr>
        <w:t>Food Loss and Waste Accounting and Reporting Standard</w:t>
      </w:r>
      <w:r w:rsidR="00A73927" w:rsidRPr="0099233D">
        <w:rPr>
          <w:rStyle w:val="FootnoteReference"/>
          <w:sz w:val="24"/>
          <w:szCs w:val="24"/>
        </w:rPr>
        <w:footnoteReference w:id="17"/>
      </w:r>
      <w:r w:rsidR="006B03E9">
        <w:rPr>
          <w:sz w:val="24"/>
          <w:szCs w:val="24"/>
        </w:rPr>
        <w:t>, then this data can be used as the baseline</w:t>
      </w:r>
      <w:r w:rsidR="00355AEC" w:rsidRPr="0099233D">
        <w:rPr>
          <w:sz w:val="24"/>
          <w:szCs w:val="24"/>
        </w:rPr>
        <w:t>.</w:t>
      </w:r>
      <w:r w:rsidR="00A73927" w:rsidRPr="0099233D">
        <w:rPr>
          <w:sz w:val="24"/>
          <w:szCs w:val="24"/>
        </w:rPr>
        <w:t xml:space="preserve"> The Standard provides sufficient flexibility in implementation for those signatories seeking to quantify and report their </w:t>
      </w:r>
      <w:r w:rsidR="006B03E9">
        <w:rPr>
          <w:sz w:val="24"/>
          <w:szCs w:val="24"/>
        </w:rPr>
        <w:t>food loss and waste</w:t>
      </w:r>
      <w:r w:rsidR="00A73927" w:rsidRPr="0099233D">
        <w:rPr>
          <w:sz w:val="24"/>
          <w:szCs w:val="24"/>
        </w:rPr>
        <w:t xml:space="preserve"> but starting the process at different points on the quantification and data gathering journey. The scope of signatory reporting would be agreed collectively by the signatories to the </w:t>
      </w:r>
      <w:r w:rsidR="006B03E9">
        <w:rPr>
          <w:sz w:val="24"/>
          <w:szCs w:val="24"/>
        </w:rPr>
        <w:t>voluntary commitment</w:t>
      </w:r>
      <w:r w:rsidR="00A73927" w:rsidRPr="0099233D">
        <w:rPr>
          <w:sz w:val="24"/>
          <w:szCs w:val="24"/>
        </w:rPr>
        <w:t xml:space="preserve"> and would include consideration of the following:</w:t>
      </w:r>
      <w:r w:rsidR="005632CC" w:rsidRPr="0099233D">
        <w:rPr>
          <w:sz w:val="24"/>
          <w:szCs w:val="24"/>
        </w:rPr>
        <w:t xml:space="preserve"> </w:t>
      </w:r>
    </w:p>
    <w:p w14:paraId="5C4642B5" w14:textId="77777777" w:rsidR="00FA1BFB" w:rsidRPr="0099233D" w:rsidRDefault="005632CC" w:rsidP="00F2143E">
      <w:pPr>
        <w:pStyle w:val="ListParagraph"/>
        <w:numPr>
          <w:ilvl w:val="0"/>
          <w:numId w:val="3"/>
        </w:numPr>
        <w:spacing w:after="80"/>
        <w:ind w:left="284" w:hanging="284"/>
        <w:contextualSpacing w:val="0"/>
        <w:jc w:val="both"/>
        <w:rPr>
          <w:sz w:val="24"/>
          <w:szCs w:val="24"/>
        </w:rPr>
      </w:pPr>
      <w:r w:rsidRPr="0099233D">
        <w:rPr>
          <w:sz w:val="24"/>
          <w:szCs w:val="24"/>
        </w:rPr>
        <w:t xml:space="preserve">The timeframe over which the quantification process took place and for reporting (in existing </w:t>
      </w:r>
      <w:r w:rsidR="006B03E9">
        <w:rPr>
          <w:sz w:val="24"/>
          <w:szCs w:val="24"/>
        </w:rPr>
        <w:t>voluntary commitments</w:t>
      </w:r>
      <w:r w:rsidRPr="0099233D">
        <w:rPr>
          <w:sz w:val="24"/>
          <w:szCs w:val="24"/>
        </w:rPr>
        <w:t xml:space="preserve"> this is typically done for the previous full calendar year or financial year, with retrospective reporting – e.g. reporting in April 2021 for the calendar year 2020).</w:t>
      </w:r>
    </w:p>
    <w:p w14:paraId="0E7A037B" w14:textId="77777777" w:rsidR="005632CC" w:rsidRPr="0099233D" w:rsidRDefault="005632CC" w:rsidP="00F2143E">
      <w:pPr>
        <w:pStyle w:val="ListParagraph"/>
        <w:numPr>
          <w:ilvl w:val="0"/>
          <w:numId w:val="3"/>
        </w:numPr>
        <w:spacing w:after="80"/>
        <w:ind w:left="284" w:hanging="284"/>
        <w:contextualSpacing w:val="0"/>
        <w:jc w:val="both"/>
        <w:rPr>
          <w:sz w:val="24"/>
          <w:szCs w:val="24"/>
        </w:rPr>
      </w:pPr>
      <w:r w:rsidRPr="0099233D">
        <w:rPr>
          <w:sz w:val="24"/>
          <w:szCs w:val="24"/>
        </w:rPr>
        <w:t xml:space="preserve">The material(s) to be included in the accounting and reporting process (e.g. edible and / or inedible fractions of </w:t>
      </w:r>
      <w:r w:rsidR="006B03E9">
        <w:rPr>
          <w:sz w:val="24"/>
          <w:szCs w:val="24"/>
        </w:rPr>
        <w:t>food waste</w:t>
      </w:r>
      <w:r w:rsidRPr="0099233D">
        <w:rPr>
          <w:sz w:val="24"/>
          <w:szCs w:val="24"/>
        </w:rPr>
        <w:t>).</w:t>
      </w:r>
    </w:p>
    <w:p w14:paraId="79E44478" w14:textId="77777777" w:rsidR="005632CC" w:rsidRPr="0099233D" w:rsidRDefault="005632CC" w:rsidP="00F2143E">
      <w:pPr>
        <w:pStyle w:val="ListParagraph"/>
        <w:numPr>
          <w:ilvl w:val="0"/>
          <w:numId w:val="3"/>
        </w:numPr>
        <w:spacing w:after="80"/>
        <w:ind w:left="284" w:hanging="284"/>
        <w:contextualSpacing w:val="0"/>
        <w:jc w:val="both"/>
        <w:rPr>
          <w:sz w:val="24"/>
          <w:szCs w:val="24"/>
        </w:rPr>
      </w:pPr>
      <w:r w:rsidRPr="0099233D">
        <w:rPr>
          <w:sz w:val="24"/>
          <w:szCs w:val="24"/>
        </w:rPr>
        <w:t xml:space="preserve">The end destinations for </w:t>
      </w:r>
      <w:r w:rsidR="006B03E9">
        <w:rPr>
          <w:sz w:val="24"/>
          <w:szCs w:val="24"/>
        </w:rPr>
        <w:t>food loss and waste</w:t>
      </w:r>
      <w:r w:rsidRPr="0099233D">
        <w:rPr>
          <w:sz w:val="24"/>
          <w:szCs w:val="24"/>
        </w:rPr>
        <w:t xml:space="preserve"> (e.g. proportion or quanti</w:t>
      </w:r>
      <w:r w:rsidR="006B03E9">
        <w:rPr>
          <w:sz w:val="24"/>
          <w:szCs w:val="24"/>
        </w:rPr>
        <w:t>ty</w:t>
      </w:r>
      <w:r w:rsidRPr="0099233D">
        <w:rPr>
          <w:sz w:val="24"/>
          <w:szCs w:val="24"/>
        </w:rPr>
        <w:t xml:space="preserve"> of total organisational </w:t>
      </w:r>
      <w:r w:rsidR="006B03E9">
        <w:rPr>
          <w:sz w:val="24"/>
          <w:szCs w:val="24"/>
        </w:rPr>
        <w:t>or value chain food loss and waste</w:t>
      </w:r>
      <w:r w:rsidRPr="0099233D">
        <w:rPr>
          <w:sz w:val="24"/>
          <w:szCs w:val="24"/>
        </w:rPr>
        <w:t xml:space="preserve"> by destination – e.g. surplus food sent to food rescue, surplus food </w:t>
      </w:r>
      <w:r w:rsidR="000A4653" w:rsidRPr="0099233D">
        <w:rPr>
          <w:sz w:val="24"/>
          <w:szCs w:val="24"/>
        </w:rPr>
        <w:t xml:space="preserve">or food waste </w:t>
      </w:r>
      <w:r w:rsidRPr="0099233D">
        <w:rPr>
          <w:sz w:val="24"/>
          <w:szCs w:val="24"/>
        </w:rPr>
        <w:t>sent to animal feed</w:t>
      </w:r>
      <w:r w:rsidR="000A4653" w:rsidRPr="0099233D">
        <w:rPr>
          <w:sz w:val="24"/>
          <w:szCs w:val="24"/>
        </w:rPr>
        <w:t>, food waste sent for composting or to anaerobic digestion).</w:t>
      </w:r>
    </w:p>
    <w:p w14:paraId="4523B80A" w14:textId="77777777" w:rsidR="000A4653" w:rsidRPr="0099233D" w:rsidRDefault="000A4653" w:rsidP="00F2143E">
      <w:pPr>
        <w:pStyle w:val="ListParagraph"/>
        <w:numPr>
          <w:ilvl w:val="0"/>
          <w:numId w:val="3"/>
        </w:numPr>
        <w:ind w:left="284" w:hanging="284"/>
        <w:contextualSpacing w:val="0"/>
        <w:jc w:val="both"/>
        <w:rPr>
          <w:sz w:val="24"/>
          <w:szCs w:val="24"/>
        </w:rPr>
      </w:pPr>
      <w:r w:rsidRPr="0099233D">
        <w:rPr>
          <w:sz w:val="24"/>
          <w:szCs w:val="24"/>
        </w:rPr>
        <w:lastRenderedPageBreak/>
        <w:t xml:space="preserve">The boundary that will be covered in the organisation’s </w:t>
      </w:r>
      <w:r w:rsidR="006B03E9">
        <w:rPr>
          <w:sz w:val="24"/>
          <w:szCs w:val="24"/>
        </w:rPr>
        <w:t>food loss and waste</w:t>
      </w:r>
      <w:r w:rsidRPr="0099233D">
        <w:rPr>
          <w:sz w:val="24"/>
          <w:szCs w:val="24"/>
        </w:rPr>
        <w:t xml:space="preserve"> inventory (e.g. all farms and horticultural sites, all food processing/manufacturing sites, all retail stores and distribution centre sites, all restaurants or hotels</w:t>
      </w:r>
      <w:r w:rsidR="00ED6DE8" w:rsidRPr="0099233D">
        <w:rPr>
          <w:sz w:val="24"/>
          <w:szCs w:val="24"/>
        </w:rPr>
        <w:t xml:space="preserve"> involved in domestic production and consumption</w:t>
      </w:r>
      <w:r w:rsidR="00ED6DE8" w:rsidRPr="0099233D">
        <w:rPr>
          <w:rStyle w:val="FootnoteReference"/>
          <w:sz w:val="24"/>
          <w:szCs w:val="24"/>
        </w:rPr>
        <w:footnoteReference w:id="18"/>
      </w:r>
      <w:r w:rsidRPr="0099233D">
        <w:rPr>
          <w:sz w:val="24"/>
          <w:szCs w:val="24"/>
        </w:rPr>
        <w:t xml:space="preserve">). </w:t>
      </w:r>
    </w:p>
    <w:p w14:paraId="065828A2" w14:textId="77777777" w:rsidR="00A73927" w:rsidRPr="0099233D" w:rsidRDefault="001E5A09" w:rsidP="00A91E12">
      <w:pPr>
        <w:jc w:val="both"/>
        <w:rPr>
          <w:sz w:val="24"/>
          <w:szCs w:val="24"/>
        </w:rPr>
      </w:pPr>
      <w:r w:rsidRPr="0099233D">
        <w:rPr>
          <w:sz w:val="24"/>
          <w:szCs w:val="24"/>
        </w:rPr>
        <w:t xml:space="preserve">It would then be up to the </w:t>
      </w:r>
      <w:r w:rsidR="00F03EFC">
        <w:rPr>
          <w:sz w:val="24"/>
          <w:szCs w:val="24"/>
        </w:rPr>
        <w:t xml:space="preserve">independent </w:t>
      </w:r>
      <w:r w:rsidRPr="0099233D">
        <w:rPr>
          <w:sz w:val="24"/>
          <w:szCs w:val="24"/>
        </w:rPr>
        <w:t>third</w:t>
      </w:r>
      <w:r w:rsidR="00B5067C" w:rsidRPr="0099233D">
        <w:rPr>
          <w:sz w:val="24"/>
          <w:szCs w:val="24"/>
        </w:rPr>
        <w:t>-</w:t>
      </w:r>
      <w:r w:rsidRPr="0099233D">
        <w:rPr>
          <w:sz w:val="24"/>
          <w:szCs w:val="24"/>
        </w:rPr>
        <w:t xml:space="preserve">party entity managing the </w:t>
      </w:r>
      <w:r w:rsidR="006B03E9">
        <w:rPr>
          <w:sz w:val="24"/>
          <w:szCs w:val="24"/>
        </w:rPr>
        <w:t>voluntary commitment program</w:t>
      </w:r>
      <w:r w:rsidRPr="0099233D">
        <w:rPr>
          <w:sz w:val="24"/>
          <w:szCs w:val="24"/>
        </w:rPr>
        <w:t xml:space="preserve"> to publicly report the </w:t>
      </w:r>
      <w:r w:rsidRPr="00F03EFC">
        <w:rPr>
          <w:b/>
          <w:bCs/>
          <w:color w:val="2F5496" w:themeColor="accent1" w:themeShade="BF"/>
          <w:sz w:val="24"/>
          <w:szCs w:val="24"/>
        </w:rPr>
        <w:t>collective impact</w:t>
      </w:r>
      <w:r w:rsidRPr="00F03EFC">
        <w:rPr>
          <w:color w:val="2F5496" w:themeColor="accent1" w:themeShade="BF"/>
          <w:sz w:val="24"/>
          <w:szCs w:val="24"/>
        </w:rPr>
        <w:t xml:space="preserve"> </w:t>
      </w:r>
      <w:r w:rsidRPr="0099233D">
        <w:rPr>
          <w:sz w:val="24"/>
          <w:szCs w:val="24"/>
        </w:rPr>
        <w:t>of signatory actions based on individual signatory data submissions. For example, the entity could report the following on an annual basis:</w:t>
      </w:r>
    </w:p>
    <w:p w14:paraId="7F1B8FE3" w14:textId="3EE7B34F" w:rsidR="001E5A09" w:rsidRPr="0099233D" w:rsidRDefault="001E5A09" w:rsidP="00F2143E">
      <w:pPr>
        <w:pStyle w:val="ListParagraph"/>
        <w:numPr>
          <w:ilvl w:val="0"/>
          <w:numId w:val="4"/>
        </w:numPr>
        <w:spacing w:after="80"/>
        <w:ind w:left="284" w:hanging="284"/>
        <w:contextualSpacing w:val="0"/>
        <w:jc w:val="both"/>
        <w:rPr>
          <w:sz w:val="24"/>
          <w:szCs w:val="24"/>
        </w:rPr>
      </w:pPr>
      <w:r w:rsidRPr="0099233D">
        <w:rPr>
          <w:sz w:val="24"/>
          <w:szCs w:val="24"/>
        </w:rPr>
        <w:t xml:space="preserve">Revised baseline data for the </w:t>
      </w:r>
      <w:r w:rsidR="006B03E9">
        <w:rPr>
          <w:sz w:val="24"/>
          <w:szCs w:val="24"/>
        </w:rPr>
        <w:t>voluntary commitment</w:t>
      </w:r>
      <w:r w:rsidRPr="0099233D">
        <w:rPr>
          <w:sz w:val="24"/>
          <w:szCs w:val="24"/>
        </w:rPr>
        <w:t xml:space="preserve"> based on new signatory data and new external data sources (e.g. FFW CRC Food Waste Index</w:t>
      </w:r>
      <w:r w:rsidR="006B03E9">
        <w:rPr>
          <w:sz w:val="24"/>
          <w:szCs w:val="24"/>
        </w:rPr>
        <w:t xml:space="preserve"> and DIRECT Tool</w:t>
      </w:r>
      <w:r w:rsidR="00C63513">
        <w:rPr>
          <w:sz w:val="24"/>
          <w:szCs w:val="24"/>
        </w:rPr>
        <w:t>, proposed National Food Waste Strategy Feasibility Study</w:t>
      </w:r>
      <w:r w:rsidRPr="0099233D">
        <w:rPr>
          <w:sz w:val="24"/>
          <w:szCs w:val="24"/>
        </w:rPr>
        <w:t>)</w:t>
      </w:r>
      <w:r w:rsidR="00F854B7">
        <w:rPr>
          <w:sz w:val="24"/>
          <w:szCs w:val="24"/>
        </w:rPr>
        <w:t>;</w:t>
      </w:r>
    </w:p>
    <w:p w14:paraId="5F6BEAC7" w14:textId="77777777" w:rsidR="001E5A09" w:rsidRPr="0099233D" w:rsidRDefault="001E5A09" w:rsidP="00F2143E">
      <w:pPr>
        <w:pStyle w:val="ListParagraph"/>
        <w:numPr>
          <w:ilvl w:val="0"/>
          <w:numId w:val="4"/>
        </w:numPr>
        <w:spacing w:after="80"/>
        <w:ind w:left="284" w:hanging="284"/>
        <w:contextualSpacing w:val="0"/>
        <w:jc w:val="both"/>
        <w:rPr>
          <w:sz w:val="24"/>
          <w:szCs w:val="24"/>
        </w:rPr>
      </w:pPr>
      <w:r w:rsidRPr="0099233D">
        <w:rPr>
          <w:sz w:val="24"/>
          <w:szCs w:val="24"/>
        </w:rPr>
        <w:t>Annual food loss and waste savings from all signatory activities – to start with</w:t>
      </w:r>
      <w:r w:rsidR="006B03E9">
        <w:rPr>
          <w:sz w:val="24"/>
          <w:szCs w:val="24"/>
        </w:rPr>
        <w:t>,</w:t>
      </w:r>
      <w:r w:rsidRPr="0099233D">
        <w:rPr>
          <w:sz w:val="24"/>
          <w:szCs w:val="24"/>
        </w:rPr>
        <w:t xml:space="preserve"> probably expressed simply in metric tonnes and, if possible, the resulting economic and avoided greenhouse gas emissions (CO</w:t>
      </w:r>
      <w:r w:rsidRPr="0071452F">
        <w:rPr>
          <w:sz w:val="24"/>
          <w:szCs w:val="24"/>
          <w:vertAlign w:val="subscript"/>
        </w:rPr>
        <w:t>2</w:t>
      </w:r>
      <w:r w:rsidRPr="0071452F">
        <w:rPr>
          <w:sz w:val="24"/>
          <w:szCs w:val="24"/>
        </w:rPr>
        <w:t>e</w:t>
      </w:r>
      <w:r w:rsidRPr="0099233D">
        <w:rPr>
          <w:sz w:val="24"/>
          <w:szCs w:val="24"/>
        </w:rPr>
        <w:t xml:space="preserve"> emissions);</w:t>
      </w:r>
    </w:p>
    <w:p w14:paraId="4A1AC31D" w14:textId="77777777" w:rsidR="001E5A09" w:rsidRPr="0099233D" w:rsidRDefault="001E5A09" w:rsidP="00F2143E">
      <w:pPr>
        <w:pStyle w:val="ListParagraph"/>
        <w:numPr>
          <w:ilvl w:val="0"/>
          <w:numId w:val="4"/>
        </w:numPr>
        <w:spacing w:after="80"/>
        <w:ind w:left="284" w:hanging="284"/>
        <w:contextualSpacing w:val="0"/>
        <w:jc w:val="both"/>
        <w:rPr>
          <w:sz w:val="24"/>
          <w:szCs w:val="24"/>
        </w:rPr>
      </w:pPr>
      <w:r w:rsidRPr="0099233D">
        <w:rPr>
          <w:sz w:val="24"/>
          <w:szCs w:val="24"/>
        </w:rPr>
        <w:t>Tonnes of food waste diverted from landfill by destination (e.g. tonnes of surplus food collected and utilised by food rescue organisations (maybe expressed as meals provided), tonnes of food sent to animal feed or to composting or anaerobic digestion facilities);</w:t>
      </w:r>
    </w:p>
    <w:p w14:paraId="7FBBFBCF" w14:textId="77777777" w:rsidR="006B03E9" w:rsidRDefault="001E5A09" w:rsidP="00F2143E">
      <w:pPr>
        <w:pStyle w:val="ListParagraph"/>
        <w:numPr>
          <w:ilvl w:val="0"/>
          <w:numId w:val="4"/>
        </w:numPr>
        <w:spacing w:after="80"/>
        <w:ind w:left="284" w:hanging="284"/>
        <w:contextualSpacing w:val="0"/>
        <w:jc w:val="both"/>
        <w:rPr>
          <w:sz w:val="24"/>
          <w:szCs w:val="24"/>
        </w:rPr>
      </w:pPr>
      <w:r w:rsidRPr="0099233D">
        <w:rPr>
          <w:sz w:val="24"/>
          <w:szCs w:val="24"/>
        </w:rPr>
        <w:t>Added value derived from waste valorisation activities</w:t>
      </w:r>
      <w:r w:rsidR="00942A13" w:rsidRPr="0099233D">
        <w:rPr>
          <w:sz w:val="24"/>
          <w:szCs w:val="24"/>
        </w:rPr>
        <w:t xml:space="preserve"> (e.g. income from new co-products derived for food waste streams); </w:t>
      </w:r>
    </w:p>
    <w:p w14:paraId="69B830F4" w14:textId="77777777" w:rsidR="001E5A09" w:rsidRPr="0099233D" w:rsidRDefault="006B03E9" w:rsidP="00F2143E">
      <w:pPr>
        <w:pStyle w:val="ListParagraph"/>
        <w:numPr>
          <w:ilvl w:val="0"/>
          <w:numId w:val="4"/>
        </w:numPr>
        <w:spacing w:after="80"/>
        <w:ind w:left="284" w:hanging="284"/>
        <w:contextualSpacing w:val="0"/>
        <w:jc w:val="both"/>
        <w:rPr>
          <w:sz w:val="24"/>
          <w:szCs w:val="24"/>
        </w:rPr>
      </w:pPr>
      <w:r>
        <w:rPr>
          <w:sz w:val="24"/>
          <w:szCs w:val="24"/>
        </w:rPr>
        <w:t xml:space="preserve">Number of meals donated to food rescue and relief organisations (and maybe at a later stage the social return on investment associated with this); </w:t>
      </w:r>
      <w:r w:rsidR="00942A13" w:rsidRPr="0099233D">
        <w:rPr>
          <w:sz w:val="24"/>
          <w:szCs w:val="24"/>
        </w:rPr>
        <w:t>and</w:t>
      </w:r>
    </w:p>
    <w:p w14:paraId="5A3AEB1D" w14:textId="77777777" w:rsidR="001E5A09" w:rsidRPr="0099233D" w:rsidRDefault="001E5A09" w:rsidP="00F2143E">
      <w:pPr>
        <w:pStyle w:val="ListParagraph"/>
        <w:numPr>
          <w:ilvl w:val="0"/>
          <w:numId w:val="4"/>
        </w:numPr>
        <w:ind w:left="284" w:hanging="284"/>
        <w:contextualSpacing w:val="0"/>
        <w:jc w:val="both"/>
        <w:rPr>
          <w:sz w:val="24"/>
          <w:szCs w:val="24"/>
        </w:rPr>
      </w:pPr>
      <w:r w:rsidRPr="0099233D">
        <w:rPr>
          <w:sz w:val="24"/>
          <w:szCs w:val="24"/>
        </w:rPr>
        <w:t>Individual case studies from signatory organisations</w:t>
      </w:r>
      <w:r w:rsidR="00942A13" w:rsidRPr="0099233D">
        <w:rPr>
          <w:sz w:val="24"/>
          <w:szCs w:val="24"/>
        </w:rPr>
        <w:t xml:space="preserve"> and innovation showcases.</w:t>
      </w:r>
    </w:p>
    <w:p w14:paraId="215A95A6" w14:textId="77777777" w:rsidR="00DA2E6F" w:rsidRPr="005F2691" w:rsidRDefault="00DA2E6F" w:rsidP="005F2691">
      <w:pPr>
        <w:spacing w:after="0"/>
        <w:jc w:val="both"/>
        <w:rPr>
          <w:sz w:val="24"/>
          <w:szCs w:val="24"/>
        </w:rPr>
      </w:pPr>
    </w:p>
    <w:p w14:paraId="2B2BBA2D" w14:textId="6877962B" w:rsidR="005F2691" w:rsidRDefault="00BE72E6" w:rsidP="00DA2E6F">
      <w:pPr>
        <w:jc w:val="both"/>
        <w:rPr>
          <w:sz w:val="24"/>
          <w:szCs w:val="24"/>
        </w:rPr>
      </w:pPr>
      <w:r w:rsidRPr="00BE72E6">
        <w:rPr>
          <w:b/>
          <w:bCs/>
          <w:color w:val="2F5496" w:themeColor="accent1" w:themeShade="BF"/>
          <w:sz w:val="24"/>
          <w:szCs w:val="24"/>
        </w:rPr>
        <w:fldChar w:fldCharType="begin"/>
      </w:r>
      <w:r w:rsidRPr="00BE72E6">
        <w:rPr>
          <w:sz w:val="24"/>
          <w:szCs w:val="24"/>
        </w:rPr>
        <w:instrText xml:space="preserve"> REF _Ref37936079 \h </w:instrText>
      </w:r>
      <w:r>
        <w:rPr>
          <w:b/>
          <w:bCs/>
          <w:color w:val="2F5496" w:themeColor="accent1" w:themeShade="BF"/>
          <w:sz w:val="24"/>
          <w:szCs w:val="24"/>
        </w:rPr>
        <w:instrText xml:space="preserve"> \* MERGEFORMAT </w:instrText>
      </w:r>
      <w:r w:rsidRPr="00BE72E6">
        <w:rPr>
          <w:b/>
          <w:bCs/>
          <w:color w:val="2F5496" w:themeColor="accent1" w:themeShade="BF"/>
          <w:sz w:val="24"/>
          <w:szCs w:val="24"/>
        </w:rPr>
      </w:r>
      <w:r w:rsidRPr="00BE72E6">
        <w:rPr>
          <w:b/>
          <w:bCs/>
          <w:color w:val="2F5496" w:themeColor="accent1" w:themeShade="BF"/>
          <w:sz w:val="24"/>
          <w:szCs w:val="24"/>
        </w:rPr>
        <w:fldChar w:fldCharType="separate"/>
      </w:r>
      <w:r w:rsidRPr="00BE72E6">
        <w:rPr>
          <w:b/>
          <w:bCs/>
          <w:color w:val="2F5496" w:themeColor="accent1" w:themeShade="BF"/>
          <w:sz w:val="24"/>
          <w:szCs w:val="24"/>
        </w:rPr>
        <w:t xml:space="preserve">Figure </w:t>
      </w:r>
      <w:r w:rsidRPr="00BE72E6">
        <w:rPr>
          <w:b/>
          <w:bCs/>
          <w:noProof/>
          <w:color w:val="2F5496" w:themeColor="accent1" w:themeShade="BF"/>
          <w:sz w:val="24"/>
          <w:szCs w:val="24"/>
        </w:rPr>
        <w:t>14</w:t>
      </w:r>
      <w:r w:rsidRPr="00BE72E6">
        <w:rPr>
          <w:b/>
          <w:bCs/>
          <w:color w:val="2F5496" w:themeColor="accent1" w:themeShade="BF"/>
          <w:sz w:val="24"/>
          <w:szCs w:val="24"/>
        </w:rPr>
        <w:fldChar w:fldCharType="end"/>
      </w:r>
      <w:r>
        <w:rPr>
          <w:b/>
          <w:bCs/>
          <w:color w:val="2F5496" w:themeColor="accent1" w:themeShade="BF"/>
          <w:sz w:val="24"/>
          <w:szCs w:val="24"/>
        </w:rPr>
        <w:t xml:space="preserve"> </w:t>
      </w:r>
      <w:r w:rsidR="005F2691" w:rsidRPr="005F2691">
        <w:rPr>
          <w:sz w:val="24"/>
          <w:szCs w:val="24"/>
        </w:rPr>
        <w:t xml:space="preserve">below summarises the </w:t>
      </w:r>
      <w:r w:rsidR="005F2691">
        <w:rPr>
          <w:sz w:val="24"/>
          <w:szCs w:val="24"/>
        </w:rPr>
        <w:t>three main models for voluntary commitment reporting currently in existence and makes recommendations for reporting and metrics under the proposed Australian voluntary commitment program.</w:t>
      </w:r>
    </w:p>
    <w:p w14:paraId="4FB83AE6" w14:textId="3D4B80FE" w:rsidR="005F2691" w:rsidRPr="00725D7F" w:rsidRDefault="005F2691" w:rsidP="00725D7F">
      <w:pPr>
        <w:shd w:val="clear" w:color="auto" w:fill="FFFFFF"/>
        <w:spacing w:before="100" w:beforeAutospacing="1" w:after="100" w:afterAutospacing="1" w:line="240" w:lineRule="auto"/>
        <w:jc w:val="both"/>
        <w:rPr>
          <w:rFonts w:eastAsia="Times New Roman" w:cstheme="minorHAnsi"/>
          <w:sz w:val="24"/>
          <w:szCs w:val="24"/>
          <w:lang w:eastAsia="en-AU"/>
        </w:rPr>
        <w:sectPr w:rsidR="005F2691" w:rsidRPr="00725D7F">
          <w:headerReference w:type="default" r:id="rId44"/>
          <w:pgSz w:w="11906" w:h="16838"/>
          <w:pgMar w:top="1440" w:right="1440" w:bottom="1440" w:left="1440" w:header="708" w:footer="708" w:gutter="0"/>
          <w:cols w:space="708"/>
          <w:docGrid w:linePitch="360"/>
        </w:sectPr>
      </w:pPr>
      <w:r>
        <w:rPr>
          <w:sz w:val="24"/>
          <w:szCs w:val="24"/>
        </w:rPr>
        <w:tab/>
      </w:r>
      <w:r>
        <w:rPr>
          <w:sz w:val="24"/>
          <w:szCs w:val="24"/>
        </w:rPr>
        <w:tab/>
      </w:r>
    </w:p>
    <w:p w14:paraId="69B85C59" w14:textId="77777777" w:rsidR="005F2691" w:rsidRDefault="005F2691" w:rsidP="00DA2E6F">
      <w:pPr>
        <w:jc w:val="both"/>
        <w:rPr>
          <w:sz w:val="24"/>
          <w:szCs w:val="24"/>
        </w:rPr>
      </w:pPr>
    </w:p>
    <w:p w14:paraId="60BBB785" w14:textId="77777777" w:rsidR="005F2691" w:rsidRPr="005F2691" w:rsidRDefault="005F2691" w:rsidP="00DA2E6F">
      <w:pPr>
        <w:jc w:val="both"/>
        <w:rPr>
          <w:sz w:val="24"/>
          <w:szCs w:val="24"/>
        </w:rPr>
      </w:pPr>
      <w:r>
        <w:rPr>
          <w:noProof/>
          <w:sz w:val="24"/>
          <w:szCs w:val="24"/>
          <w:lang w:eastAsia="en-AU"/>
        </w:rPr>
        <w:drawing>
          <wp:inline distT="0" distB="0" distL="0" distR="0" wp14:anchorId="78FB708A" wp14:editId="61194E13">
            <wp:extent cx="9107399" cy="43764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228225" cy="4434496"/>
                    </a:xfrm>
                    <a:prstGeom prst="rect">
                      <a:avLst/>
                    </a:prstGeom>
                    <a:noFill/>
                  </pic:spPr>
                </pic:pic>
              </a:graphicData>
            </a:graphic>
          </wp:inline>
        </w:drawing>
      </w:r>
    </w:p>
    <w:p w14:paraId="4933A758" w14:textId="675221A2" w:rsidR="00A36A10" w:rsidRPr="0076147C" w:rsidRDefault="005F2691" w:rsidP="0076147C">
      <w:pPr>
        <w:keepNext/>
        <w:jc w:val="both"/>
        <w:rPr>
          <w:sz w:val="20"/>
          <w:szCs w:val="20"/>
        </w:rPr>
      </w:pPr>
      <w:bookmarkStart w:id="53" w:name="_Ref37936079"/>
      <w:bookmarkStart w:id="54" w:name="_Toc37943008"/>
      <w:r w:rsidRPr="0076147C">
        <w:rPr>
          <w:b/>
          <w:bCs/>
          <w:color w:val="2F5496" w:themeColor="accent1" w:themeShade="BF"/>
          <w:sz w:val="20"/>
          <w:szCs w:val="20"/>
        </w:rPr>
        <w:t xml:space="preserve">Figure </w:t>
      </w:r>
      <w:r w:rsidR="0076147C" w:rsidRPr="0076147C">
        <w:rPr>
          <w:b/>
          <w:bCs/>
          <w:color w:val="2F5496" w:themeColor="accent1" w:themeShade="BF"/>
          <w:sz w:val="20"/>
          <w:szCs w:val="20"/>
        </w:rPr>
        <w:fldChar w:fldCharType="begin"/>
      </w:r>
      <w:r w:rsidR="0076147C" w:rsidRPr="0076147C">
        <w:rPr>
          <w:b/>
          <w:bCs/>
          <w:color w:val="2F5496" w:themeColor="accent1" w:themeShade="BF"/>
          <w:sz w:val="20"/>
          <w:szCs w:val="20"/>
        </w:rPr>
        <w:instrText xml:space="preserve"> SEQ Figure \* ARABIC </w:instrText>
      </w:r>
      <w:r w:rsidR="0076147C" w:rsidRPr="0076147C">
        <w:rPr>
          <w:b/>
          <w:bCs/>
          <w:color w:val="2F5496" w:themeColor="accent1" w:themeShade="BF"/>
          <w:sz w:val="20"/>
          <w:szCs w:val="20"/>
        </w:rPr>
        <w:fldChar w:fldCharType="separate"/>
      </w:r>
      <w:r w:rsidR="00FE6444">
        <w:rPr>
          <w:b/>
          <w:bCs/>
          <w:noProof/>
          <w:color w:val="2F5496" w:themeColor="accent1" w:themeShade="BF"/>
          <w:sz w:val="20"/>
          <w:szCs w:val="20"/>
        </w:rPr>
        <w:t>14</w:t>
      </w:r>
      <w:r w:rsidR="0076147C" w:rsidRPr="0076147C">
        <w:rPr>
          <w:b/>
          <w:bCs/>
          <w:color w:val="2F5496" w:themeColor="accent1" w:themeShade="BF"/>
          <w:sz w:val="20"/>
          <w:szCs w:val="20"/>
        </w:rPr>
        <w:fldChar w:fldCharType="end"/>
      </w:r>
      <w:bookmarkEnd w:id="53"/>
      <w:r w:rsidRPr="0076147C">
        <w:rPr>
          <w:sz w:val="20"/>
          <w:szCs w:val="20"/>
        </w:rPr>
        <w:t xml:space="preserve">: the three main models for voluntary commitment reporting </w:t>
      </w:r>
      <w:r w:rsidR="003103C0" w:rsidRPr="0076147C">
        <w:rPr>
          <w:sz w:val="20"/>
          <w:szCs w:val="20"/>
        </w:rPr>
        <w:t>and</w:t>
      </w:r>
      <w:r w:rsidRPr="0076147C">
        <w:rPr>
          <w:sz w:val="20"/>
          <w:szCs w:val="20"/>
        </w:rPr>
        <w:t xml:space="preserve"> proposed metrics for reporting</w:t>
      </w:r>
      <w:bookmarkEnd w:id="54"/>
    </w:p>
    <w:p w14:paraId="0517B5B7" w14:textId="77777777" w:rsidR="007049BF" w:rsidRDefault="007049BF" w:rsidP="00DA2E6F">
      <w:pPr>
        <w:jc w:val="both"/>
        <w:sectPr w:rsidR="007049BF" w:rsidSect="00A36A10">
          <w:headerReference w:type="default" r:id="rId46"/>
          <w:pgSz w:w="16838" w:h="11906" w:orient="landscape"/>
          <w:pgMar w:top="1440" w:right="1440" w:bottom="1440" w:left="1440" w:header="708" w:footer="708" w:gutter="0"/>
          <w:cols w:space="708"/>
          <w:docGrid w:linePitch="360"/>
        </w:sectPr>
      </w:pPr>
    </w:p>
    <w:p w14:paraId="79A2D5CA" w14:textId="77777777" w:rsidR="007049BF" w:rsidRDefault="007049BF" w:rsidP="007049BF">
      <w:pPr>
        <w:jc w:val="both"/>
        <w:rPr>
          <w:sz w:val="24"/>
          <w:szCs w:val="24"/>
        </w:rPr>
      </w:pPr>
    </w:p>
    <w:p w14:paraId="76F09BF1" w14:textId="7C1D89B2" w:rsidR="007049BF" w:rsidRPr="007A03D9" w:rsidRDefault="007049BF" w:rsidP="007A03D9">
      <w:pPr>
        <w:pStyle w:val="Heading1"/>
        <w:rPr>
          <w:rStyle w:val="Strong"/>
          <w:b/>
          <w:bCs w:val="0"/>
        </w:rPr>
      </w:pPr>
      <w:bookmarkStart w:id="55" w:name="_Toc39140020"/>
      <w:r w:rsidRPr="007A03D9">
        <w:rPr>
          <w:rStyle w:val="Strong"/>
          <w:b/>
          <w:bCs w:val="0"/>
        </w:rPr>
        <w:t>Summary and recommendations</w:t>
      </w:r>
      <w:bookmarkEnd w:id="55"/>
    </w:p>
    <w:p w14:paraId="079B6C9B" w14:textId="77777777" w:rsidR="007049BF" w:rsidRDefault="007049BF" w:rsidP="007049BF">
      <w:pPr>
        <w:shd w:val="clear" w:color="auto" w:fill="FFFFFF"/>
        <w:spacing w:before="100" w:beforeAutospacing="1" w:after="100" w:afterAutospacing="1" w:line="240" w:lineRule="auto"/>
        <w:jc w:val="both"/>
        <w:rPr>
          <w:rFonts w:eastAsia="Times New Roman" w:cstheme="minorHAnsi"/>
          <w:sz w:val="24"/>
          <w:szCs w:val="24"/>
          <w:lang w:eastAsia="en-AU"/>
        </w:rPr>
      </w:pPr>
      <w:r w:rsidRPr="00F03EFC">
        <w:rPr>
          <w:rFonts w:eastAsia="Times New Roman" w:cstheme="minorHAnsi"/>
          <w:sz w:val="24"/>
          <w:szCs w:val="24"/>
          <w:lang w:eastAsia="en-AU"/>
        </w:rPr>
        <w:t>The</w:t>
      </w:r>
      <w:r w:rsidRPr="00F03EFC">
        <w:rPr>
          <w:rFonts w:eastAsia="Times New Roman" w:cstheme="minorHAnsi"/>
          <w:b/>
          <w:bCs/>
          <w:sz w:val="24"/>
          <w:szCs w:val="24"/>
          <w:lang w:eastAsia="en-AU"/>
        </w:rPr>
        <w:t> </w:t>
      </w:r>
      <w:r w:rsidRPr="007F2BB2">
        <w:rPr>
          <w:rFonts w:eastAsia="Times New Roman" w:cstheme="minorHAnsi"/>
          <w:b/>
          <w:bCs/>
          <w:color w:val="2F5496" w:themeColor="accent1" w:themeShade="BF"/>
          <w:sz w:val="24"/>
          <w:szCs w:val="24"/>
          <w:lang w:eastAsia="en-AU"/>
        </w:rPr>
        <w:t xml:space="preserve">level and nature of </w:t>
      </w:r>
      <w:r>
        <w:rPr>
          <w:rFonts w:eastAsia="Times New Roman" w:cstheme="minorHAnsi"/>
          <w:b/>
          <w:bCs/>
          <w:color w:val="2F5496" w:themeColor="accent1" w:themeShade="BF"/>
          <w:sz w:val="24"/>
          <w:szCs w:val="24"/>
          <w:lang w:eastAsia="en-AU"/>
        </w:rPr>
        <w:t xml:space="preserve">available </w:t>
      </w:r>
      <w:r w:rsidRPr="007F2BB2">
        <w:rPr>
          <w:rFonts w:eastAsia="Times New Roman" w:cstheme="minorHAnsi"/>
          <w:b/>
          <w:bCs/>
          <w:color w:val="2F5496" w:themeColor="accent1" w:themeShade="BF"/>
          <w:sz w:val="24"/>
          <w:szCs w:val="24"/>
          <w:lang w:eastAsia="en-AU"/>
        </w:rPr>
        <w:t>funding </w:t>
      </w:r>
      <w:r w:rsidRPr="00F03EFC">
        <w:rPr>
          <w:rFonts w:eastAsia="Times New Roman" w:cstheme="minorHAnsi"/>
          <w:sz w:val="24"/>
          <w:szCs w:val="24"/>
          <w:lang w:eastAsia="en-AU"/>
        </w:rPr>
        <w:t xml:space="preserve">has a significant impact on </w:t>
      </w:r>
      <w:r>
        <w:rPr>
          <w:rFonts w:eastAsia="Times New Roman" w:cstheme="minorHAnsi"/>
          <w:sz w:val="24"/>
          <w:szCs w:val="24"/>
          <w:lang w:eastAsia="en-AU"/>
        </w:rPr>
        <w:t>the</w:t>
      </w:r>
      <w:r w:rsidRPr="00F03EFC">
        <w:rPr>
          <w:rFonts w:eastAsia="Times New Roman" w:cstheme="minorHAnsi"/>
          <w:sz w:val="24"/>
          <w:szCs w:val="24"/>
          <w:lang w:eastAsia="en-AU"/>
        </w:rPr>
        <w:t xml:space="preserve"> </w:t>
      </w:r>
      <w:r>
        <w:rPr>
          <w:rFonts w:eastAsia="Times New Roman" w:cstheme="minorHAnsi"/>
          <w:sz w:val="24"/>
          <w:szCs w:val="24"/>
          <w:lang w:eastAsia="en-AU"/>
        </w:rPr>
        <w:t xml:space="preserve">effectiveness, </w:t>
      </w:r>
      <w:r w:rsidRPr="00F03EFC">
        <w:rPr>
          <w:rFonts w:eastAsia="Times New Roman" w:cstheme="minorHAnsi"/>
          <w:sz w:val="24"/>
          <w:szCs w:val="24"/>
          <w:lang w:eastAsia="en-AU"/>
        </w:rPr>
        <w:t xml:space="preserve">lifetime </w:t>
      </w:r>
      <w:r>
        <w:rPr>
          <w:rFonts w:eastAsia="Times New Roman" w:cstheme="minorHAnsi"/>
          <w:sz w:val="24"/>
          <w:szCs w:val="24"/>
          <w:lang w:eastAsia="en-AU"/>
        </w:rPr>
        <w:t xml:space="preserve">and success of any voluntary commitment program. </w:t>
      </w:r>
      <w:r w:rsidRPr="00460735">
        <w:rPr>
          <w:rFonts w:eastAsia="Times New Roman" w:cstheme="minorHAnsi"/>
          <w:b/>
          <w:bCs/>
          <w:color w:val="2F5496" w:themeColor="accent1" w:themeShade="BF"/>
          <w:sz w:val="24"/>
          <w:szCs w:val="24"/>
          <w:lang w:eastAsia="en-AU"/>
        </w:rPr>
        <w:t>In the majority of cases significant government seed funding has been required</w:t>
      </w:r>
      <w:r>
        <w:rPr>
          <w:rFonts w:eastAsia="Times New Roman" w:cstheme="minorHAnsi"/>
          <w:sz w:val="24"/>
          <w:szCs w:val="24"/>
          <w:lang w:eastAsia="en-AU"/>
        </w:rPr>
        <w:t xml:space="preserve"> to provide the confidence and credibility necessary to engage and recruit prospective signatory companies/organisations. </w:t>
      </w:r>
    </w:p>
    <w:p w14:paraId="70A23A1E" w14:textId="77777777" w:rsidR="007049BF" w:rsidRDefault="007049BF" w:rsidP="007049BF">
      <w:pPr>
        <w:shd w:val="clear" w:color="auto" w:fill="FFFFFF"/>
        <w:spacing w:before="100" w:beforeAutospacing="1" w:after="100" w:afterAutospacing="1" w:line="240" w:lineRule="auto"/>
        <w:jc w:val="both"/>
        <w:rPr>
          <w:rFonts w:eastAsia="Times New Roman" w:cstheme="minorHAnsi"/>
          <w:sz w:val="24"/>
          <w:szCs w:val="24"/>
          <w:lang w:eastAsia="en-AU"/>
        </w:rPr>
      </w:pPr>
      <w:r w:rsidRPr="00725D7F">
        <w:rPr>
          <w:rFonts w:eastAsia="Times New Roman" w:cstheme="minorHAnsi"/>
          <w:b/>
          <w:bCs/>
          <w:color w:val="2F5496" w:themeColor="accent1" w:themeShade="BF"/>
          <w:sz w:val="24"/>
          <w:szCs w:val="24"/>
          <w:lang w:eastAsia="en-AU"/>
        </w:rPr>
        <w:t>Signatories will need to commit their own expertise, resources and funding</w:t>
      </w:r>
      <w:r w:rsidRPr="00725D7F">
        <w:rPr>
          <w:rFonts w:eastAsia="Times New Roman" w:cstheme="minorHAnsi"/>
          <w:color w:val="2F5496" w:themeColor="accent1" w:themeShade="BF"/>
          <w:sz w:val="24"/>
          <w:szCs w:val="24"/>
          <w:lang w:eastAsia="en-AU"/>
        </w:rPr>
        <w:t xml:space="preserve"> </w:t>
      </w:r>
      <w:r>
        <w:rPr>
          <w:rFonts w:eastAsia="Times New Roman" w:cstheme="minorHAnsi"/>
          <w:sz w:val="24"/>
          <w:szCs w:val="24"/>
          <w:lang w:eastAsia="en-AU"/>
        </w:rPr>
        <w:t xml:space="preserve">to make the changes required to reduce food waste in their own operations and value chains. At a later stage, once the voluntary commitment has delivered a return on this investment and provided heightened visibility, the entity leading the voluntary commitment should seek </w:t>
      </w:r>
      <w:r w:rsidRPr="00F03EFC">
        <w:rPr>
          <w:rFonts w:eastAsia="Times New Roman" w:cstheme="minorHAnsi"/>
          <w:sz w:val="24"/>
          <w:szCs w:val="24"/>
          <w:lang w:eastAsia="en-AU"/>
        </w:rPr>
        <w:t xml:space="preserve">a mix of public and private </w:t>
      </w:r>
      <w:r>
        <w:rPr>
          <w:rFonts w:eastAsia="Times New Roman" w:cstheme="minorHAnsi"/>
          <w:sz w:val="24"/>
          <w:szCs w:val="24"/>
          <w:lang w:eastAsia="en-AU"/>
        </w:rPr>
        <w:t xml:space="preserve">funding, as this </w:t>
      </w:r>
      <w:r w:rsidRPr="00F03EFC">
        <w:rPr>
          <w:rFonts w:eastAsia="Times New Roman" w:cstheme="minorHAnsi"/>
          <w:sz w:val="24"/>
          <w:szCs w:val="24"/>
          <w:lang w:eastAsia="en-AU"/>
        </w:rPr>
        <w:t xml:space="preserve">is </w:t>
      </w:r>
      <w:r>
        <w:rPr>
          <w:rFonts w:eastAsia="Times New Roman" w:cstheme="minorHAnsi"/>
          <w:sz w:val="24"/>
          <w:szCs w:val="24"/>
          <w:lang w:eastAsia="en-AU"/>
        </w:rPr>
        <w:t xml:space="preserve">considered </w:t>
      </w:r>
      <w:r w:rsidRPr="00F03EFC">
        <w:rPr>
          <w:rFonts w:eastAsia="Times New Roman" w:cstheme="minorHAnsi"/>
          <w:sz w:val="24"/>
          <w:szCs w:val="24"/>
          <w:lang w:eastAsia="en-AU"/>
        </w:rPr>
        <w:t>optimal</w:t>
      </w:r>
      <w:r>
        <w:rPr>
          <w:rFonts w:eastAsia="Times New Roman" w:cstheme="minorHAnsi"/>
          <w:sz w:val="24"/>
          <w:szCs w:val="24"/>
          <w:lang w:eastAsia="en-AU"/>
        </w:rPr>
        <w:t xml:space="preserve"> to longer-term success</w:t>
      </w:r>
      <w:r w:rsidRPr="00F03EFC">
        <w:rPr>
          <w:rFonts w:eastAsia="Times New Roman" w:cstheme="minorHAnsi"/>
          <w:sz w:val="24"/>
          <w:szCs w:val="24"/>
          <w:lang w:eastAsia="en-AU"/>
        </w:rPr>
        <w:t>.</w:t>
      </w:r>
    </w:p>
    <w:p w14:paraId="1A9C7980" w14:textId="77777777" w:rsidR="007049BF" w:rsidRPr="00F03EFC" w:rsidRDefault="007049BF" w:rsidP="007049BF">
      <w:pPr>
        <w:shd w:val="clear" w:color="auto" w:fill="FFFFFF"/>
        <w:spacing w:before="100" w:beforeAutospacing="1" w:after="100" w:afterAutospacing="1" w:line="240" w:lineRule="auto"/>
        <w:jc w:val="both"/>
        <w:rPr>
          <w:rFonts w:eastAsia="Times New Roman" w:cstheme="minorHAnsi"/>
          <w:sz w:val="24"/>
          <w:szCs w:val="24"/>
          <w:lang w:eastAsia="en-AU"/>
        </w:rPr>
      </w:pPr>
      <w:r w:rsidRPr="00725D7F">
        <w:rPr>
          <w:rFonts w:eastAsia="Times New Roman" w:cstheme="minorHAnsi"/>
          <w:b/>
          <w:bCs/>
          <w:color w:val="2F5496" w:themeColor="accent1" w:themeShade="BF"/>
          <w:sz w:val="24"/>
          <w:szCs w:val="24"/>
          <w:lang w:eastAsia="en-AU"/>
        </w:rPr>
        <w:t>The role of an independent third party is crucial in managing a voluntary commitment program</w:t>
      </w:r>
      <w:r w:rsidRPr="00F03EFC">
        <w:rPr>
          <w:rFonts w:eastAsia="Times New Roman" w:cstheme="minorHAnsi"/>
          <w:b/>
          <w:bCs/>
          <w:sz w:val="24"/>
          <w:szCs w:val="24"/>
          <w:lang w:eastAsia="en-AU"/>
        </w:rPr>
        <w:t>,</w:t>
      </w:r>
      <w:r w:rsidRPr="00F03EFC">
        <w:rPr>
          <w:rFonts w:eastAsia="Times New Roman" w:cstheme="minorHAnsi"/>
          <w:sz w:val="24"/>
          <w:szCs w:val="24"/>
          <w:lang w:eastAsia="en-AU"/>
        </w:rPr>
        <w:t xml:space="preserve"> notably to </w:t>
      </w:r>
      <w:r>
        <w:rPr>
          <w:rFonts w:eastAsia="Times New Roman" w:cstheme="minorHAnsi"/>
          <w:sz w:val="24"/>
          <w:szCs w:val="24"/>
          <w:lang w:eastAsia="en-AU"/>
        </w:rPr>
        <w:t>lead</w:t>
      </w:r>
      <w:r w:rsidRPr="00F03EFC">
        <w:rPr>
          <w:rFonts w:eastAsia="Times New Roman" w:cstheme="minorHAnsi"/>
          <w:sz w:val="24"/>
          <w:szCs w:val="24"/>
          <w:lang w:eastAsia="en-AU"/>
        </w:rPr>
        <w:t xml:space="preserve"> </w:t>
      </w:r>
      <w:r>
        <w:rPr>
          <w:rFonts w:eastAsia="Times New Roman" w:cstheme="minorHAnsi"/>
          <w:sz w:val="24"/>
          <w:szCs w:val="24"/>
          <w:lang w:eastAsia="en-AU"/>
        </w:rPr>
        <w:t>signatory recruitment</w:t>
      </w:r>
      <w:r w:rsidRPr="00F03EFC">
        <w:rPr>
          <w:rFonts w:eastAsia="Times New Roman" w:cstheme="minorHAnsi"/>
          <w:sz w:val="24"/>
          <w:szCs w:val="24"/>
          <w:lang w:eastAsia="en-AU"/>
        </w:rPr>
        <w:t xml:space="preserve">, </w:t>
      </w:r>
      <w:r>
        <w:rPr>
          <w:rFonts w:eastAsia="Times New Roman" w:cstheme="minorHAnsi"/>
          <w:sz w:val="24"/>
          <w:szCs w:val="24"/>
          <w:lang w:eastAsia="en-AU"/>
        </w:rPr>
        <w:t xml:space="preserve">manage programs of work, support the delivery of signatories implementation plans, </w:t>
      </w:r>
      <w:r w:rsidRPr="00F03EFC">
        <w:rPr>
          <w:rFonts w:eastAsia="Times New Roman" w:cstheme="minorHAnsi"/>
          <w:sz w:val="24"/>
          <w:szCs w:val="24"/>
          <w:lang w:eastAsia="en-AU"/>
        </w:rPr>
        <w:t xml:space="preserve">ensure </w:t>
      </w:r>
      <w:r>
        <w:rPr>
          <w:rFonts w:eastAsia="Times New Roman" w:cstheme="minorHAnsi"/>
          <w:sz w:val="24"/>
          <w:szCs w:val="24"/>
          <w:lang w:eastAsia="en-AU"/>
        </w:rPr>
        <w:t xml:space="preserve">the protection of </w:t>
      </w:r>
      <w:r w:rsidRPr="00F03EFC">
        <w:rPr>
          <w:rFonts w:eastAsia="Times New Roman" w:cstheme="minorHAnsi"/>
          <w:sz w:val="24"/>
          <w:szCs w:val="24"/>
          <w:lang w:eastAsia="en-AU"/>
        </w:rPr>
        <w:t xml:space="preserve">confidential data, and </w:t>
      </w:r>
      <w:r>
        <w:rPr>
          <w:rFonts w:eastAsia="Times New Roman" w:cstheme="minorHAnsi"/>
          <w:sz w:val="24"/>
          <w:szCs w:val="24"/>
          <w:lang w:eastAsia="en-AU"/>
        </w:rPr>
        <w:t>to ensure the delivery of targets, impact and the annual reporting process</w:t>
      </w:r>
      <w:r w:rsidRPr="00F03EFC">
        <w:rPr>
          <w:rFonts w:eastAsia="Times New Roman" w:cstheme="minorHAnsi"/>
          <w:sz w:val="24"/>
          <w:szCs w:val="24"/>
          <w:lang w:eastAsia="en-AU"/>
        </w:rPr>
        <w:t>.</w:t>
      </w:r>
    </w:p>
    <w:p w14:paraId="7FEDECDA" w14:textId="77777777" w:rsidR="007049BF" w:rsidRDefault="007049BF" w:rsidP="007049BF">
      <w:pPr>
        <w:shd w:val="clear" w:color="auto" w:fill="FFFFFF"/>
        <w:spacing w:before="100" w:beforeAutospacing="1" w:after="100" w:afterAutospacing="1" w:line="240" w:lineRule="auto"/>
        <w:jc w:val="both"/>
        <w:rPr>
          <w:rFonts w:eastAsia="Times New Roman" w:cstheme="minorHAnsi"/>
          <w:sz w:val="24"/>
          <w:szCs w:val="24"/>
          <w:lang w:eastAsia="en-AU"/>
        </w:rPr>
      </w:pPr>
      <w:r>
        <w:rPr>
          <w:rFonts w:eastAsia="Times New Roman" w:cstheme="minorHAnsi"/>
          <w:sz w:val="24"/>
          <w:szCs w:val="24"/>
          <w:lang w:eastAsia="en-AU"/>
        </w:rPr>
        <w:t>Voluntary commitments</w:t>
      </w:r>
      <w:r w:rsidRPr="00F03EFC">
        <w:rPr>
          <w:rFonts w:eastAsia="Times New Roman" w:cstheme="minorHAnsi"/>
          <w:sz w:val="24"/>
          <w:szCs w:val="24"/>
          <w:lang w:eastAsia="en-AU"/>
        </w:rPr>
        <w:t xml:space="preserve"> should establish </w:t>
      </w:r>
      <w:r w:rsidRPr="005F4F44">
        <w:rPr>
          <w:rFonts w:eastAsia="Times New Roman" w:cstheme="minorHAnsi"/>
          <w:b/>
          <w:bCs/>
          <w:color w:val="2F5496" w:themeColor="accent1" w:themeShade="BF"/>
          <w:sz w:val="24"/>
          <w:szCs w:val="24"/>
          <w:lang w:eastAsia="en-AU"/>
        </w:rPr>
        <w:t>ambitious yet realistic targets</w:t>
      </w:r>
      <w:r w:rsidRPr="00F03EFC">
        <w:rPr>
          <w:rFonts w:eastAsia="Times New Roman" w:cstheme="minorHAnsi"/>
          <w:sz w:val="24"/>
          <w:szCs w:val="24"/>
          <w:lang w:eastAsia="en-AU"/>
        </w:rPr>
        <w:t xml:space="preserve">, achievable by their signatories, and </w:t>
      </w:r>
      <w:r w:rsidRPr="00725D7F">
        <w:rPr>
          <w:rFonts w:eastAsia="Times New Roman" w:cstheme="minorHAnsi"/>
          <w:b/>
          <w:bCs/>
          <w:color w:val="2F5496" w:themeColor="accent1" w:themeShade="BF"/>
          <w:sz w:val="24"/>
          <w:szCs w:val="24"/>
          <w:lang w:eastAsia="en-AU"/>
        </w:rPr>
        <w:t>robustness and transparency of data and reporting</w:t>
      </w:r>
      <w:r w:rsidRPr="00725D7F">
        <w:rPr>
          <w:rFonts w:eastAsia="Times New Roman" w:cstheme="minorHAnsi"/>
          <w:color w:val="2F5496" w:themeColor="accent1" w:themeShade="BF"/>
          <w:sz w:val="24"/>
          <w:szCs w:val="24"/>
          <w:lang w:eastAsia="en-AU"/>
        </w:rPr>
        <w:t xml:space="preserve"> </w:t>
      </w:r>
      <w:r w:rsidRPr="00F03EFC">
        <w:rPr>
          <w:rFonts w:eastAsia="Times New Roman" w:cstheme="minorHAnsi"/>
          <w:sz w:val="24"/>
          <w:szCs w:val="24"/>
          <w:lang w:eastAsia="en-AU"/>
        </w:rPr>
        <w:t xml:space="preserve">should be forefront to ensure the credibility </w:t>
      </w:r>
      <w:r>
        <w:rPr>
          <w:rFonts w:eastAsia="Times New Roman" w:cstheme="minorHAnsi"/>
          <w:sz w:val="24"/>
          <w:szCs w:val="24"/>
          <w:lang w:eastAsia="en-AU"/>
        </w:rPr>
        <w:t xml:space="preserve">of signatory’s </w:t>
      </w:r>
      <w:r w:rsidRPr="00F03EFC">
        <w:rPr>
          <w:rFonts w:eastAsia="Times New Roman" w:cstheme="minorHAnsi"/>
          <w:sz w:val="24"/>
          <w:szCs w:val="24"/>
          <w:lang w:eastAsia="en-AU"/>
        </w:rPr>
        <w:t>initiatives</w:t>
      </w:r>
      <w:r>
        <w:rPr>
          <w:rFonts w:eastAsia="Times New Roman" w:cstheme="minorHAnsi"/>
          <w:sz w:val="24"/>
          <w:szCs w:val="24"/>
          <w:lang w:eastAsia="en-AU"/>
        </w:rPr>
        <w:t xml:space="preserve"> and the program as a whole.</w:t>
      </w:r>
    </w:p>
    <w:p w14:paraId="65A460BA" w14:textId="77777777" w:rsidR="007049BF" w:rsidRPr="00DA2E6F" w:rsidRDefault="007049BF" w:rsidP="007049BF">
      <w:pPr>
        <w:pStyle w:val="ListParagraph"/>
        <w:ind w:left="0"/>
        <w:rPr>
          <w:b/>
          <w:bCs/>
          <w:color w:val="2F5496" w:themeColor="accent1" w:themeShade="BF"/>
        </w:rPr>
      </w:pPr>
      <w:r w:rsidRPr="00DA2E6F">
        <w:rPr>
          <w:b/>
          <w:bCs/>
          <w:color w:val="2F5496" w:themeColor="accent1" w:themeShade="BF"/>
        </w:rPr>
        <w:t>Authors:</w:t>
      </w:r>
    </w:p>
    <w:p w14:paraId="6E1FB162" w14:textId="77777777" w:rsidR="007049BF" w:rsidRPr="00C12C54" w:rsidRDefault="007049BF" w:rsidP="00F2143E">
      <w:pPr>
        <w:pStyle w:val="ListParagraph"/>
        <w:numPr>
          <w:ilvl w:val="0"/>
          <w:numId w:val="2"/>
        </w:numPr>
      </w:pPr>
      <w:r w:rsidRPr="00C12C54">
        <w:t xml:space="preserve">Mark Barthel, Special Advisor, FIAL </w:t>
      </w:r>
    </w:p>
    <w:p w14:paraId="50E4F96E" w14:textId="77777777" w:rsidR="007049BF" w:rsidRPr="00C12C54" w:rsidRDefault="007049BF" w:rsidP="00F2143E">
      <w:pPr>
        <w:pStyle w:val="ListParagraph"/>
        <w:numPr>
          <w:ilvl w:val="0"/>
          <w:numId w:val="2"/>
        </w:numPr>
      </w:pPr>
      <w:r w:rsidRPr="00C12C54">
        <w:t>Carolyn Cameron, General Manager – Food Sustainability, FIAL</w:t>
      </w:r>
    </w:p>
    <w:p w14:paraId="7B41E279" w14:textId="77777777" w:rsidR="007049BF" w:rsidRPr="00C12C54" w:rsidRDefault="007049BF" w:rsidP="00F2143E">
      <w:pPr>
        <w:pStyle w:val="ListParagraph"/>
        <w:numPr>
          <w:ilvl w:val="0"/>
          <w:numId w:val="2"/>
        </w:numPr>
      </w:pPr>
      <w:r w:rsidRPr="00C12C54">
        <w:t>Sam Oakden, Manager – Food Sustainability, FIAL</w:t>
      </w:r>
    </w:p>
    <w:p w14:paraId="299A4347" w14:textId="232160EE" w:rsidR="007049BF" w:rsidRPr="00C12C54" w:rsidRDefault="007049BF" w:rsidP="007049BF">
      <w:r w:rsidRPr="00DA2E6F">
        <w:rPr>
          <w:b/>
          <w:bCs/>
          <w:color w:val="2F5496" w:themeColor="accent1" w:themeShade="BF"/>
        </w:rPr>
        <w:t>Version</w:t>
      </w:r>
      <w:r w:rsidRPr="00C12C54">
        <w:t>: 0.</w:t>
      </w:r>
      <w:r>
        <w:t>1</w:t>
      </w:r>
      <w:r w:rsidR="004B78D1">
        <w:t>3</w:t>
      </w:r>
      <w:r w:rsidRPr="00C12C54">
        <w:t xml:space="preserve"> </w:t>
      </w:r>
    </w:p>
    <w:p w14:paraId="1E13D66F" w14:textId="21EA481F" w:rsidR="007049BF" w:rsidRDefault="007049BF" w:rsidP="007049BF">
      <w:r w:rsidRPr="00DA2E6F">
        <w:rPr>
          <w:b/>
          <w:bCs/>
          <w:color w:val="2F5496" w:themeColor="accent1" w:themeShade="BF"/>
        </w:rPr>
        <w:t>Date</w:t>
      </w:r>
      <w:r w:rsidRPr="00C12C54">
        <w:t xml:space="preserve">: </w:t>
      </w:r>
      <w:r w:rsidR="004B78D1">
        <w:t>30</w:t>
      </w:r>
      <w:r>
        <w:t xml:space="preserve"> April 2020</w:t>
      </w:r>
    </w:p>
    <w:p w14:paraId="5274E5EB" w14:textId="69A54A13" w:rsidR="00224017" w:rsidRDefault="00224017" w:rsidP="00DA2E6F">
      <w:pPr>
        <w:jc w:val="both"/>
      </w:pPr>
    </w:p>
    <w:p w14:paraId="567F6016" w14:textId="57A43AE9" w:rsidR="007049BF" w:rsidRDefault="007049BF" w:rsidP="00DA2E6F">
      <w:pPr>
        <w:jc w:val="both"/>
        <w:sectPr w:rsidR="007049BF" w:rsidSect="007049BF">
          <w:pgSz w:w="11906" w:h="16838"/>
          <w:pgMar w:top="1440" w:right="1440" w:bottom="1440" w:left="1440" w:header="708" w:footer="708" w:gutter="0"/>
          <w:cols w:space="708"/>
          <w:docGrid w:linePitch="360"/>
        </w:sectPr>
      </w:pPr>
    </w:p>
    <w:p w14:paraId="4EDC8133" w14:textId="25FBAFA9" w:rsidR="00224017" w:rsidRPr="00214F8E" w:rsidRDefault="00224017" w:rsidP="00214F8E">
      <w:pPr>
        <w:pStyle w:val="Heading1"/>
        <w:numPr>
          <w:ilvl w:val="0"/>
          <w:numId w:val="0"/>
        </w:numPr>
        <w:jc w:val="both"/>
        <w:rPr>
          <w:rStyle w:val="Strong"/>
          <w:b/>
          <w:bCs w:val="0"/>
        </w:rPr>
      </w:pPr>
      <w:bookmarkStart w:id="56" w:name="_Toc39140021"/>
      <w:r w:rsidRPr="00214F8E">
        <w:rPr>
          <w:rStyle w:val="Strong"/>
          <w:b/>
          <w:bCs w:val="0"/>
        </w:rPr>
        <w:lastRenderedPageBreak/>
        <w:t xml:space="preserve">Annex A: </w:t>
      </w:r>
      <w:r w:rsidR="007B6086" w:rsidRPr="00214F8E">
        <w:rPr>
          <w:rStyle w:val="Strong"/>
          <w:b/>
          <w:bCs w:val="0"/>
        </w:rPr>
        <w:t>The</w:t>
      </w:r>
      <w:r w:rsidRPr="00214F8E">
        <w:rPr>
          <w:rStyle w:val="Strong"/>
          <w:b/>
          <w:bCs w:val="0"/>
        </w:rPr>
        <w:t xml:space="preserve"> National Food Waste Strategy</w:t>
      </w:r>
      <w:r w:rsidR="007B6086" w:rsidRPr="00214F8E">
        <w:rPr>
          <w:rStyle w:val="Strong"/>
          <w:b/>
          <w:bCs w:val="0"/>
        </w:rPr>
        <w:t xml:space="preserve"> and the policy context for reducing food waste in Australia</w:t>
      </w:r>
      <w:bookmarkEnd w:id="56"/>
    </w:p>
    <w:p w14:paraId="438EB43F" w14:textId="77777777" w:rsidR="00243E2D" w:rsidRPr="00243E2D" w:rsidRDefault="00243E2D" w:rsidP="00DA2E6F">
      <w:pPr>
        <w:jc w:val="both"/>
        <w:rPr>
          <w:b/>
          <w:bCs/>
          <w:color w:val="2F5496" w:themeColor="accent1" w:themeShade="BF"/>
          <w:sz w:val="24"/>
          <w:szCs w:val="24"/>
        </w:rPr>
      </w:pPr>
    </w:p>
    <w:p w14:paraId="22C9EFAA" w14:textId="77777777" w:rsidR="007B6086" w:rsidRPr="00802F7A" w:rsidRDefault="007B6086" w:rsidP="00F2143E">
      <w:pPr>
        <w:pStyle w:val="ListParagraph"/>
        <w:numPr>
          <w:ilvl w:val="0"/>
          <w:numId w:val="20"/>
        </w:numPr>
        <w:spacing w:after="120"/>
        <w:ind w:left="567" w:hanging="567"/>
        <w:rPr>
          <w:rStyle w:val="BookTitle"/>
        </w:rPr>
      </w:pPr>
      <w:r w:rsidRPr="00802F7A">
        <w:rPr>
          <w:rStyle w:val="BookTitle"/>
        </w:rPr>
        <w:t>The policy context and framework for reducing food waste in Australia</w:t>
      </w:r>
    </w:p>
    <w:p w14:paraId="37FC0508" w14:textId="14B52FD0" w:rsidR="007B6086" w:rsidRPr="00671D11" w:rsidRDefault="007B6086" w:rsidP="007B6086">
      <w:pPr>
        <w:jc w:val="both"/>
        <w:rPr>
          <w:sz w:val="24"/>
          <w:szCs w:val="24"/>
        </w:rPr>
      </w:pPr>
      <w:r w:rsidRPr="00671D11">
        <w:rPr>
          <w:sz w:val="24"/>
          <w:szCs w:val="24"/>
        </w:rPr>
        <w:t xml:space="preserve">As part of the responsible global community, the Australian government signed-up to the UN’s Sustainable Development Goals (SDGs). In November 2017, it published a </w:t>
      </w:r>
      <w:hyperlink r:id="rId47" w:history="1">
        <w:r w:rsidRPr="00957973">
          <w:rPr>
            <w:rStyle w:val="Hyperlink"/>
            <w:sz w:val="24"/>
            <w:szCs w:val="24"/>
          </w:rPr>
          <w:t>National Food Waste Strategy</w:t>
        </w:r>
      </w:hyperlink>
      <w:r>
        <w:rPr>
          <w:sz w:val="24"/>
          <w:szCs w:val="24"/>
        </w:rPr>
        <w:t>,</w:t>
      </w:r>
      <w:r w:rsidRPr="00671D11">
        <w:rPr>
          <w:sz w:val="24"/>
          <w:szCs w:val="24"/>
        </w:rPr>
        <w:t xml:space="preserve"> committing to halve food </w:t>
      </w:r>
      <w:r>
        <w:rPr>
          <w:sz w:val="24"/>
          <w:szCs w:val="24"/>
        </w:rPr>
        <w:t xml:space="preserve">loss </w:t>
      </w:r>
      <w:r w:rsidRPr="00F97279">
        <w:rPr>
          <w:sz w:val="24"/>
          <w:szCs w:val="24"/>
          <w:u w:val="single"/>
        </w:rPr>
        <w:t>and</w:t>
      </w:r>
      <w:r>
        <w:rPr>
          <w:sz w:val="24"/>
          <w:szCs w:val="24"/>
        </w:rPr>
        <w:t xml:space="preserve"> </w:t>
      </w:r>
      <w:r w:rsidRPr="00671D11">
        <w:rPr>
          <w:sz w:val="24"/>
          <w:szCs w:val="24"/>
        </w:rPr>
        <w:t>waste by 2030</w:t>
      </w:r>
      <w:r>
        <w:rPr>
          <w:sz w:val="24"/>
          <w:szCs w:val="24"/>
        </w:rPr>
        <w:t>,</w:t>
      </w:r>
      <w:r w:rsidRPr="00671D11">
        <w:rPr>
          <w:sz w:val="24"/>
          <w:szCs w:val="24"/>
        </w:rPr>
        <w:t xml:space="preserve"> </w:t>
      </w:r>
      <w:r>
        <w:rPr>
          <w:sz w:val="24"/>
          <w:szCs w:val="24"/>
        </w:rPr>
        <w:t>going beyond</w:t>
      </w:r>
      <w:r w:rsidRPr="00671D11">
        <w:rPr>
          <w:sz w:val="24"/>
          <w:szCs w:val="24"/>
        </w:rPr>
        <w:t xml:space="preserve"> SDG Target 12.3 below: </w:t>
      </w:r>
    </w:p>
    <w:p w14:paraId="5A59C731" w14:textId="77777777" w:rsidR="007B6086" w:rsidRPr="00671D11" w:rsidRDefault="007B6086" w:rsidP="007B6086">
      <w:pPr>
        <w:jc w:val="both"/>
        <w:rPr>
          <w:b/>
          <w:bCs/>
          <w:i/>
          <w:color w:val="2F5496" w:themeColor="accent1" w:themeShade="BF"/>
          <w:sz w:val="24"/>
          <w:szCs w:val="24"/>
        </w:rPr>
      </w:pPr>
      <w:r w:rsidRPr="00671D11">
        <w:rPr>
          <w:b/>
          <w:bCs/>
          <w:i/>
          <w:color w:val="2F5496" w:themeColor="accent1" w:themeShade="BF"/>
          <w:sz w:val="24"/>
          <w:szCs w:val="24"/>
        </w:rPr>
        <w:t>By 2030, halve per capita global food waste at the retail and consumer levels and reduce food losses along production and supply chains, including post-harvest losses.</w:t>
      </w:r>
    </w:p>
    <w:p w14:paraId="413B80FC" w14:textId="29CE2ADE" w:rsidR="007B6086" w:rsidRPr="00E90165" w:rsidRDefault="007B6086" w:rsidP="007B6086">
      <w:pPr>
        <w:jc w:val="both"/>
        <w:rPr>
          <w:iCs/>
          <w:sz w:val="24"/>
          <w:szCs w:val="24"/>
        </w:rPr>
      </w:pPr>
      <w:r w:rsidRPr="00671D11">
        <w:rPr>
          <w:sz w:val="24"/>
          <w:szCs w:val="24"/>
        </w:rPr>
        <w:t xml:space="preserve">The Strategy also helps give effect to Australia’s obligations under the United Nations Framework Convention on Climate Change to reduce greenhouse gas emissions, primarily through a reduction in emissions that </w:t>
      </w:r>
      <w:r>
        <w:rPr>
          <w:sz w:val="24"/>
          <w:szCs w:val="24"/>
        </w:rPr>
        <w:t>are generated</w:t>
      </w:r>
      <w:r w:rsidRPr="00671D11">
        <w:rPr>
          <w:sz w:val="24"/>
          <w:szCs w:val="24"/>
        </w:rPr>
        <w:t xml:space="preserve"> from </w:t>
      </w:r>
      <w:r>
        <w:rPr>
          <w:sz w:val="24"/>
          <w:szCs w:val="24"/>
        </w:rPr>
        <w:t>producing</w:t>
      </w:r>
      <w:r w:rsidRPr="00671D11">
        <w:rPr>
          <w:sz w:val="24"/>
          <w:szCs w:val="24"/>
        </w:rPr>
        <w:t xml:space="preserve"> food </w:t>
      </w:r>
      <w:r>
        <w:rPr>
          <w:sz w:val="24"/>
          <w:szCs w:val="24"/>
        </w:rPr>
        <w:t>that is subsequently wasted. This includes</w:t>
      </w:r>
      <w:r w:rsidRPr="00671D11">
        <w:rPr>
          <w:sz w:val="24"/>
          <w:szCs w:val="24"/>
        </w:rPr>
        <w:t xml:space="preserve"> emissions in primary production, energy use in processing, distribution</w:t>
      </w:r>
      <w:r>
        <w:rPr>
          <w:sz w:val="24"/>
          <w:szCs w:val="24"/>
        </w:rPr>
        <w:t>,</w:t>
      </w:r>
      <w:r w:rsidRPr="00671D11">
        <w:rPr>
          <w:sz w:val="24"/>
          <w:szCs w:val="24"/>
        </w:rPr>
        <w:t xml:space="preserve"> manufacturing </w:t>
      </w:r>
      <w:r>
        <w:rPr>
          <w:sz w:val="24"/>
          <w:szCs w:val="24"/>
        </w:rPr>
        <w:t xml:space="preserve">and refrigerant gas leakage in cold storage; </w:t>
      </w:r>
      <w:r w:rsidRPr="00671D11">
        <w:rPr>
          <w:sz w:val="24"/>
          <w:szCs w:val="24"/>
        </w:rPr>
        <w:t>and through diversion of food waste from landfill, where it decomposes creating methane</w:t>
      </w:r>
      <w:r>
        <w:rPr>
          <w:rStyle w:val="FootnoteReference"/>
          <w:sz w:val="24"/>
          <w:szCs w:val="24"/>
        </w:rPr>
        <w:footnoteReference w:id="19"/>
      </w:r>
      <w:r w:rsidRPr="00671D11">
        <w:rPr>
          <w:sz w:val="24"/>
          <w:szCs w:val="24"/>
        </w:rPr>
        <w:t>.</w:t>
      </w:r>
    </w:p>
    <w:p w14:paraId="22D029C0" w14:textId="77777777" w:rsidR="007B6086" w:rsidRPr="002D752A" w:rsidRDefault="007B6086" w:rsidP="007B6086">
      <w:pPr>
        <w:spacing w:after="0" w:line="195" w:lineRule="atLeast"/>
        <w:jc w:val="both"/>
        <w:rPr>
          <w:sz w:val="24"/>
          <w:szCs w:val="24"/>
        </w:rPr>
      </w:pPr>
      <w:r w:rsidRPr="002D752A">
        <w:rPr>
          <w:sz w:val="24"/>
          <w:szCs w:val="24"/>
        </w:rPr>
        <w:t xml:space="preserve">Since the publication of the Strategy, </w:t>
      </w:r>
      <w:hyperlink r:id="rId48" w:history="1">
        <w:r w:rsidRPr="002D752A">
          <w:rPr>
            <w:rStyle w:val="Hyperlink"/>
            <w:sz w:val="24"/>
            <w:szCs w:val="24"/>
          </w:rPr>
          <w:t>Australia’s National Waste Policy (2018)</w:t>
        </w:r>
      </w:hyperlink>
      <w:r w:rsidRPr="002D752A">
        <w:rPr>
          <w:sz w:val="24"/>
          <w:szCs w:val="24"/>
        </w:rPr>
        <w:t xml:space="preserve"> has also been published and sets five principles to advance a circular economy</w:t>
      </w:r>
      <w:r>
        <w:rPr>
          <w:rStyle w:val="FootnoteReference"/>
          <w:sz w:val="24"/>
          <w:szCs w:val="24"/>
        </w:rPr>
        <w:footnoteReference w:id="20"/>
      </w:r>
      <w:r w:rsidRPr="002D752A">
        <w:rPr>
          <w:sz w:val="24"/>
          <w:szCs w:val="24"/>
        </w:rPr>
        <w:t xml:space="preserve"> in Australia. </w:t>
      </w:r>
    </w:p>
    <w:p w14:paraId="26DE7B4D" w14:textId="77777777" w:rsidR="007B6086" w:rsidRPr="002D752A" w:rsidRDefault="007B6086" w:rsidP="007B6086">
      <w:pPr>
        <w:spacing w:after="0" w:line="195" w:lineRule="atLeast"/>
        <w:jc w:val="both"/>
        <w:rPr>
          <w:sz w:val="24"/>
          <w:szCs w:val="24"/>
        </w:rPr>
      </w:pPr>
    </w:p>
    <w:p w14:paraId="402CF690" w14:textId="77777777" w:rsidR="007B6086" w:rsidRDefault="007B6086" w:rsidP="007B6086">
      <w:pPr>
        <w:spacing w:after="0" w:line="195" w:lineRule="atLeast"/>
        <w:jc w:val="both"/>
        <w:rPr>
          <w:sz w:val="24"/>
          <w:szCs w:val="24"/>
        </w:rPr>
      </w:pPr>
      <w:r w:rsidRPr="002D752A">
        <w:rPr>
          <w:sz w:val="24"/>
          <w:szCs w:val="24"/>
        </w:rPr>
        <w:t>These principles</w:t>
      </w:r>
      <w:r>
        <w:rPr>
          <w:sz w:val="24"/>
          <w:szCs w:val="24"/>
        </w:rPr>
        <w:t xml:space="preserve"> </w:t>
      </w:r>
      <w:r w:rsidRPr="002D752A">
        <w:rPr>
          <w:sz w:val="24"/>
          <w:szCs w:val="24"/>
        </w:rPr>
        <w:t xml:space="preserve">support the concept of a food recovery </w:t>
      </w:r>
      <w:r>
        <w:rPr>
          <w:sz w:val="24"/>
          <w:szCs w:val="24"/>
        </w:rPr>
        <w:t>hierarchy</w:t>
      </w:r>
      <w:r w:rsidRPr="002D752A">
        <w:rPr>
          <w:sz w:val="24"/>
          <w:szCs w:val="24"/>
        </w:rPr>
        <w:t xml:space="preserve"> that prioritises action on waste prevention, reuse and resource recovery above other forms of waste management e.g. </w:t>
      </w:r>
      <w:r>
        <w:rPr>
          <w:sz w:val="24"/>
          <w:szCs w:val="24"/>
        </w:rPr>
        <w:t xml:space="preserve">sending waste to </w:t>
      </w:r>
      <w:r w:rsidRPr="002D752A">
        <w:rPr>
          <w:sz w:val="24"/>
          <w:szCs w:val="24"/>
        </w:rPr>
        <w:t>landfill and energy from waste</w:t>
      </w:r>
      <w:r>
        <w:rPr>
          <w:sz w:val="24"/>
          <w:szCs w:val="24"/>
        </w:rPr>
        <w:t>; and the importance of providing clear information to consumers to allow them to make informed decisions about the products they buy, store, use, reuse, recycle or dispose of</w:t>
      </w:r>
      <w:r w:rsidRPr="002D752A">
        <w:rPr>
          <w:sz w:val="24"/>
          <w:szCs w:val="24"/>
        </w:rPr>
        <w:t xml:space="preserve">. </w:t>
      </w:r>
    </w:p>
    <w:p w14:paraId="17FBD7FE" w14:textId="77777777" w:rsidR="007B6086" w:rsidRPr="00426961" w:rsidRDefault="007B6086" w:rsidP="007B6086">
      <w:pPr>
        <w:spacing w:after="0" w:line="195" w:lineRule="atLeast"/>
        <w:jc w:val="both"/>
        <w:rPr>
          <w:sz w:val="24"/>
          <w:szCs w:val="24"/>
        </w:rPr>
      </w:pPr>
    </w:p>
    <w:p w14:paraId="72B3412E" w14:textId="1D43AD7C" w:rsidR="00A05201" w:rsidRPr="004C5FFC" w:rsidRDefault="007B6086" w:rsidP="004C5FFC">
      <w:pPr>
        <w:jc w:val="both"/>
        <w:rPr>
          <w:sz w:val="24"/>
          <w:szCs w:val="24"/>
        </w:rPr>
      </w:pPr>
      <w:r>
        <w:rPr>
          <w:sz w:val="24"/>
          <w:szCs w:val="24"/>
        </w:rPr>
        <w:t xml:space="preserve">And more recently, the </w:t>
      </w:r>
      <w:hyperlink r:id="rId49" w:history="1">
        <w:r w:rsidRPr="009316AA">
          <w:rPr>
            <w:rStyle w:val="Hyperlink"/>
            <w:sz w:val="24"/>
            <w:szCs w:val="24"/>
          </w:rPr>
          <w:t>National Waste Policy Action Plan 2019</w:t>
        </w:r>
      </w:hyperlink>
      <w:r>
        <w:rPr>
          <w:sz w:val="24"/>
          <w:szCs w:val="24"/>
        </w:rPr>
        <w:t xml:space="preserve"> has been published, which further reinforces the principles of the food recovery hierarchy and sets a target to reduce the amount of organic waste going to landfill by half. </w:t>
      </w:r>
    </w:p>
    <w:p w14:paraId="498F84AB" w14:textId="77777777" w:rsidR="00A05201" w:rsidRDefault="00A05201" w:rsidP="007B6086">
      <w:pPr>
        <w:pStyle w:val="ListParagraph"/>
        <w:spacing w:after="0"/>
        <w:ind w:left="0"/>
        <w:contextualSpacing w:val="0"/>
        <w:jc w:val="both"/>
      </w:pPr>
    </w:p>
    <w:p w14:paraId="5BAE97D6" w14:textId="77777777" w:rsidR="007B6086" w:rsidRPr="00802F7A" w:rsidRDefault="007B6086" w:rsidP="00F2143E">
      <w:pPr>
        <w:pStyle w:val="ListParagraph"/>
        <w:numPr>
          <w:ilvl w:val="0"/>
          <w:numId w:val="20"/>
        </w:numPr>
        <w:ind w:left="567" w:hanging="567"/>
        <w:contextualSpacing w:val="0"/>
        <w:jc w:val="both"/>
        <w:rPr>
          <w:rStyle w:val="BookTitle"/>
        </w:rPr>
      </w:pPr>
      <w:r w:rsidRPr="00802F7A">
        <w:rPr>
          <w:rStyle w:val="BookTitle"/>
        </w:rPr>
        <w:t xml:space="preserve">Food waste definitions </w:t>
      </w:r>
    </w:p>
    <w:p w14:paraId="5403E454" w14:textId="77777777" w:rsidR="007B6086" w:rsidRPr="00995088" w:rsidRDefault="007B6086" w:rsidP="007B6086">
      <w:pPr>
        <w:pStyle w:val="ListParagraph"/>
        <w:spacing w:after="120"/>
        <w:ind w:left="0"/>
        <w:contextualSpacing w:val="0"/>
        <w:jc w:val="both"/>
        <w:rPr>
          <w:sz w:val="24"/>
          <w:szCs w:val="24"/>
        </w:rPr>
      </w:pPr>
      <w:r>
        <w:rPr>
          <w:sz w:val="24"/>
          <w:szCs w:val="24"/>
        </w:rPr>
        <w:t>Clarity around how food waste is defined under the</w:t>
      </w:r>
      <w:r w:rsidRPr="00995088">
        <w:rPr>
          <w:sz w:val="24"/>
          <w:szCs w:val="24"/>
        </w:rPr>
        <w:t xml:space="preserve"> National Food Waste Strategy</w:t>
      </w:r>
      <w:r>
        <w:rPr>
          <w:sz w:val="24"/>
          <w:szCs w:val="24"/>
        </w:rPr>
        <w:t xml:space="preserve"> is also important, as it has an impact on the volume of waste reduction required and, therefore, on our collective ability to deliver the halving food waste target. The Strategy </w:t>
      </w:r>
      <w:r w:rsidRPr="00995088">
        <w:rPr>
          <w:sz w:val="24"/>
          <w:szCs w:val="24"/>
        </w:rPr>
        <w:t xml:space="preserve">defines food waste as: </w:t>
      </w:r>
    </w:p>
    <w:p w14:paraId="345B4076" w14:textId="77777777" w:rsidR="007B6086" w:rsidRPr="00995088" w:rsidRDefault="007B6086" w:rsidP="00F2143E">
      <w:pPr>
        <w:pStyle w:val="ListParagraph"/>
        <w:numPr>
          <w:ilvl w:val="0"/>
          <w:numId w:val="5"/>
        </w:numPr>
        <w:spacing w:after="80" w:line="195" w:lineRule="atLeast"/>
        <w:ind w:left="284" w:hanging="284"/>
        <w:contextualSpacing w:val="0"/>
        <w:jc w:val="both"/>
        <w:rPr>
          <w:rFonts w:ascii="Calibri" w:hAnsi="Calibri" w:cs="Times New Roman"/>
          <w:sz w:val="24"/>
          <w:szCs w:val="24"/>
          <w:lang w:eastAsia="en-GB"/>
        </w:rPr>
      </w:pPr>
      <w:r w:rsidRPr="00995088">
        <w:rPr>
          <w:rFonts w:ascii="Calibri" w:hAnsi="Calibri" w:cs="Times New Roman"/>
          <w:sz w:val="24"/>
          <w:szCs w:val="24"/>
          <w:lang w:eastAsia="en-GB"/>
        </w:rPr>
        <w:lastRenderedPageBreak/>
        <w:t>Solid or liquid food that is intended for human consumption and is generated across the entire supply and consumption chain</w:t>
      </w:r>
    </w:p>
    <w:p w14:paraId="2BC4AF75" w14:textId="77777777" w:rsidR="007B6086" w:rsidRPr="00995088" w:rsidRDefault="007B6086" w:rsidP="00F2143E">
      <w:pPr>
        <w:pStyle w:val="ListParagraph"/>
        <w:numPr>
          <w:ilvl w:val="0"/>
          <w:numId w:val="5"/>
        </w:numPr>
        <w:spacing w:before="80" w:after="80" w:line="195" w:lineRule="atLeast"/>
        <w:ind w:left="284" w:hanging="284"/>
        <w:contextualSpacing w:val="0"/>
        <w:jc w:val="both"/>
        <w:rPr>
          <w:rFonts w:ascii="Calibri" w:hAnsi="Calibri" w:cs="Times New Roman"/>
          <w:sz w:val="24"/>
          <w:szCs w:val="24"/>
          <w:lang w:eastAsia="en-GB"/>
        </w:rPr>
      </w:pPr>
      <w:r w:rsidRPr="00995088">
        <w:rPr>
          <w:rFonts w:ascii="Calibri" w:hAnsi="Calibri" w:cs="Times New Roman"/>
          <w:sz w:val="24"/>
          <w:szCs w:val="24"/>
          <w:lang w:eastAsia="en-GB"/>
        </w:rPr>
        <w:t>Food that does not reach the consumer or reaches the consumer but thrown away. This includes edible food, the parts of food that can be consumed but are disposed of, and inedible food, the parts of food that are not consumed because they are either unable to be consumed or are considered undesirable (such as seeds, bones, coffee grounds, skins, or peels)</w:t>
      </w:r>
    </w:p>
    <w:p w14:paraId="338BE502" w14:textId="77777777" w:rsidR="007B6086" w:rsidRPr="00995088" w:rsidRDefault="007B6086" w:rsidP="00F2143E">
      <w:pPr>
        <w:pStyle w:val="ListParagraph"/>
        <w:numPr>
          <w:ilvl w:val="0"/>
          <w:numId w:val="5"/>
        </w:numPr>
        <w:spacing w:before="80" w:after="80" w:line="195" w:lineRule="atLeast"/>
        <w:ind w:left="284" w:hanging="284"/>
        <w:contextualSpacing w:val="0"/>
        <w:jc w:val="both"/>
        <w:rPr>
          <w:rFonts w:ascii="Calibri" w:hAnsi="Calibri" w:cs="Times New Roman"/>
          <w:sz w:val="24"/>
          <w:szCs w:val="24"/>
          <w:lang w:eastAsia="en-GB"/>
        </w:rPr>
      </w:pPr>
      <w:r w:rsidRPr="00995088">
        <w:rPr>
          <w:rFonts w:ascii="Calibri" w:hAnsi="Calibri" w:cs="Times New Roman"/>
          <w:sz w:val="24"/>
          <w:szCs w:val="24"/>
          <w:lang w:eastAsia="en-GB"/>
        </w:rPr>
        <w:t>Food that is imported into, and disposed of, in Australia</w:t>
      </w:r>
    </w:p>
    <w:p w14:paraId="18DD5ED6" w14:textId="77777777" w:rsidR="007B6086" w:rsidRPr="00995088" w:rsidRDefault="007B6086" w:rsidP="00F2143E">
      <w:pPr>
        <w:pStyle w:val="ListParagraph"/>
        <w:numPr>
          <w:ilvl w:val="0"/>
          <w:numId w:val="5"/>
        </w:numPr>
        <w:spacing w:before="80" w:after="0" w:line="195" w:lineRule="atLeast"/>
        <w:ind w:left="284" w:hanging="284"/>
        <w:contextualSpacing w:val="0"/>
        <w:jc w:val="both"/>
        <w:rPr>
          <w:rFonts w:ascii="Calibri" w:hAnsi="Calibri" w:cs="Times New Roman"/>
          <w:sz w:val="24"/>
          <w:szCs w:val="24"/>
          <w:lang w:eastAsia="en-GB"/>
        </w:rPr>
      </w:pPr>
      <w:r w:rsidRPr="00995088">
        <w:rPr>
          <w:rFonts w:ascii="Calibri" w:hAnsi="Calibri" w:cs="Times New Roman"/>
          <w:sz w:val="24"/>
          <w:szCs w:val="24"/>
          <w:lang w:eastAsia="en-GB"/>
        </w:rPr>
        <w:t>Food that is produced or manufactured for export but does not leave Australia. </w:t>
      </w:r>
    </w:p>
    <w:p w14:paraId="7F8BFACD" w14:textId="77777777" w:rsidR="007B6086" w:rsidRPr="00995088" w:rsidRDefault="007B6086" w:rsidP="007B6086">
      <w:pPr>
        <w:spacing w:after="0" w:line="195" w:lineRule="atLeast"/>
        <w:jc w:val="both"/>
        <w:rPr>
          <w:rFonts w:ascii="Calibri" w:hAnsi="Calibri" w:cs="Times New Roman"/>
          <w:sz w:val="24"/>
          <w:szCs w:val="24"/>
          <w:lang w:eastAsia="en-GB"/>
        </w:rPr>
      </w:pPr>
    </w:p>
    <w:p w14:paraId="38217A1E" w14:textId="77777777" w:rsidR="007B6086" w:rsidRPr="00995088" w:rsidRDefault="007B6086" w:rsidP="007B6086">
      <w:pPr>
        <w:spacing w:after="0" w:line="195" w:lineRule="atLeast"/>
        <w:jc w:val="both"/>
        <w:rPr>
          <w:rFonts w:ascii="Calibri" w:hAnsi="Calibri" w:cs="Times New Roman"/>
          <w:sz w:val="24"/>
          <w:szCs w:val="24"/>
          <w:lang w:eastAsia="en-GB"/>
        </w:rPr>
      </w:pPr>
      <w:r w:rsidRPr="00995088">
        <w:rPr>
          <w:rFonts w:ascii="Calibri" w:hAnsi="Calibri" w:cs="Times New Roman"/>
          <w:sz w:val="24"/>
          <w:szCs w:val="24"/>
          <w:lang w:eastAsia="en-GB"/>
        </w:rPr>
        <w:t>This definition excludes food that is produced or manufactured in Australia and is exported and may become waste in another country.</w:t>
      </w:r>
    </w:p>
    <w:p w14:paraId="77569D3F" w14:textId="77777777" w:rsidR="007B6086" w:rsidRPr="00995088" w:rsidRDefault="007B6086" w:rsidP="007B6086">
      <w:pPr>
        <w:spacing w:after="0" w:line="195" w:lineRule="atLeast"/>
        <w:jc w:val="both"/>
        <w:rPr>
          <w:rFonts w:ascii="Calibri" w:hAnsi="Calibri" w:cs="Times New Roman"/>
          <w:sz w:val="24"/>
          <w:szCs w:val="24"/>
          <w:lang w:eastAsia="en-GB"/>
        </w:rPr>
      </w:pPr>
    </w:p>
    <w:p w14:paraId="50DB7D9C" w14:textId="77777777" w:rsidR="007B6086" w:rsidRPr="00995088" w:rsidRDefault="007B6086" w:rsidP="007B6086">
      <w:pPr>
        <w:spacing w:after="0" w:line="195" w:lineRule="atLeast"/>
        <w:jc w:val="both"/>
        <w:rPr>
          <w:rFonts w:ascii="Calibri" w:hAnsi="Calibri" w:cs="Times New Roman"/>
          <w:sz w:val="24"/>
          <w:szCs w:val="24"/>
          <w:lang w:eastAsia="en-GB"/>
        </w:rPr>
      </w:pPr>
      <w:r w:rsidRPr="00995088">
        <w:rPr>
          <w:rFonts w:ascii="Calibri" w:hAnsi="Calibri" w:cs="Times New Roman"/>
          <w:sz w:val="24"/>
          <w:szCs w:val="24"/>
          <w:lang w:eastAsia="en-GB"/>
        </w:rPr>
        <w:t xml:space="preserve">This is a broad territorial definition of what does and does not constitute food waste. </w:t>
      </w:r>
      <w:r w:rsidRPr="00995088">
        <w:rPr>
          <w:rFonts w:ascii="Calibri" w:hAnsi="Calibri" w:cs="Times New Roman"/>
          <w:sz w:val="24"/>
          <w:szCs w:val="24"/>
          <w:lang w:val="en-GB" w:eastAsia="en-GB"/>
        </w:rPr>
        <w:t>It is also important to note that the Strategy adopts ‘food waste’ as an inclusive term to address both food loss and food waste</w:t>
      </w:r>
      <w:r>
        <w:rPr>
          <w:rFonts w:ascii="Calibri" w:hAnsi="Calibri" w:cs="Times New Roman"/>
          <w:sz w:val="24"/>
          <w:szCs w:val="24"/>
          <w:lang w:val="en-GB" w:eastAsia="en-GB"/>
        </w:rPr>
        <w:t>, so, as it stands, the 50% reduction target applies to food loss in the pre-retail value chain and food waste in the retail and hospitality and food service sectors and in Australian homes.</w:t>
      </w:r>
    </w:p>
    <w:p w14:paraId="0F6EB01A" w14:textId="77777777" w:rsidR="007B6086" w:rsidRDefault="007B6086" w:rsidP="007B6086">
      <w:pPr>
        <w:spacing w:after="128" w:line="195" w:lineRule="atLeast"/>
        <w:jc w:val="both"/>
        <w:rPr>
          <w:rFonts w:ascii="Calibri" w:hAnsi="Calibri" w:cs="Times New Roman"/>
          <w:lang w:eastAsia="en-GB"/>
        </w:rPr>
      </w:pPr>
    </w:p>
    <w:p w14:paraId="24669489" w14:textId="77777777" w:rsidR="007B6086" w:rsidRPr="00802F7A" w:rsidRDefault="007B6086" w:rsidP="00F2143E">
      <w:pPr>
        <w:pStyle w:val="ListParagraph"/>
        <w:numPr>
          <w:ilvl w:val="0"/>
          <w:numId w:val="20"/>
        </w:numPr>
        <w:ind w:left="567" w:hanging="567"/>
        <w:rPr>
          <w:rStyle w:val="BookTitle"/>
        </w:rPr>
      </w:pPr>
      <w:r w:rsidRPr="00802F7A">
        <w:rPr>
          <w:rStyle w:val="BookTitle"/>
        </w:rPr>
        <w:t>Surplus food and food waste destinations – what counts towards the target?</w:t>
      </w:r>
    </w:p>
    <w:p w14:paraId="0E5D235D" w14:textId="3B49F3CB" w:rsidR="007B6086" w:rsidRPr="00ED0879" w:rsidRDefault="007B6086" w:rsidP="007B6086">
      <w:pPr>
        <w:jc w:val="both"/>
        <w:rPr>
          <w:sz w:val="24"/>
          <w:szCs w:val="24"/>
        </w:rPr>
      </w:pPr>
      <w:r w:rsidRPr="002A5012">
        <w:rPr>
          <w:sz w:val="24"/>
          <w:szCs w:val="24"/>
        </w:rPr>
        <w:t>Guidance produced by the international coalition, Champions 12.3, on how to interpret UN SDG Target 12.3</w:t>
      </w:r>
      <w:r>
        <w:rPr>
          <w:sz w:val="24"/>
          <w:szCs w:val="24"/>
        </w:rPr>
        <w:t xml:space="preserve"> is generally accepted as international best practice and has been adopted by most countries and major food businesses that have committed to tackling food waste. </w:t>
      </w:r>
      <w:r w:rsidR="00FE6444" w:rsidRPr="00FE6444">
        <w:rPr>
          <w:b/>
          <w:bCs/>
          <w:color w:val="2F5496" w:themeColor="accent1" w:themeShade="BF"/>
          <w:sz w:val="24"/>
          <w:szCs w:val="24"/>
        </w:rPr>
        <w:fldChar w:fldCharType="begin"/>
      </w:r>
      <w:r w:rsidR="00FE6444" w:rsidRPr="00FE6444">
        <w:rPr>
          <w:sz w:val="24"/>
          <w:szCs w:val="24"/>
        </w:rPr>
        <w:instrText xml:space="preserve"> REF _Ref37941793 \h </w:instrText>
      </w:r>
      <w:r w:rsidR="00FE6444">
        <w:rPr>
          <w:b/>
          <w:bCs/>
          <w:color w:val="2F5496" w:themeColor="accent1" w:themeShade="BF"/>
          <w:sz w:val="24"/>
          <w:szCs w:val="24"/>
        </w:rPr>
        <w:instrText xml:space="preserve"> \* MERGEFORMAT </w:instrText>
      </w:r>
      <w:r w:rsidR="00FE6444" w:rsidRPr="00FE6444">
        <w:rPr>
          <w:b/>
          <w:bCs/>
          <w:color w:val="2F5496" w:themeColor="accent1" w:themeShade="BF"/>
          <w:sz w:val="24"/>
          <w:szCs w:val="24"/>
        </w:rPr>
      </w:r>
      <w:r w:rsidR="00FE6444" w:rsidRPr="00FE6444">
        <w:rPr>
          <w:b/>
          <w:bCs/>
          <w:color w:val="2F5496" w:themeColor="accent1" w:themeShade="BF"/>
          <w:sz w:val="24"/>
          <w:szCs w:val="24"/>
        </w:rPr>
        <w:fldChar w:fldCharType="separate"/>
      </w:r>
      <w:r w:rsidR="00FE6444" w:rsidRPr="00FE6444">
        <w:rPr>
          <w:b/>
          <w:bCs/>
          <w:color w:val="2F5496" w:themeColor="accent1" w:themeShade="BF"/>
          <w:sz w:val="24"/>
          <w:szCs w:val="24"/>
        </w:rPr>
        <w:t xml:space="preserve">Figure </w:t>
      </w:r>
      <w:r w:rsidR="00FE6444" w:rsidRPr="00FE6444">
        <w:rPr>
          <w:b/>
          <w:bCs/>
          <w:noProof/>
          <w:color w:val="2F5496" w:themeColor="accent1" w:themeShade="BF"/>
          <w:sz w:val="24"/>
          <w:szCs w:val="24"/>
        </w:rPr>
        <w:t>15</w:t>
      </w:r>
      <w:r w:rsidR="00FE6444" w:rsidRPr="00FE6444">
        <w:rPr>
          <w:b/>
          <w:bCs/>
          <w:color w:val="2F5496" w:themeColor="accent1" w:themeShade="BF"/>
          <w:sz w:val="24"/>
          <w:szCs w:val="24"/>
        </w:rPr>
        <w:fldChar w:fldCharType="end"/>
      </w:r>
      <w:r w:rsidRPr="00B24D4B">
        <w:rPr>
          <w:color w:val="2F5496" w:themeColor="accent1" w:themeShade="BF"/>
          <w:sz w:val="24"/>
          <w:szCs w:val="24"/>
        </w:rPr>
        <w:t xml:space="preserve"> </w:t>
      </w:r>
      <w:r>
        <w:rPr>
          <w:sz w:val="24"/>
          <w:szCs w:val="24"/>
        </w:rPr>
        <w:t>below, is drawn from the Champions 12.3 guidance and shows the limited range of destinations for surplus food and food waste that count towards the delivery of UN SDG Target 12.3; and therefore, by implication, the Australian Government’s target to halve food waste by 2030. This makes it clear that the focus in delivering the target needs to be on preventing food waste, redistributing surplus, safe food to people and animals and the creation of high value co-products from surplus food and food waste streams. However, it should be noted that composting food waste; or processing it using anaerobic digestion to create renewable energy, heat and soil improver, are still valuable activities that can reduce greenhouse gas emissions and improve soil health, at the same time as moving food waste up the food recovery hierarchy.</w:t>
      </w:r>
    </w:p>
    <w:p w14:paraId="2622673A" w14:textId="77777777" w:rsidR="007B6086" w:rsidRPr="003F7159" w:rsidRDefault="007B6086" w:rsidP="007B6086">
      <w:pPr>
        <w:jc w:val="center"/>
        <w:rPr>
          <w:b/>
          <w:bCs/>
          <w:sz w:val="24"/>
          <w:szCs w:val="24"/>
        </w:rPr>
      </w:pPr>
      <w:r>
        <w:rPr>
          <w:b/>
          <w:bCs/>
          <w:noProof/>
          <w:sz w:val="24"/>
          <w:szCs w:val="24"/>
          <w:lang w:eastAsia="en-AU"/>
        </w:rPr>
        <w:lastRenderedPageBreak/>
        <w:drawing>
          <wp:inline distT="0" distB="0" distL="0" distR="0" wp14:anchorId="50037190" wp14:editId="2F2889FD">
            <wp:extent cx="3306108" cy="4391025"/>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18856" cy="4407957"/>
                    </a:xfrm>
                    <a:prstGeom prst="rect">
                      <a:avLst/>
                    </a:prstGeom>
                    <a:noFill/>
                  </pic:spPr>
                </pic:pic>
              </a:graphicData>
            </a:graphic>
          </wp:inline>
        </w:drawing>
      </w:r>
    </w:p>
    <w:p w14:paraId="10DED7A4" w14:textId="04001C06" w:rsidR="007B6086" w:rsidRPr="00FE6444" w:rsidRDefault="007B6086" w:rsidP="00FE6444">
      <w:pPr>
        <w:keepNext/>
        <w:jc w:val="both"/>
        <w:rPr>
          <w:color w:val="2F5496" w:themeColor="accent1" w:themeShade="BF"/>
          <w:sz w:val="24"/>
          <w:szCs w:val="24"/>
        </w:rPr>
      </w:pPr>
      <w:bookmarkStart w:id="57" w:name="_Ref37941793"/>
      <w:bookmarkStart w:id="58" w:name="_Toc37943009"/>
      <w:r w:rsidRPr="00FE6444">
        <w:rPr>
          <w:b/>
          <w:bCs/>
          <w:color w:val="2F5496" w:themeColor="accent1" w:themeShade="BF"/>
          <w:sz w:val="20"/>
          <w:szCs w:val="20"/>
        </w:rPr>
        <w:t xml:space="preserve">Figure </w:t>
      </w:r>
      <w:r w:rsidR="00FE6444" w:rsidRPr="00FE6444">
        <w:rPr>
          <w:color w:val="2F5496" w:themeColor="accent1" w:themeShade="BF"/>
          <w:sz w:val="20"/>
          <w:szCs w:val="20"/>
        </w:rPr>
        <w:fldChar w:fldCharType="begin"/>
      </w:r>
      <w:r w:rsidR="00FE6444" w:rsidRPr="00FE6444">
        <w:rPr>
          <w:color w:val="2F5496" w:themeColor="accent1" w:themeShade="BF"/>
          <w:sz w:val="20"/>
          <w:szCs w:val="20"/>
        </w:rPr>
        <w:instrText xml:space="preserve"> SEQ Figure \* ARABIC </w:instrText>
      </w:r>
      <w:r w:rsidR="00FE6444" w:rsidRPr="00FE6444">
        <w:rPr>
          <w:color w:val="2F5496" w:themeColor="accent1" w:themeShade="BF"/>
          <w:sz w:val="20"/>
          <w:szCs w:val="20"/>
        </w:rPr>
        <w:fldChar w:fldCharType="separate"/>
      </w:r>
      <w:r w:rsidR="00FE6444" w:rsidRPr="00FE6444">
        <w:rPr>
          <w:noProof/>
          <w:color w:val="2F5496" w:themeColor="accent1" w:themeShade="BF"/>
          <w:sz w:val="20"/>
          <w:szCs w:val="20"/>
        </w:rPr>
        <w:t>15</w:t>
      </w:r>
      <w:r w:rsidR="00FE6444" w:rsidRPr="00FE6444">
        <w:rPr>
          <w:color w:val="2F5496" w:themeColor="accent1" w:themeShade="BF"/>
          <w:sz w:val="20"/>
          <w:szCs w:val="20"/>
        </w:rPr>
        <w:fldChar w:fldCharType="end"/>
      </w:r>
      <w:bookmarkEnd w:id="57"/>
      <w:r w:rsidRPr="00A54F38">
        <w:rPr>
          <w:b/>
          <w:bCs/>
          <w:color w:val="2F5496" w:themeColor="accent1" w:themeShade="BF"/>
          <w:sz w:val="20"/>
          <w:szCs w:val="20"/>
        </w:rPr>
        <w:t xml:space="preserve">: </w:t>
      </w:r>
      <w:r w:rsidRPr="00A54F38">
        <w:rPr>
          <w:sz w:val="20"/>
          <w:szCs w:val="20"/>
        </w:rPr>
        <w:t>surplus food and food waste destinations that contribute to the delivery of UN SDG Target 12.3</w:t>
      </w:r>
      <w:r>
        <w:rPr>
          <w:sz w:val="20"/>
          <w:szCs w:val="20"/>
        </w:rPr>
        <w:t xml:space="preserve"> (colour-coded in green)</w:t>
      </w:r>
      <w:r w:rsidRPr="00A54F38">
        <w:rPr>
          <w:sz w:val="20"/>
          <w:szCs w:val="20"/>
        </w:rPr>
        <w:t xml:space="preserve">, from Champions 12.3: </w:t>
      </w:r>
      <w:hyperlink r:id="rId51" w:history="1">
        <w:r w:rsidRPr="00A54F38">
          <w:rPr>
            <w:rStyle w:val="Hyperlink"/>
            <w:sz w:val="20"/>
            <w:szCs w:val="20"/>
          </w:rPr>
          <w:t xml:space="preserve">Guidance on interpreting Sustainable Development Goal Target 12.3 </w:t>
        </w:r>
      </w:hyperlink>
      <w:r w:rsidRPr="00A54F38">
        <w:rPr>
          <w:sz w:val="20"/>
          <w:szCs w:val="20"/>
        </w:rPr>
        <w:t>(September 2017)</w:t>
      </w:r>
      <w:bookmarkEnd w:id="58"/>
    </w:p>
    <w:p w14:paraId="45699445" w14:textId="77777777" w:rsidR="00224017" w:rsidRDefault="00224017" w:rsidP="00DA2E6F">
      <w:pPr>
        <w:jc w:val="both"/>
      </w:pPr>
    </w:p>
    <w:sectPr w:rsidR="00224017" w:rsidSect="00224017">
      <w:headerReference w:type="default" r:id="rId5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E78093" w14:textId="77777777" w:rsidR="00F32914" w:rsidRDefault="00F32914" w:rsidP="00115FCE">
      <w:pPr>
        <w:spacing w:after="0" w:line="240" w:lineRule="auto"/>
      </w:pPr>
      <w:r>
        <w:separator/>
      </w:r>
    </w:p>
  </w:endnote>
  <w:endnote w:type="continuationSeparator" w:id="0">
    <w:p w14:paraId="6FD89447" w14:textId="77777777" w:rsidR="00F32914" w:rsidRDefault="00F32914" w:rsidP="00115F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1ADD1D" w14:textId="54694DEA" w:rsidR="00120ECE" w:rsidRDefault="00120ECE">
    <w:pPr>
      <w:pStyle w:val="Footer"/>
    </w:pPr>
    <w:r>
      <w:rPr>
        <w:noProof/>
        <w:color w:val="808080" w:themeColor="background1" w:themeShade="80"/>
        <w:lang w:eastAsia="en-AU"/>
      </w:rPr>
      <mc:AlternateContent>
        <mc:Choice Requires="wpg">
          <w:drawing>
            <wp:anchor distT="0" distB="0" distL="0" distR="0" simplePos="0" relativeHeight="251660288" behindDoc="0" locked="0" layoutInCell="1" allowOverlap="1" wp14:anchorId="62ED8739" wp14:editId="4D69740B">
              <wp:simplePos x="0" y="0"/>
              <wp:positionH relativeFrom="margin">
                <wp:align>right</wp:align>
              </wp:positionH>
              <mc:AlternateContent>
                <mc:Choice Requires="wp14">
                  <wp:positionV relativeFrom="bottomMargin">
                    <wp14:pctPosVOffset>20000</wp14:pctPosVOffset>
                  </wp:positionV>
                </mc:Choice>
                <mc:Fallback>
                  <wp:positionV relativeFrom="page">
                    <wp:posOffset>9960610</wp:posOffset>
                  </wp:positionV>
                </mc:Fallback>
              </mc:AlternateContent>
              <wp:extent cx="5943600" cy="320040"/>
              <wp:effectExtent l="0" t="0" r="0" b="3810"/>
              <wp:wrapSquare wrapText="bothSides"/>
              <wp:docPr id="37" name="Group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sz w:val="20"/>
                                <w:szCs w:val="20"/>
                              </w:rPr>
                              <w:alias w:val="Date"/>
                              <w:tag w:val=""/>
                              <w:id w:val="-1063724354"/>
                              <w:dataBinding w:prefixMappings="xmlns:ns0='http://schemas.microsoft.com/office/2006/coverPageProps' " w:xpath="/ns0:CoverPageProperties[1]/ns0:PublishDate[1]" w:storeItemID="{55AF091B-3C7A-41E3-B477-F2FDAA23CFDA}"/>
                              <w:date w:fullDate="2020-04-30T00:00:00Z">
                                <w:dateFormat w:val="MMMM d, yyyy"/>
                                <w:lid w:val="en-US"/>
                                <w:storeMappedDataAs w:val="dateTime"/>
                                <w:calendar w:val="gregorian"/>
                              </w:date>
                            </w:sdtPr>
                            <w:sdtContent>
                              <w:p w14:paraId="516DEB62" w14:textId="4E1CC49C" w:rsidR="00120ECE" w:rsidRPr="008F5077" w:rsidRDefault="00120ECE">
                                <w:pPr>
                                  <w:jc w:val="right"/>
                                  <w:rPr>
                                    <w:color w:val="7F7F7F" w:themeColor="text1" w:themeTint="80"/>
                                    <w:sz w:val="20"/>
                                    <w:szCs w:val="20"/>
                                  </w:rPr>
                                </w:pPr>
                                <w:r>
                                  <w:rPr>
                                    <w:color w:val="7F7F7F" w:themeColor="text1" w:themeTint="80"/>
                                    <w:sz w:val="20"/>
                                    <w:szCs w:val="20"/>
                                    <w:lang w:val="en-US"/>
                                  </w:rPr>
                                  <w:t>April 30, 2020</w:t>
                                </w:r>
                              </w:p>
                            </w:sdtContent>
                          </w:sdt>
                          <w:p w14:paraId="00EBE7C5" w14:textId="77777777" w:rsidR="00120ECE" w:rsidRDefault="00120ECE">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62ED8739" id="Group 37" o:spid="_x0000_s1027" style="position:absolute;margin-left:416.8pt;margin-top:0;width:468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">
              <v:rect id="Rectangle 38" o:spid="_x0000_s1028"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" fillcolor="black [3213]" stroked="f" strokeweight="1pt"/>
              <v:shapetype id="_x0000_t202" coordsize="21600,21600" o:spt="202" path="m,l,21600r21600,l21600,xe">
                <v:stroke joinstyle="miter"/>
                <v:path gradientshapeok="t" o:connecttype="rect"/>
              </v:shapetype>
              <v:shape id="Text Box 39" o:spid="_x0000_s1029"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sdt>
                      <w:sdtPr>
                        <w:rPr>
                          <w:color w:val="7F7F7F" w:themeColor="text1" w:themeTint="80"/>
                          <w:sz w:val="20"/>
                          <w:szCs w:val="20"/>
                        </w:rPr>
                        <w:alias w:val="Date"/>
                        <w:tag w:val=""/>
                        <w:id w:val="-1063724354"/>
                        <w:dataBinding w:prefixMappings="xmlns:ns0='http://schemas.microsoft.com/office/2006/coverPageProps' " w:xpath="/ns0:CoverPageProperties[1]/ns0:PublishDate[1]" w:storeItemID="{55AF091B-3C7A-41E3-B477-F2FDAA23CFDA}"/>
                        <w:date w:fullDate="2020-04-30T00:00:00Z">
                          <w:dateFormat w:val="MMMM d, yyyy"/>
                          <w:lid w:val="en-US"/>
                          <w:storeMappedDataAs w:val="dateTime"/>
                          <w:calendar w:val="gregorian"/>
                        </w:date>
                      </w:sdtPr>
                      <w:sdtContent>
                        <w:p w14:paraId="516DEB62" w14:textId="4E1CC49C" w:rsidR="00120ECE" w:rsidRPr="008F5077" w:rsidRDefault="00120ECE">
                          <w:pPr>
                            <w:jc w:val="right"/>
                            <w:rPr>
                              <w:color w:val="7F7F7F" w:themeColor="text1" w:themeTint="80"/>
                              <w:sz w:val="20"/>
                              <w:szCs w:val="20"/>
                            </w:rPr>
                          </w:pPr>
                          <w:r>
                            <w:rPr>
                              <w:color w:val="7F7F7F" w:themeColor="text1" w:themeTint="80"/>
                              <w:sz w:val="20"/>
                              <w:szCs w:val="20"/>
                              <w:lang w:val="en-US"/>
                            </w:rPr>
                            <w:t>April 30, 2020</w:t>
                          </w:r>
                        </w:p>
                      </w:sdtContent>
                    </w:sdt>
                    <w:p w14:paraId="00EBE7C5" w14:textId="77777777" w:rsidR="00120ECE" w:rsidRDefault="00120ECE">
                      <w:pPr>
                        <w:jc w:val="right"/>
                        <w:rPr>
                          <w:color w:val="808080" w:themeColor="background1" w:themeShade="80"/>
                        </w:rPr>
                      </w:pPr>
                    </w:p>
                  </w:txbxContent>
                </v:textbox>
              </v:shape>
              <w10:wrap type="square" anchorx="margin" anchory="margin"/>
            </v:group>
          </w:pict>
        </mc:Fallback>
      </mc:AlternateContent>
    </w:r>
    <w:r>
      <w:rPr>
        <w:noProof/>
        <w:lang w:eastAsia="en-AU"/>
      </w:rPr>
      <mc:AlternateContent>
        <mc:Choice Requires="wps">
          <w:drawing>
            <wp:anchor distT="0" distB="0" distL="0" distR="0" simplePos="0" relativeHeight="251659264" behindDoc="0" locked="0" layoutInCell="1" allowOverlap="1" wp14:anchorId="619597C5" wp14:editId="42EC4F3C">
              <wp:simplePos x="0" y="0"/>
              <wp:positionH relativeFrom="rightMargin">
                <wp:align>left</wp:align>
              </wp:positionH>
              <mc:AlternateContent>
                <mc:Choice Requires="wp14">
                  <wp:positionV relativeFrom="bottomMargin">
                    <wp14:pctPosVOffset>20000</wp14:pctPosVOffset>
                  </wp:positionV>
                </mc:Choice>
                <mc:Fallback>
                  <wp:positionV relativeFrom="page">
                    <wp:posOffset>9960610</wp:posOffset>
                  </wp:positionV>
                </mc:Fallback>
              </mc:AlternateContent>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7EC194" w14:textId="77777777" w:rsidR="00120ECE" w:rsidRPr="008F5077" w:rsidRDefault="00120ECE">
                          <w:pPr>
                            <w:jc w:val="right"/>
                            <w:rPr>
                              <w:color w:val="FFFFFF" w:themeColor="background1"/>
                              <w:sz w:val="20"/>
                              <w:szCs w:val="20"/>
                            </w:rPr>
                          </w:pPr>
                          <w:r w:rsidRPr="008F5077">
                            <w:rPr>
                              <w:color w:val="FFFFFF" w:themeColor="background1"/>
                              <w:sz w:val="20"/>
                              <w:szCs w:val="20"/>
                            </w:rPr>
                            <w:fldChar w:fldCharType="begin"/>
                          </w:r>
                          <w:r w:rsidRPr="008F5077">
                            <w:rPr>
                              <w:color w:val="FFFFFF" w:themeColor="background1"/>
                              <w:sz w:val="20"/>
                              <w:szCs w:val="20"/>
                            </w:rPr>
                            <w:instrText xml:space="preserve"> PAGE   \* MERGEFORMAT </w:instrText>
                          </w:r>
                          <w:r w:rsidRPr="008F5077">
                            <w:rPr>
                              <w:color w:val="FFFFFF" w:themeColor="background1"/>
                              <w:sz w:val="20"/>
                              <w:szCs w:val="20"/>
                            </w:rPr>
                            <w:fldChar w:fldCharType="separate"/>
                          </w:r>
                          <w:r>
                            <w:rPr>
                              <w:noProof/>
                              <w:color w:val="FFFFFF" w:themeColor="background1"/>
                              <w:sz w:val="20"/>
                              <w:szCs w:val="20"/>
                            </w:rPr>
                            <w:t>27</w:t>
                          </w:r>
                          <w:r w:rsidRPr="008F5077">
                            <w:rPr>
                              <w:noProof/>
                              <w:color w:val="FFFFFF" w:themeColor="background1"/>
                              <w:sz w:val="20"/>
                              <w:szCs w:val="20"/>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9597C5" id="Rectangle 40" o:spid="_x0000_s1030" style="position:absolute;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" fillcolor="black [3213]" stroked="f" strokeweight="3pt">
              <v:textbox>
                <w:txbxContent>
                  <w:p w14:paraId="7A7EC194" w14:textId="77777777" w:rsidR="00120ECE" w:rsidRPr="008F5077" w:rsidRDefault="00120ECE">
                    <w:pPr>
                      <w:jc w:val="right"/>
                      <w:rPr>
                        <w:color w:val="FFFFFF" w:themeColor="background1"/>
                        <w:sz w:val="20"/>
                        <w:szCs w:val="20"/>
                      </w:rPr>
                    </w:pPr>
                    <w:r w:rsidRPr="008F5077">
                      <w:rPr>
                        <w:color w:val="FFFFFF" w:themeColor="background1"/>
                        <w:sz w:val="20"/>
                        <w:szCs w:val="20"/>
                      </w:rPr>
                      <w:fldChar w:fldCharType="begin"/>
                    </w:r>
                    <w:r w:rsidRPr="008F5077">
                      <w:rPr>
                        <w:color w:val="FFFFFF" w:themeColor="background1"/>
                        <w:sz w:val="20"/>
                        <w:szCs w:val="20"/>
                      </w:rPr>
                      <w:instrText xml:space="preserve"> PAGE   \* MERGEFORMAT </w:instrText>
                    </w:r>
                    <w:r w:rsidRPr="008F5077">
                      <w:rPr>
                        <w:color w:val="FFFFFF" w:themeColor="background1"/>
                        <w:sz w:val="20"/>
                        <w:szCs w:val="20"/>
                      </w:rPr>
                      <w:fldChar w:fldCharType="separate"/>
                    </w:r>
                    <w:r>
                      <w:rPr>
                        <w:noProof/>
                        <w:color w:val="FFFFFF" w:themeColor="background1"/>
                        <w:sz w:val="20"/>
                        <w:szCs w:val="20"/>
                      </w:rPr>
                      <w:t>27</w:t>
                    </w:r>
                    <w:r w:rsidRPr="008F5077">
                      <w:rPr>
                        <w:noProof/>
                        <w:color w:val="FFFFFF" w:themeColor="background1"/>
                        <w:sz w:val="20"/>
                        <w:szCs w:val="20"/>
                      </w:rPr>
                      <w:fldChar w:fldCharType="end"/>
                    </w:r>
                  </w:p>
                </w:txbxContent>
              </v:textbox>
              <w10:wrap type="square" anchorx="margin" anchory="margin"/>
            </v:rect>
          </w:pict>
        </mc:Fallback>
      </mc:AlternateContent>
    </w:r>
    <w:r>
      <w:t>Establishing a Voluntary Commitment Program (0.13)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855DBD" w14:textId="77777777" w:rsidR="00F32914" w:rsidRDefault="00F32914" w:rsidP="00115FCE">
      <w:pPr>
        <w:spacing w:after="0" w:line="240" w:lineRule="auto"/>
      </w:pPr>
      <w:r>
        <w:separator/>
      </w:r>
    </w:p>
  </w:footnote>
  <w:footnote w:type="continuationSeparator" w:id="0">
    <w:p w14:paraId="08D9D9BF" w14:textId="77777777" w:rsidR="00F32914" w:rsidRDefault="00F32914" w:rsidP="00115FCE">
      <w:pPr>
        <w:spacing w:after="0" w:line="240" w:lineRule="auto"/>
      </w:pPr>
      <w:r>
        <w:continuationSeparator/>
      </w:r>
    </w:p>
  </w:footnote>
  <w:footnote w:id="1">
    <w:p w14:paraId="5B825886" w14:textId="77777777" w:rsidR="00120ECE" w:rsidRPr="009316AA" w:rsidRDefault="00120ECE" w:rsidP="00F30AE9">
      <w:pPr>
        <w:ind w:left="284" w:hanging="284"/>
        <w:jc w:val="both"/>
        <w:rPr>
          <w:rFonts w:cstheme="minorHAnsi"/>
          <w:sz w:val="18"/>
          <w:szCs w:val="18"/>
        </w:rPr>
      </w:pPr>
      <w:r>
        <w:rPr>
          <w:rStyle w:val="FootnoteReference"/>
        </w:rPr>
        <w:footnoteRef/>
      </w:r>
      <w:r>
        <w:t xml:space="preserve"> </w:t>
      </w:r>
      <w:r>
        <w:tab/>
      </w:r>
      <w:r w:rsidRPr="0062015A">
        <w:rPr>
          <w:rFonts w:cstheme="minorHAnsi"/>
          <w:sz w:val="18"/>
          <w:szCs w:val="18"/>
          <w:lang w:val="en-GB"/>
        </w:rPr>
        <w:t>Sources for ‘If global food waste was a country’</w:t>
      </w:r>
      <w:r w:rsidRPr="009316AA">
        <w:rPr>
          <w:rFonts w:cstheme="minorHAnsi"/>
          <w:color w:val="2F5496" w:themeColor="accent1" w:themeShade="BF"/>
          <w:sz w:val="18"/>
          <w:szCs w:val="18"/>
          <w:lang w:val="en-GB"/>
        </w:rPr>
        <w:t xml:space="preserve">: </w:t>
      </w:r>
      <w:r w:rsidRPr="009316AA">
        <w:rPr>
          <w:rFonts w:cstheme="minorHAnsi"/>
          <w:b/>
          <w:bCs/>
          <w:sz w:val="18"/>
          <w:szCs w:val="18"/>
          <w:lang w:val="en-GB"/>
        </w:rPr>
        <w:t>(1)</w:t>
      </w:r>
      <w:r w:rsidRPr="009316AA">
        <w:rPr>
          <w:rFonts w:cstheme="minorHAnsi"/>
          <w:sz w:val="18"/>
          <w:szCs w:val="18"/>
          <w:lang w:val="en-GB"/>
        </w:rPr>
        <w:t xml:space="preserve"> Champions 12.3 </w:t>
      </w:r>
      <w:r w:rsidRPr="009316AA">
        <w:rPr>
          <w:rFonts w:cstheme="minorHAnsi"/>
          <w:sz w:val="18"/>
          <w:szCs w:val="18"/>
          <w:cs/>
          <w:lang w:val="en-GB" w:bidi="mr-IN"/>
        </w:rPr>
        <w:t>–</w:t>
      </w:r>
      <w:r w:rsidRPr="009316AA">
        <w:rPr>
          <w:rFonts w:cstheme="minorHAnsi"/>
          <w:sz w:val="18"/>
          <w:szCs w:val="18"/>
          <w:lang w:val="en-GB"/>
        </w:rPr>
        <w:t xml:space="preserve"> </w:t>
      </w:r>
      <w:hyperlink r:id="rId1" w:history="1">
        <w:r w:rsidRPr="009316AA">
          <w:rPr>
            <w:rStyle w:val="Hyperlink"/>
            <w:rFonts w:cstheme="minorHAnsi"/>
            <w:sz w:val="18"/>
            <w:szCs w:val="18"/>
            <w:lang w:val="en-GB"/>
          </w:rPr>
          <w:t>SDG Target</w:t>
        </w:r>
      </w:hyperlink>
      <w:hyperlink r:id="rId2" w:history="1">
        <w:r w:rsidRPr="009316AA">
          <w:rPr>
            <w:rStyle w:val="Hyperlink"/>
            <w:rFonts w:cstheme="minorHAnsi"/>
            <w:sz w:val="18"/>
            <w:szCs w:val="18"/>
            <w:lang w:val="en-GB"/>
          </w:rPr>
          <w:t xml:space="preserve"> 12.3 on Food Loss and Waste </w:t>
        </w:r>
      </w:hyperlink>
      <w:hyperlink r:id="rId3" w:history="1">
        <w:r w:rsidRPr="009316AA">
          <w:rPr>
            <w:rStyle w:val="Hyperlink"/>
            <w:rFonts w:cstheme="minorHAnsi"/>
            <w:sz w:val="18"/>
            <w:szCs w:val="18"/>
            <w:cs/>
            <w:lang w:val="en-GB" w:bidi="mr-IN"/>
          </w:rPr>
          <w:t>–</w:t>
        </w:r>
      </w:hyperlink>
      <w:hyperlink r:id="rId4" w:history="1">
        <w:r w:rsidRPr="009316AA">
          <w:rPr>
            <w:rStyle w:val="Hyperlink"/>
            <w:rFonts w:cstheme="minorHAnsi"/>
            <w:sz w:val="18"/>
            <w:szCs w:val="18"/>
            <w:lang w:val="en-GB"/>
          </w:rPr>
          <w:t xml:space="preserve"> 2019 Progress Report</w:t>
        </w:r>
      </w:hyperlink>
      <w:r w:rsidRPr="009316AA">
        <w:rPr>
          <w:rFonts w:cstheme="minorHAnsi"/>
          <w:sz w:val="18"/>
          <w:szCs w:val="18"/>
          <w:lang w:val="en-GB"/>
        </w:rPr>
        <w:t xml:space="preserve">; </w:t>
      </w:r>
      <w:r w:rsidRPr="009316AA">
        <w:rPr>
          <w:rFonts w:cstheme="minorHAnsi"/>
          <w:b/>
          <w:bCs/>
          <w:sz w:val="18"/>
          <w:szCs w:val="18"/>
          <w:lang w:val="en-GB"/>
        </w:rPr>
        <w:t>(2)</w:t>
      </w:r>
      <w:r w:rsidRPr="009316AA">
        <w:rPr>
          <w:rFonts w:cstheme="minorHAnsi"/>
          <w:sz w:val="18"/>
          <w:szCs w:val="18"/>
          <w:lang w:val="en-GB"/>
        </w:rPr>
        <w:t xml:space="preserve"> </w:t>
      </w:r>
      <w:hyperlink r:id="rId5" w:history="1">
        <w:r w:rsidRPr="009316AA">
          <w:rPr>
            <w:rStyle w:val="Hyperlink"/>
            <w:rFonts w:cstheme="minorHAnsi"/>
            <w:sz w:val="18"/>
            <w:szCs w:val="18"/>
            <w:lang w:val="en-GB"/>
          </w:rPr>
          <w:t>WRI Creating a Sustainable Food Future Instalment Paper 2: Reducing Food Loss and Waste</w:t>
        </w:r>
      </w:hyperlink>
      <w:r w:rsidRPr="009316AA">
        <w:rPr>
          <w:rFonts w:cstheme="minorHAnsi"/>
          <w:sz w:val="18"/>
          <w:szCs w:val="18"/>
          <w:lang w:val="en-GB"/>
        </w:rPr>
        <w:t xml:space="preserve"> (calorie statistic) and </w:t>
      </w:r>
      <w:r w:rsidRPr="009316AA">
        <w:rPr>
          <w:rFonts w:cstheme="minorHAnsi"/>
          <w:b/>
          <w:bCs/>
          <w:sz w:val="18"/>
          <w:szCs w:val="18"/>
          <w:lang w:val="en-GB"/>
        </w:rPr>
        <w:t xml:space="preserve">(3) </w:t>
      </w:r>
      <w:r w:rsidRPr="009316AA">
        <w:rPr>
          <w:rFonts w:cstheme="minorHAnsi"/>
          <w:sz w:val="18"/>
          <w:szCs w:val="18"/>
          <w:lang w:val="en-GB"/>
        </w:rPr>
        <w:t xml:space="preserve">WRI – </w:t>
      </w:r>
      <w:hyperlink r:id="rId6" w:history="1">
        <w:r w:rsidRPr="009316AA">
          <w:rPr>
            <w:rStyle w:val="Hyperlink"/>
            <w:rFonts w:cstheme="minorHAnsi"/>
            <w:sz w:val="18"/>
            <w:szCs w:val="18"/>
            <w:lang w:val="en-GB"/>
          </w:rPr>
          <w:t xml:space="preserve">Reducing Food </w:t>
        </w:r>
      </w:hyperlink>
      <w:hyperlink r:id="rId7" w:history="1">
        <w:r w:rsidRPr="009316AA">
          <w:rPr>
            <w:rStyle w:val="Hyperlink"/>
            <w:rFonts w:cstheme="minorHAnsi"/>
            <w:sz w:val="18"/>
            <w:szCs w:val="18"/>
            <w:lang w:val="en-GB"/>
          </w:rPr>
          <w:t>L</w:t>
        </w:r>
      </w:hyperlink>
      <w:hyperlink r:id="rId8" w:history="1">
        <w:r w:rsidRPr="009316AA">
          <w:rPr>
            <w:rStyle w:val="Hyperlink"/>
            <w:rFonts w:cstheme="minorHAnsi"/>
            <w:sz w:val="18"/>
            <w:szCs w:val="18"/>
            <w:lang w:val="en-GB"/>
          </w:rPr>
          <w:t xml:space="preserve">oss and Waste – Setting a Global </w:t>
        </w:r>
      </w:hyperlink>
      <w:hyperlink r:id="rId9" w:history="1">
        <w:r w:rsidRPr="009316AA">
          <w:rPr>
            <w:rStyle w:val="Hyperlink"/>
            <w:rFonts w:cstheme="minorHAnsi"/>
            <w:sz w:val="18"/>
            <w:szCs w:val="18"/>
            <w:lang w:val="en-GB"/>
          </w:rPr>
          <w:t>A</w:t>
        </w:r>
      </w:hyperlink>
      <w:hyperlink r:id="rId10" w:history="1">
        <w:r w:rsidRPr="009316AA">
          <w:rPr>
            <w:rStyle w:val="Hyperlink"/>
            <w:rFonts w:cstheme="minorHAnsi"/>
            <w:sz w:val="18"/>
            <w:szCs w:val="18"/>
            <w:lang w:val="en-GB"/>
          </w:rPr>
          <w:t xml:space="preserve">ction </w:t>
        </w:r>
      </w:hyperlink>
      <w:hyperlink r:id="rId11" w:history="1">
        <w:r w:rsidRPr="009316AA">
          <w:rPr>
            <w:rStyle w:val="Hyperlink"/>
            <w:rFonts w:cstheme="minorHAnsi"/>
            <w:sz w:val="18"/>
            <w:szCs w:val="18"/>
            <w:lang w:val="en-GB"/>
          </w:rPr>
          <w:t xml:space="preserve">Agenda </w:t>
        </w:r>
      </w:hyperlink>
      <w:r w:rsidRPr="009316AA">
        <w:rPr>
          <w:rFonts w:cstheme="minorHAnsi"/>
          <w:sz w:val="18"/>
          <w:szCs w:val="18"/>
          <w:lang w:val="en-GB"/>
        </w:rPr>
        <w:t>(2019) (fertiliser statistic).</w:t>
      </w:r>
    </w:p>
    <w:p w14:paraId="328AFD99" w14:textId="77777777" w:rsidR="00120ECE" w:rsidRDefault="00120ECE" w:rsidP="00F30AE9">
      <w:pPr>
        <w:pStyle w:val="FootnoteText"/>
        <w:ind w:left="284" w:hanging="284"/>
      </w:pPr>
    </w:p>
  </w:footnote>
  <w:footnote w:id="2">
    <w:p w14:paraId="2C21D382" w14:textId="77777777" w:rsidR="00120ECE" w:rsidRPr="003B3CA1" w:rsidRDefault="00120ECE" w:rsidP="00F30AE9">
      <w:pPr>
        <w:pStyle w:val="FootnoteText"/>
        <w:spacing w:after="60"/>
        <w:ind w:left="284" w:hanging="284"/>
        <w:jc w:val="both"/>
        <w:rPr>
          <w:rFonts w:cstheme="minorHAnsi"/>
        </w:rPr>
      </w:pPr>
      <w:r w:rsidRPr="003B3CA1">
        <w:rPr>
          <w:rStyle w:val="FootnoteReference"/>
          <w:rFonts w:cstheme="minorHAnsi"/>
        </w:rPr>
        <w:footnoteRef/>
      </w:r>
      <w:r w:rsidRPr="003B3CA1">
        <w:rPr>
          <w:rFonts w:cstheme="minorHAnsi"/>
        </w:rPr>
        <w:t xml:space="preserve"> </w:t>
      </w:r>
      <w:r w:rsidRPr="003B3CA1">
        <w:rPr>
          <w:rFonts w:cstheme="minorHAnsi"/>
        </w:rPr>
        <w:tab/>
        <w:t>Australia</w:t>
      </w:r>
      <w:r>
        <w:rPr>
          <w:rFonts w:cstheme="minorHAnsi"/>
        </w:rPr>
        <w:t xml:space="preserve">n Government: </w:t>
      </w:r>
      <w:r w:rsidRPr="003B3CA1">
        <w:rPr>
          <w:rFonts w:cstheme="minorHAnsi"/>
          <w:i/>
          <w:iCs/>
        </w:rPr>
        <w:t>National Food Waste Strategy: Halving Australia’s Food Waste by 2030</w:t>
      </w:r>
      <w:r w:rsidRPr="003B3CA1">
        <w:rPr>
          <w:rFonts w:cstheme="minorHAnsi"/>
        </w:rPr>
        <w:t>. Canberra: Commonwealth of Australia</w:t>
      </w:r>
      <w:r>
        <w:rPr>
          <w:rFonts w:cstheme="minorHAnsi"/>
        </w:rPr>
        <w:t xml:space="preserve"> </w:t>
      </w:r>
      <w:r w:rsidRPr="003B3CA1">
        <w:rPr>
          <w:rFonts w:cstheme="minorHAnsi"/>
        </w:rPr>
        <w:t>(2017).</w:t>
      </w:r>
    </w:p>
  </w:footnote>
  <w:footnote w:id="3">
    <w:p w14:paraId="28BBE297" w14:textId="77777777" w:rsidR="00120ECE" w:rsidRDefault="00120ECE" w:rsidP="00F30AE9">
      <w:pPr>
        <w:pStyle w:val="FootnoteText"/>
        <w:spacing w:after="60"/>
        <w:ind w:left="284" w:hanging="284"/>
        <w:jc w:val="both"/>
      </w:pPr>
      <w:r>
        <w:rPr>
          <w:rStyle w:val="FootnoteReference"/>
        </w:rPr>
        <w:footnoteRef/>
      </w:r>
      <w:r>
        <w:t xml:space="preserve"> </w:t>
      </w:r>
      <w:r>
        <w:tab/>
        <w:t>Expert Group – A study of waste in the cold food chain and opportunities for improvement (prepared for the Department of Energy and Refrigerants Australia) (Draft report March 2020).</w:t>
      </w:r>
    </w:p>
  </w:footnote>
  <w:footnote w:id="4">
    <w:p w14:paraId="4AF095D1" w14:textId="77777777" w:rsidR="00120ECE" w:rsidRPr="003B3CA1" w:rsidRDefault="00120ECE" w:rsidP="00F30AE9">
      <w:pPr>
        <w:autoSpaceDE w:val="0"/>
        <w:autoSpaceDN w:val="0"/>
        <w:adjustRightInd w:val="0"/>
        <w:spacing w:after="60" w:line="240" w:lineRule="auto"/>
        <w:ind w:left="284" w:hanging="284"/>
        <w:jc w:val="both"/>
        <w:rPr>
          <w:rFonts w:cstheme="minorHAnsi"/>
          <w:sz w:val="20"/>
          <w:szCs w:val="20"/>
        </w:rPr>
      </w:pPr>
      <w:r w:rsidRPr="003B3CA1">
        <w:rPr>
          <w:rStyle w:val="FootnoteReference"/>
          <w:rFonts w:cstheme="minorHAnsi"/>
          <w:sz w:val="20"/>
          <w:szCs w:val="20"/>
        </w:rPr>
        <w:footnoteRef/>
      </w:r>
      <w:r w:rsidRPr="003B3CA1">
        <w:rPr>
          <w:rFonts w:cstheme="minorHAnsi"/>
          <w:sz w:val="20"/>
          <w:szCs w:val="20"/>
        </w:rPr>
        <w:t xml:space="preserve"> </w:t>
      </w:r>
      <w:r w:rsidRPr="003B3CA1">
        <w:rPr>
          <w:rFonts w:cstheme="minorHAnsi"/>
          <w:sz w:val="20"/>
          <w:szCs w:val="20"/>
        </w:rPr>
        <w:tab/>
        <w:t>Melbourne, U. (2016). Info</w:t>
      </w:r>
      <w:r>
        <w:rPr>
          <w:rFonts w:cstheme="minorHAnsi"/>
          <w:sz w:val="20"/>
          <w:szCs w:val="20"/>
        </w:rPr>
        <w:t>-</w:t>
      </w:r>
      <w:r w:rsidRPr="003B3CA1">
        <w:rPr>
          <w:rFonts w:cstheme="minorHAnsi"/>
          <w:sz w:val="20"/>
          <w:szCs w:val="20"/>
        </w:rPr>
        <w:t>graphic:</w:t>
      </w:r>
      <w:r>
        <w:rPr>
          <w:rFonts w:cstheme="minorHAnsi"/>
          <w:sz w:val="20"/>
          <w:szCs w:val="20"/>
        </w:rPr>
        <w:t xml:space="preserve"> </w:t>
      </w:r>
      <w:r w:rsidRPr="003B3CA1">
        <w:rPr>
          <w:rFonts w:cstheme="minorHAnsi"/>
          <w:sz w:val="20"/>
          <w:szCs w:val="20"/>
        </w:rPr>
        <w:t xml:space="preserve">how much water we eat. Retrieved from </w:t>
      </w:r>
      <w:hyperlink r:id="rId12" w:history="1">
        <w:r w:rsidRPr="0064298E">
          <w:rPr>
            <w:rStyle w:val="Hyperlink"/>
            <w:rFonts w:cstheme="minorHAnsi"/>
            <w:sz w:val="20"/>
            <w:szCs w:val="20"/>
          </w:rPr>
          <w:t>https://research.unimelb.edu.au/foodprint-melbourne/publications/how-muchwater-is-needed-to-grow-melbournes-food</w:t>
        </w:r>
      </w:hyperlink>
      <w:r>
        <w:rPr>
          <w:rFonts w:cstheme="minorHAnsi"/>
          <w:sz w:val="20"/>
          <w:szCs w:val="20"/>
        </w:rPr>
        <w:t xml:space="preserve"> </w:t>
      </w:r>
    </w:p>
  </w:footnote>
  <w:footnote w:id="5">
    <w:p w14:paraId="18D9130D" w14:textId="77777777" w:rsidR="00120ECE" w:rsidRPr="00C63986" w:rsidRDefault="00120ECE" w:rsidP="002B4882">
      <w:pPr>
        <w:pStyle w:val="FootnoteText"/>
        <w:spacing w:after="80"/>
        <w:ind w:left="284" w:hanging="284"/>
        <w:jc w:val="both"/>
        <w:rPr>
          <w:lang w:val="en-GB"/>
        </w:rPr>
      </w:pPr>
      <w:r>
        <w:rPr>
          <w:rStyle w:val="FootnoteReference"/>
        </w:rPr>
        <w:footnoteRef/>
      </w:r>
      <w:r>
        <w:t xml:space="preserve"> </w:t>
      </w:r>
      <w:r>
        <w:tab/>
      </w:r>
      <w:r>
        <w:rPr>
          <w:lang w:val="en-GB"/>
        </w:rPr>
        <w:t xml:space="preserve">Source: </w:t>
      </w:r>
      <w:hyperlink r:id="rId13" w:history="1">
        <w:r w:rsidRPr="00A076D7">
          <w:rPr>
            <w:rStyle w:val="Hyperlink"/>
            <w:lang w:val="en-GB"/>
          </w:rPr>
          <w:t>Foodbank Hunger Report 2019</w:t>
        </w:r>
      </w:hyperlink>
      <w:r>
        <w:rPr>
          <w:lang w:val="en-GB"/>
        </w:rPr>
        <w:t>, equivalent to a 22% increase in the number of people seeking food relief from charities in the same timeframe.</w:t>
      </w:r>
    </w:p>
  </w:footnote>
  <w:footnote w:id="6">
    <w:p w14:paraId="69DCDCFF" w14:textId="77777777" w:rsidR="00120ECE" w:rsidRDefault="00120ECE" w:rsidP="0050137B">
      <w:pPr>
        <w:pStyle w:val="FootnoteText"/>
        <w:spacing w:after="80"/>
        <w:ind w:left="284" w:hanging="284"/>
      </w:pPr>
      <w:r>
        <w:rPr>
          <w:rStyle w:val="FootnoteReference"/>
        </w:rPr>
        <w:footnoteRef/>
      </w:r>
      <w:r>
        <w:t xml:space="preserve"> </w:t>
      </w:r>
      <w:r>
        <w:tab/>
      </w:r>
      <w:r w:rsidRPr="0050137B">
        <w:rPr>
          <w:b/>
          <w:bCs/>
          <w:lang w:val="en-GB"/>
        </w:rPr>
        <w:t>Source</w:t>
      </w:r>
      <w:r w:rsidRPr="0050137B">
        <w:rPr>
          <w:lang w:val="en-GB"/>
        </w:rPr>
        <w:t xml:space="preserve">: Champions 12.3 – </w:t>
      </w:r>
      <w:hyperlink r:id="rId14" w:history="1">
        <w:r w:rsidRPr="0050137B">
          <w:rPr>
            <w:rStyle w:val="Hyperlink"/>
            <w:lang w:val="en-GB"/>
          </w:rPr>
          <w:t xml:space="preserve">The business case for reducing food loss and waste </w:t>
        </w:r>
      </w:hyperlink>
      <w:r w:rsidRPr="0050137B">
        <w:rPr>
          <w:lang w:val="en-GB"/>
        </w:rPr>
        <w:t>(2017)</w:t>
      </w:r>
      <w:r>
        <w:rPr>
          <w:lang w:val="en-GB"/>
        </w:rPr>
        <w:t>.</w:t>
      </w:r>
    </w:p>
  </w:footnote>
  <w:footnote w:id="7">
    <w:p w14:paraId="18E5581F" w14:textId="77777777" w:rsidR="00120ECE" w:rsidRDefault="00120ECE" w:rsidP="003C1127">
      <w:pPr>
        <w:pStyle w:val="FootnoteText"/>
        <w:spacing w:after="80"/>
        <w:ind w:left="284" w:hanging="284"/>
      </w:pPr>
      <w:r>
        <w:rPr>
          <w:rStyle w:val="FootnoteReference"/>
        </w:rPr>
        <w:footnoteRef/>
      </w:r>
      <w:r>
        <w:t xml:space="preserve"> </w:t>
      </w:r>
      <w:r>
        <w:tab/>
      </w:r>
      <w:r w:rsidRPr="005E3289">
        <w:rPr>
          <w:lang w:val="en-GB"/>
        </w:rPr>
        <w:t xml:space="preserve">Source: </w:t>
      </w:r>
      <w:r w:rsidRPr="005E3289">
        <w:t xml:space="preserve">Inside FMCG – 11 September 2019 (based on SAI Global survey of 1,008 Australian adults) - </w:t>
      </w:r>
      <w:hyperlink r:id="rId15" w:history="1">
        <w:r w:rsidRPr="005E3289">
          <w:rPr>
            <w:rStyle w:val="Hyperlink"/>
            <w:lang w:val="en-GB"/>
          </w:rPr>
          <w:t>Aussie shoppers want supermarkets to cut food waste</w:t>
        </w:r>
      </w:hyperlink>
    </w:p>
  </w:footnote>
  <w:footnote w:id="8">
    <w:p w14:paraId="31724A25" w14:textId="77777777" w:rsidR="00120ECE" w:rsidRDefault="00120ECE" w:rsidP="003C1127">
      <w:pPr>
        <w:pStyle w:val="FootnoteText"/>
        <w:spacing w:after="80"/>
        <w:ind w:left="284" w:hanging="284"/>
      </w:pPr>
      <w:r>
        <w:rPr>
          <w:rStyle w:val="FootnoteReference"/>
        </w:rPr>
        <w:footnoteRef/>
      </w:r>
      <w:r>
        <w:t xml:space="preserve"> </w:t>
      </w:r>
      <w:r>
        <w:tab/>
        <w:t xml:space="preserve">Source: </w:t>
      </w:r>
      <w:r w:rsidRPr="00B777F0">
        <w:rPr>
          <w:lang w:val="en-GB"/>
        </w:rPr>
        <w:t xml:space="preserve">Fight Food Waste CRC: </w:t>
      </w:r>
      <w:hyperlink r:id="rId16" w:history="1">
        <w:r w:rsidRPr="00B777F0">
          <w:rPr>
            <w:rStyle w:val="Hyperlink"/>
            <w:lang w:val="en-GB"/>
          </w:rPr>
          <w:t>Food Waste – Australian Household Attitudes and Behaviours – National Benchmarking Study</w:t>
        </w:r>
      </w:hyperlink>
    </w:p>
  </w:footnote>
  <w:footnote w:id="9">
    <w:p w14:paraId="591704DE" w14:textId="77777777" w:rsidR="00120ECE" w:rsidRDefault="00120ECE" w:rsidP="00A076D7">
      <w:pPr>
        <w:pStyle w:val="FootnoteText"/>
        <w:spacing w:after="80"/>
        <w:ind w:left="284" w:hanging="284"/>
        <w:jc w:val="both"/>
      </w:pPr>
      <w:r>
        <w:rPr>
          <w:rStyle w:val="FootnoteReference"/>
        </w:rPr>
        <w:footnoteRef/>
      </w:r>
      <w:r>
        <w:t xml:space="preserve"> </w:t>
      </w:r>
      <w:r>
        <w:tab/>
        <w:t xml:space="preserve">EU REFRESH Policy Brief, March 2019: </w:t>
      </w:r>
      <w:hyperlink r:id="rId17" w:history="1">
        <w:r w:rsidRPr="00EE5E78">
          <w:rPr>
            <w:rStyle w:val="Hyperlink"/>
          </w:rPr>
          <w:t>Voluntary Agreements as a collaborative solution for food waste reduction</w:t>
        </w:r>
      </w:hyperlink>
      <w:r>
        <w:t>.</w:t>
      </w:r>
    </w:p>
  </w:footnote>
  <w:footnote w:id="10">
    <w:p w14:paraId="1EA15F7F" w14:textId="77777777" w:rsidR="00120ECE" w:rsidRDefault="00120ECE" w:rsidP="00216ABD">
      <w:pPr>
        <w:pStyle w:val="FootnoteText"/>
        <w:ind w:left="284" w:hanging="284"/>
      </w:pPr>
      <w:r>
        <w:rPr>
          <w:rStyle w:val="FootnoteReference"/>
        </w:rPr>
        <w:footnoteRef/>
      </w:r>
      <w:r>
        <w:t xml:space="preserve"> </w:t>
      </w:r>
      <w:r>
        <w:tab/>
        <w:t xml:space="preserve">See </w:t>
      </w:r>
      <w:r w:rsidRPr="005711DF">
        <w:rPr>
          <w:i/>
          <w:iCs/>
        </w:rPr>
        <w:t>Project Drawdown</w:t>
      </w:r>
      <w:r>
        <w:t xml:space="preserve"> ranking of climate solutions: </w:t>
      </w:r>
      <w:hyperlink r:id="rId18" w:history="1">
        <w:r>
          <w:rPr>
            <w:rStyle w:val="Hyperlink"/>
          </w:rPr>
          <w:t>https://www.drawdown.org/solutions</w:t>
        </w:r>
      </w:hyperlink>
    </w:p>
  </w:footnote>
  <w:footnote w:id="11">
    <w:p w14:paraId="133F8AE7" w14:textId="77777777" w:rsidR="00120ECE" w:rsidRDefault="00120ECE" w:rsidP="00951D6D">
      <w:pPr>
        <w:pStyle w:val="FootnoteText"/>
        <w:ind w:left="284" w:hanging="284"/>
      </w:pPr>
      <w:r>
        <w:rPr>
          <w:rStyle w:val="FootnoteReference"/>
        </w:rPr>
        <w:footnoteRef/>
      </w:r>
      <w:r>
        <w:t xml:space="preserve"> </w:t>
      </w:r>
      <w:r>
        <w:tab/>
        <w:t>Please visit the Food Loss and Waste Protocol website (</w:t>
      </w:r>
      <w:hyperlink r:id="rId19" w:history="1">
        <w:r>
          <w:rPr>
            <w:rStyle w:val="Hyperlink"/>
          </w:rPr>
          <w:t>https://flwprotocol.org/</w:t>
        </w:r>
      </w:hyperlink>
      <w:r>
        <w:t xml:space="preserve">) to view the standard and a range of supporting resources and case studies on how leading food businesses have used the Standard. </w:t>
      </w:r>
    </w:p>
  </w:footnote>
  <w:footnote w:id="12">
    <w:p w14:paraId="19CEE070" w14:textId="77777777" w:rsidR="00120ECE" w:rsidRDefault="00120ECE" w:rsidP="0086221B">
      <w:pPr>
        <w:pStyle w:val="FootnoteText"/>
        <w:spacing w:before="80"/>
        <w:ind w:left="284" w:hanging="284"/>
        <w:jc w:val="both"/>
      </w:pPr>
      <w:r>
        <w:rPr>
          <w:rStyle w:val="FootnoteReference"/>
        </w:rPr>
        <w:footnoteRef/>
      </w:r>
      <w:r>
        <w:t xml:space="preserve"> </w:t>
      </w:r>
      <w:r>
        <w:tab/>
        <w:t xml:space="preserve">Cristina Osoro and Kate Bygrave (2016): </w:t>
      </w:r>
      <w:hyperlink r:id="rId20" w:history="1">
        <w:r w:rsidRPr="009E645C">
          <w:rPr>
            <w:rStyle w:val="Hyperlink"/>
          </w:rPr>
          <w:t>Inventory and evaluation of effectiveness of existing approaches to voluntary alliances</w:t>
        </w:r>
      </w:hyperlink>
      <w:r>
        <w:t xml:space="preserve"> – EU REFRESH. This assessment and evaluation included 18 voluntary alliances, commitments and agreements.</w:t>
      </w:r>
    </w:p>
  </w:footnote>
  <w:footnote w:id="13">
    <w:p w14:paraId="3084E801" w14:textId="77777777" w:rsidR="00120ECE" w:rsidRPr="00723F36" w:rsidRDefault="00120ECE" w:rsidP="0086221B">
      <w:pPr>
        <w:pStyle w:val="Default"/>
        <w:spacing w:before="80"/>
        <w:ind w:left="284" w:hanging="284"/>
        <w:jc w:val="both"/>
        <w:rPr>
          <w:rFonts w:asciiTheme="minorHAnsi" w:hAnsiTheme="minorHAnsi" w:cstheme="minorHAnsi"/>
          <w:sz w:val="20"/>
          <w:szCs w:val="20"/>
        </w:rPr>
      </w:pPr>
      <w:r w:rsidRPr="00723F36">
        <w:rPr>
          <w:rStyle w:val="FootnoteReference"/>
          <w:rFonts w:asciiTheme="minorHAnsi" w:hAnsiTheme="minorHAnsi" w:cstheme="minorHAnsi"/>
          <w:sz w:val="20"/>
          <w:szCs w:val="20"/>
        </w:rPr>
        <w:footnoteRef/>
      </w:r>
      <w:r w:rsidRPr="00723F36">
        <w:rPr>
          <w:rFonts w:asciiTheme="minorHAnsi" w:hAnsiTheme="minorHAnsi" w:cstheme="minorHAnsi"/>
          <w:sz w:val="20"/>
          <w:szCs w:val="20"/>
        </w:rPr>
        <w:t xml:space="preserve"> </w:t>
      </w:r>
      <w:r w:rsidRPr="00723F36">
        <w:rPr>
          <w:rFonts w:asciiTheme="minorHAnsi" w:hAnsiTheme="minorHAnsi" w:cstheme="minorHAnsi"/>
          <w:sz w:val="20"/>
          <w:szCs w:val="20"/>
        </w:rPr>
        <w:tab/>
        <w:t xml:space="preserve">Piras, S., </w:t>
      </w:r>
      <w:r>
        <w:rPr>
          <w:rFonts w:asciiTheme="minorHAnsi" w:hAnsiTheme="minorHAnsi" w:cstheme="minorHAnsi"/>
          <w:sz w:val="20"/>
          <w:szCs w:val="20"/>
        </w:rPr>
        <w:t>et al (</w:t>
      </w:r>
      <w:r w:rsidRPr="00723F36">
        <w:rPr>
          <w:rFonts w:asciiTheme="minorHAnsi" w:hAnsiTheme="minorHAnsi" w:cstheme="minorHAnsi"/>
          <w:sz w:val="20"/>
          <w:szCs w:val="20"/>
        </w:rPr>
        <w:t>2018</w:t>
      </w:r>
      <w:r>
        <w:rPr>
          <w:rFonts w:asciiTheme="minorHAnsi" w:hAnsiTheme="minorHAnsi" w:cstheme="minorHAnsi"/>
          <w:sz w:val="20"/>
          <w:szCs w:val="20"/>
        </w:rPr>
        <w:t>)</w:t>
      </w:r>
      <w:r w:rsidRPr="00723F36">
        <w:rPr>
          <w:rFonts w:asciiTheme="minorHAnsi" w:hAnsiTheme="minorHAnsi" w:cstheme="minorHAnsi"/>
          <w:sz w:val="20"/>
          <w:szCs w:val="20"/>
        </w:rPr>
        <w:t xml:space="preserve">. ‘Unfair Trading Practice Regulation and Voluntary Agreements targeting food waste: A policy assessment in select EU Member States’, EU Horizon 2020, D3.2 REFRESH. </w:t>
      </w:r>
      <w:hyperlink r:id="rId21" w:history="1">
        <w:r w:rsidRPr="00723F36">
          <w:rPr>
            <w:rStyle w:val="Hyperlink"/>
            <w:rFonts w:asciiTheme="minorHAnsi" w:hAnsiTheme="minorHAnsi" w:cstheme="minorHAnsi"/>
            <w:sz w:val="20"/>
            <w:szCs w:val="20"/>
          </w:rPr>
          <w:t>https://eu-refresh.org/sites/default/files/REFRESH_D3.2_UTPs%20and%20VAs%20targeting%20food%20waste_07.2018.pdf</w:t>
        </w:r>
      </w:hyperlink>
    </w:p>
  </w:footnote>
  <w:footnote w:id="14">
    <w:p w14:paraId="75C5347E" w14:textId="77777777" w:rsidR="00120ECE" w:rsidRPr="002B0964" w:rsidRDefault="00120ECE" w:rsidP="0086221B">
      <w:pPr>
        <w:pStyle w:val="Default"/>
        <w:spacing w:before="80" w:after="80"/>
        <w:ind w:left="284" w:hanging="284"/>
        <w:jc w:val="both"/>
        <w:rPr>
          <w:rFonts w:asciiTheme="minorHAnsi" w:hAnsiTheme="minorHAnsi" w:cstheme="minorHAnsi"/>
          <w:sz w:val="20"/>
          <w:szCs w:val="20"/>
        </w:rPr>
      </w:pPr>
      <w:r w:rsidRPr="002B0964">
        <w:rPr>
          <w:rStyle w:val="FootnoteReference"/>
          <w:rFonts w:asciiTheme="minorHAnsi" w:hAnsiTheme="minorHAnsi" w:cstheme="minorHAnsi"/>
          <w:sz w:val="20"/>
          <w:szCs w:val="20"/>
        </w:rPr>
        <w:footnoteRef/>
      </w:r>
      <w:r w:rsidRPr="002B0964">
        <w:rPr>
          <w:rFonts w:asciiTheme="minorHAnsi" w:hAnsiTheme="minorHAnsi" w:cstheme="minorHAnsi"/>
          <w:sz w:val="20"/>
          <w:szCs w:val="20"/>
        </w:rPr>
        <w:t xml:space="preserve"> </w:t>
      </w:r>
      <w:r>
        <w:rPr>
          <w:rFonts w:asciiTheme="minorHAnsi" w:hAnsiTheme="minorHAnsi" w:cstheme="minorHAnsi"/>
          <w:sz w:val="20"/>
          <w:szCs w:val="20"/>
        </w:rPr>
        <w:tab/>
      </w:r>
      <w:r w:rsidRPr="002B0964">
        <w:rPr>
          <w:rFonts w:asciiTheme="minorHAnsi" w:hAnsiTheme="minorHAnsi" w:cstheme="minorHAnsi"/>
          <w:sz w:val="20"/>
          <w:szCs w:val="20"/>
        </w:rPr>
        <w:t xml:space="preserve">Food and Agriculture Organization of the United Nations, Think.Eat.Save Guidance, 2014. </w:t>
      </w:r>
    </w:p>
  </w:footnote>
  <w:footnote w:id="15">
    <w:p w14:paraId="3E4BBDA1" w14:textId="77777777" w:rsidR="00120ECE" w:rsidRPr="009574C7" w:rsidRDefault="00120ECE" w:rsidP="009574C7">
      <w:pPr>
        <w:pStyle w:val="FootnoteText"/>
        <w:spacing w:after="80"/>
        <w:ind w:left="284" w:hanging="284"/>
        <w:jc w:val="both"/>
        <w:rPr>
          <w:lang w:val="en-GB"/>
        </w:rPr>
      </w:pPr>
      <w:r>
        <w:rPr>
          <w:rStyle w:val="FootnoteReference"/>
        </w:rPr>
        <w:footnoteRef/>
      </w:r>
      <w:r>
        <w:t xml:space="preserve"> </w:t>
      </w:r>
      <w:r>
        <w:rPr>
          <w:lang w:val="en-GB"/>
        </w:rPr>
        <w:tab/>
        <w:t xml:space="preserve">This international review was based on three studies by the following organisations: EU REFRESH Project (2016 and 2019 respectively): </w:t>
      </w:r>
      <w:hyperlink r:id="rId22" w:history="1">
        <w:r w:rsidRPr="009574C7">
          <w:rPr>
            <w:rStyle w:val="Hyperlink"/>
            <w:i/>
            <w:iCs/>
            <w:lang w:val="en-GB"/>
          </w:rPr>
          <w:t>Inventory and evaluation of effectiveness of existing approaches – Determine context and success factors of voluntary alliances</w:t>
        </w:r>
      </w:hyperlink>
      <w:r>
        <w:rPr>
          <w:lang w:val="en-GB"/>
        </w:rPr>
        <w:t xml:space="preserve"> and </w:t>
      </w:r>
      <w:hyperlink r:id="rId23" w:history="1">
        <w:r w:rsidRPr="009574C7">
          <w:rPr>
            <w:rStyle w:val="Hyperlink"/>
            <w:i/>
            <w:iCs/>
            <w:lang w:val="en-GB"/>
          </w:rPr>
          <w:t>Voluntary agreements as a collaborative solution for food waste reduction</w:t>
        </w:r>
      </w:hyperlink>
      <w:r>
        <w:rPr>
          <w:lang w:val="en-GB"/>
        </w:rPr>
        <w:t xml:space="preserve">; and Sarah May (October 2018): </w:t>
      </w:r>
      <w:hyperlink r:id="rId24" w:history="1">
        <w:r w:rsidRPr="0054234D">
          <w:rPr>
            <w:rStyle w:val="Hyperlink"/>
            <w:i/>
            <w:iCs/>
            <w:lang w:val="en-GB"/>
          </w:rPr>
          <w:t>Investigating international models for reducing food waste</w:t>
        </w:r>
      </w:hyperlink>
      <w:r>
        <w:rPr>
          <w:lang w:val="en-GB"/>
        </w:rPr>
        <w:t>; and well as personal communications with WRAP and Zero Waste Scotland (UK), REFED (USA) and Food Waste Reunited (The Netherlands).</w:t>
      </w:r>
    </w:p>
  </w:footnote>
  <w:footnote w:id="16">
    <w:p w14:paraId="7AB68F78" w14:textId="77777777" w:rsidR="00120ECE" w:rsidRDefault="00120ECE" w:rsidP="00F03EFC">
      <w:pPr>
        <w:pStyle w:val="FootnoteText"/>
        <w:spacing w:after="80"/>
        <w:ind w:left="284" w:hanging="284"/>
      </w:pPr>
      <w:r>
        <w:rPr>
          <w:rStyle w:val="FootnoteReference"/>
        </w:rPr>
        <w:footnoteRef/>
      </w:r>
      <w:r>
        <w:t xml:space="preserve"> </w:t>
      </w:r>
      <w:r>
        <w:tab/>
        <w:t xml:space="preserve">Arcadis – </w:t>
      </w:r>
      <w:hyperlink r:id="rId25" w:history="1">
        <w:r w:rsidRPr="00355AEC">
          <w:rPr>
            <w:rStyle w:val="Hyperlink"/>
            <w:i/>
            <w:iCs/>
          </w:rPr>
          <w:t>National Food Waste Baseline – Final Assessment Report</w:t>
        </w:r>
      </w:hyperlink>
      <w:r>
        <w:t xml:space="preserve"> (29 March 2019).</w:t>
      </w:r>
    </w:p>
  </w:footnote>
  <w:footnote w:id="17">
    <w:p w14:paraId="48AAE175" w14:textId="77777777" w:rsidR="00120ECE" w:rsidRDefault="00120ECE" w:rsidP="00F03EFC">
      <w:pPr>
        <w:pStyle w:val="FootnoteText"/>
        <w:spacing w:after="80"/>
        <w:ind w:left="284" w:hanging="284"/>
      </w:pPr>
      <w:r>
        <w:rPr>
          <w:rStyle w:val="FootnoteReference"/>
        </w:rPr>
        <w:footnoteRef/>
      </w:r>
      <w:r>
        <w:t xml:space="preserve"> </w:t>
      </w:r>
      <w:r>
        <w:tab/>
        <w:t xml:space="preserve">WRI FLW Protocol - </w:t>
      </w:r>
      <w:hyperlink r:id="rId26" w:history="1">
        <w:r w:rsidRPr="00A73927">
          <w:rPr>
            <w:rStyle w:val="Hyperlink"/>
            <w:i/>
            <w:iCs/>
          </w:rPr>
          <w:t>Food Loss and Waste Accounting and Reporting Standard Version 1</w:t>
        </w:r>
      </w:hyperlink>
      <w:r w:rsidRPr="00A73927">
        <w:rPr>
          <w:i/>
          <w:iCs/>
        </w:rPr>
        <w:t xml:space="preserve"> </w:t>
      </w:r>
      <w:r>
        <w:t>(2016).</w:t>
      </w:r>
    </w:p>
  </w:footnote>
  <w:footnote w:id="18">
    <w:p w14:paraId="5E9830E0" w14:textId="77777777" w:rsidR="00120ECE" w:rsidRDefault="00120ECE" w:rsidP="00F03EFC">
      <w:pPr>
        <w:pStyle w:val="FootnoteText"/>
        <w:spacing w:after="80"/>
        <w:ind w:left="284" w:hanging="284"/>
      </w:pPr>
      <w:r>
        <w:rPr>
          <w:rStyle w:val="FootnoteReference"/>
        </w:rPr>
        <w:footnoteRef/>
      </w:r>
      <w:r>
        <w:t xml:space="preserve"> </w:t>
      </w:r>
      <w:r>
        <w:tab/>
      </w:r>
      <w:r w:rsidRPr="00F03EFC">
        <w:rPr>
          <w:b/>
          <w:bCs/>
        </w:rPr>
        <w:t>NOTE</w:t>
      </w:r>
      <w:r>
        <w:t>: it may not be possible for some signatories to separate out the food they produce for the domestic Australian market versus food they export to other markets.</w:t>
      </w:r>
    </w:p>
  </w:footnote>
  <w:footnote w:id="19">
    <w:p w14:paraId="41427F3C" w14:textId="77777777" w:rsidR="00120ECE" w:rsidRDefault="00120ECE" w:rsidP="007B6086">
      <w:pPr>
        <w:pStyle w:val="FootnoteText"/>
        <w:spacing w:after="80"/>
        <w:ind w:left="284" w:hanging="284"/>
      </w:pPr>
      <w:r>
        <w:rPr>
          <w:rStyle w:val="FootnoteReference"/>
        </w:rPr>
        <w:footnoteRef/>
      </w:r>
      <w:r>
        <w:t xml:space="preserve"> </w:t>
      </w:r>
      <w:r>
        <w:tab/>
        <w:t>The most commonly used refrigerant gases used in supermarkets is R404A, a gas with a global warming potential (GWP) of 3,922 – i.e. every tonne of R404A emitted is equivalent to 3,922 tonnes of carbon dioxide emissions. Whilst methane generated by the decay of food waste in landfill has a GWP of 21.</w:t>
      </w:r>
    </w:p>
  </w:footnote>
  <w:footnote w:id="20">
    <w:p w14:paraId="2F17EFD9" w14:textId="77777777" w:rsidR="00120ECE" w:rsidRDefault="00120ECE" w:rsidP="007B6086">
      <w:pPr>
        <w:pStyle w:val="FootnoteText"/>
        <w:ind w:left="284" w:hanging="284"/>
      </w:pPr>
      <w:r>
        <w:rPr>
          <w:rStyle w:val="FootnoteReference"/>
        </w:rPr>
        <w:footnoteRef/>
      </w:r>
      <w:r>
        <w:t xml:space="preserve"> </w:t>
      </w:r>
      <w:r>
        <w:tab/>
      </w:r>
      <w:r w:rsidRPr="002A5012">
        <w:rPr>
          <w:rFonts w:cstheme="minorHAnsi"/>
          <w:color w:val="000000" w:themeColor="text1"/>
          <w:lang w:eastAsia="en-GB"/>
        </w:rPr>
        <w:t>A circular economy is based on the principles of designing out waste and pollution, keeping products and materials in use, and regenerating natural systems</w:t>
      </w:r>
      <w:r>
        <w:rPr>
          <w:rFonts w:cstheme="minorHAnsi"/>
          <w:color w:val="000000" w:themeColor="text1"/>
          <w:lang w:eastAsia="en-GB"/>
        </w:rPr>
        <w:t xml:space="preserve"> (</w:t>
      </w:r>
      <w:hyperlink r:id="rId27" w:history="1">
        <w:r w:rsidRPr="002A5012">
          <w:rPr>
            <w:rStyle w:val="Hyperlink"/>
            <w:rFonts w:cstheme="minorHAnsi"/>
            <w:lang w:eastAsia="en-GB"/>
          </w:rPr>
          <w:t>Ellen MacArthur Foundation</w:t>
        </w:r>
      </w:hyperlink>
      <w:r>
        <w:rPr>
          <w:rFonts w:cstheme="minorHAnsi"/>
          <w:color w:val="000000" w:themeColor="text1"/>
          <w:lang w:eastAsia="en-GB"/>
        </w:rPr>
        <w:t>,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9"/>
      <w:gridCol w:w="6107"/>
    </w:tblGrid>
    <w:tr w:rsidR="00120ECE" w14:paraId="661FD037" w14:textId="77777777" w:rsidTr="00B95E8A">
      <w:tc>
        <w:tcPr>
          <w:tcW w:w="4508" w:type="dxa"/>
        </w:tcPr>
        <w:p w14:paraId="31178DF2" w14:textId="77777777" w:rsidR="00120ECE" w:rsidRDefault="00120ECE">
          <w:pPr>
            <w:pStyle w:val="Header"/>
          </w:pPr>
        </w:p>
      </w:tc>
      <w:tc>
        <w:tcPr>
          <w:tcW w:w="8533" w:type="dxa"/>
        </w:tcPr>
        <w:p w14:paraId="6FAD4AE9" w14:textId="77777777" w:rsidR="00120ECE" w:rsidRDefault="00120ECE" w:rsidP="00115FCE">
          <w:pPr>
            <w:pStyle w:val="Header"/>
            <w:jc w:val="right"/>
          </w:pPr>
          <w:r>
            <w:rPr>
              <w:noProof/>
              <w:lang w:eastAsia="en-AU"/>
            </w:rPr>
            <w:drawing>
              <wp:inline distT="0" distB="0" distL="0" distR="0" wp14:anchorId="36DAA0E8" wp14:editId="7C5BA59E">
                <wp:extent cx="1123950" cy="519515"/>
                <wp:effectExtent l="0" t="0" r="0" b="0"/>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AL Logo.jpg"/>
                        <pic:cNvPicPr/>
                      </pic:nvPicPr>
                      <pic:blipFill rotWithShape="1">
                        <a:blip r:embed="rId1">
                          <a:extLst>
                            <a:ext uri="{28A0092B-C50C-407E-A947-70E740481C1C}">
                              <a14:useLocalDpi xmlns:a14="http://schemas.microsoft.com/office/drawing/2010/main" val="0"/>
                            </a:ext>
                          </a:extLst>
                        </a:blip>
                        <a:srcRect t="27111" b="26667"/>
                        <a:stretch/>
                      </pic:blipFill>
                      <pic:spPr bwMode="auto">
                        <a:xfrm>
                          <a:off x="0" y="0"/>
                          <a:ext cx="1168066" cy="539906"/>
                        </a:xfrm>
                        <a:prstGeom prst="rect">
                          <a:avLst/>
                        </a:prstGeom>
                        <a:ln>
                          <a:noFill/>
                        </a:ln>
                        <a:extLst>
                          <a:ext uri="{53640926-AAD7-44D8-BBD7-CCE9431645EC}">
                            <a14:shadowObscured xmlns:a14="http://schemas.microsoft.com/office/drawing/2010/main"/>
                          </a:ext>
                        </a:extLst>
                      </pic:spPr>
                    </pic:pic>
                  </a:graphicData>
                </a:graphic>
              </wp:inline>
            </w:drawing>
          </w:r>
        </w:p>
      </w:tc>
    </w:tr>
  </w:tbl>
  <w:p w14:paraId="6D83CCAF" w14:textId="77777777" w:rsidR="00120ECE" w:rsidRDefault="00120EC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8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2"/>
      <w:gridCol w:w="7864"/>
    </w:tblGrid>
    <w:tr w:rsidR="00120ECE" w14:paraId="1E6C9E46" w14:textId="77777777" w:rsidTr="00224017">
      <w:trPr>
        <w:trHeight w:val="323"/>
      </w:trPr>
      <w:tc>
        <w:tcPr>
          <w:tcW w:w="2002" w:type="dxa"/>
        </w:tcPr>
        <w:p w14:paraId="78B97A44" w14:textId="77777777" w:rsidR="00120ECE" w:rsidRDefault="00120ECE">
          <w:pPr>
            <w:pStyle w:val="Header"/>
          </w:pPr>
        </w:p>
      </w:tc>
      <w:tc>
        <w:tcPr>
          <w:tcW w:w="7864" w:type="dxa"/>
        </w:tcPr>
        <w:p w14:paraId="7E946827" w14:textId="77777777" w:rsidR="00120ECE" w:rsidRDefault="00120ECE" w:rsidP="00115FCE">
          <w:pPr>
            <w:pStyle w:val="Header"/>
            <w:jc w:val="right"/>
          </w:pPr>
          <w:r>
            <w:rPr>
              <w:noProof/>
              <w:lang w:eastAsia="en-AU"/>
            </w:rPr>
            <w:drawing>
              <wp:inline distT="0" distB="0" distL="0" distR="0" wp14:anchorId="5DB4E565" wp14:editId="7FD139AA">
                <wp:extent cx="1123950" cy="519515"/>
                <wp:effectExtent l="0" t="0" r="0" b="0"/>
                <wp:docPr id="12" name="Picture 1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AL Logo.jpg"/>
                        <pic:cNvPicPr/>
                      </pic:nvPicPr>
                      <pic:blipFill rotWithShape="1">
                        <a:blip r:embed="rId1">
                          <a:extLst>
                            <a:ext uri="{28A0092B-C50C-407E-A947-70E740481C1C}">
                              <a14:useLocalDpi xmlns:a14="http://schemas.microsoft.com/office/drawing/2010/main" val="0"/>
                            </a:ext>
                          </a:extLst>
                        </a:blip>
                        <a:srcRect t="27111" b="26667"/>
                        <a:stretch/>
                      </pic:blipFill>
                      <pic:spPr bwMode="auto">
                        <a:xfrm>
                          <a:off x="0" y="0"/>
                          <a:ext cx="1168066" cy="539906"/>
                        </a:xfrm>
                        <a:prstGeom prst="rect">
                          <a:avLst/>
                        </a:prstGeom>
                        <a:ln>
                          <a:noFill/>
                        </a:ln>
                        <a:extLst>
                          <a:ext uri="{53640926-AAD7-44D8-BBD7-CCE9431645EC}">
                            <a14:shadowObscured xmlns:a14="http://schemas.microsoft.com/office/drawing/2010/main"/>
                          </a:ext>
                        </a:extLst>
                      </pic:spPr>
                    </pic:pic>
                  </a:graphicData>
                </a:graphic>
              </wp:inline>
            </w:drawing>
          </w:r>
        </w:p>
      </w:tc>
    </w:tr>
  </w:tbl>
  <w:p w14:paraId="4800B1E1" w14:textId="77777777" w:rsidR="00120ECE" w:rsidRDefault="00120E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5415"/>
    </w:tblGrid>
    <w:tr w:rsidR="00120ECE" w14:paraId="17B1A1C1" w14:textId="77777777" w:rsidTr="00B95E8A">
      <w:tc>
        <w:tcPr>
          <w:tcW w:w="4508" w:type="dxa"/>
        </w:tcPr>
        <w:p w14:paraId="2435E9FD" w14:textId="77777777" w:rsidR="00120ECE" w:rsidRDefault="00120ECE">
          <w:pPr>
            <w:pStyle w:val="Header"/>
          </w:pPr>
        </w:p>
      </w:tc>
      <w:tc>
        <w:tcPr>
          <w:tcW w:w="5415" w:type="dxa"/>
        </w:tcPr>
        <w:p w14:paraId="435E6767" w14:textId="77777777" w:rsidR="00120ECE" w:rsidRDefault="00120ECE" w:rsidP="00115FCE">
          <w:pPr>
            <w:pStyle w:val="Header"/>
            <w:jc w:val="right"/>
          </w:pPr>
          <w:r>
            <w:rPr>
              <w:noProof/>
              <w:lang w:eastAsia="en-AU"/>
            </w:rPr>
            <w:drawing>
              <wp:inline distT="0" distB="0" distL="0" distR="0" wp14:anchorId="4B02B813" wp14:editId="425C960E">
                <wp:extent cx="1123950" cy="519515"/>
                <wp:effectExtent l="0" t="0" r="0" b="0"/>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AL Logo.jpg"/>
                        <pic:cNvPicPr/>
                      </pic:nvPicPr>
                      <pic:blipFill rotWithShape="1">
                        <a:blip r:embed="rId1">
                          <a:extLst>
                            <a:ext uri="{28A0092B-C50C-407E-A947-70E740481C1C}">
                              <a14:useLocalDpi xmlns:a14="http://schemas.microsoft.com/office/drawing/2010/main" val="0"/>
                            </a:ext>
                          </a:extLst>
                        </a:blip>
                        <a:srcRect t="27111" b="26667"/>
                        <a:stretch/>
                      </pic:blipFill>
                      <pic:spPr bwMode="auto">
                        <a:xfrm>
                          <a:off x="0" y="0"/>
                          <a:ext cx="1168066" cy="539906"/>
                        </a:xfrm>
                        <a:prstGeom prst="rect">
                          <a:avLst/>
                        </a:prstGeom>
                        <a:ln>
                          <a:noFill/>
                        </a:ln>
                        <a:extLst>
                          <a:ext uri="{53640926-AAD7-44D8-BBD7-CCE9431645EC}">
                            <a14:shadowObscured xmlns:a14="http://schemas.microsoft.com/office/drawing/2010/main"/>
                          </a:ext>
                        </a:extLst>
                      </pic:spPr>
                    </pic:pic>
                  </a:graphicData>
                </a:graphic>
              </wp:inline>
            </w:drawing>
          </w:r>
        </w:p>
      </w:tc>
    </w:tr>
  </w:tbl>
  <w:p w14:paraId="14971998" w14:textId="77777777" w:rsidR="00120ECE" w:rsidRDefault="00120EC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4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10234"/>
    </w:tblGrid>
    <w:tr w:rsidR="00120ECE" w14:paraId="0A9E17F4" w14:textId="77777777" w:rsidTr="00FC24AE">
      <w:tc>
        <w:tcPr>
          <w:tcW w:w="4508" w:type="dxa"/>
        </w:tcPr>
        <w:p w14:paraId="6EBB2342" w14:textId="77777777" w:rsidR="00120ECE" w:rsidRDefault="00120ECE">
          <w:pPr>
            <w:pStyle w:val="Header"/>
          </w:pPr>
        </w:p>
      </w:tc>
      <w:tc>
        <w:tcPr>
          <w:tcW w:w="10234" w:type="dxa"/>
        </w:tcPr>
        <w:p w14:paraId="1C447DE2" w14:textId="77777777" w:rsidR="00120ECE" w:rsidRDefault="00120ECE" w:rsidP="00115FCE">
          <w:pPr>
            <w:pStyle w:val="Header"/>
            <w:jc w:val="right"/>
          </w:pPr>
          <w:r>
            <w:rPr>
              <w:noProof/>
              <w:lang w:eastAsia="en-AU"/>
            </w:rPr>
            <w:drawing>
              <wp:inline distT="0" distB="0" distL="0" distR="0" wp14:anchorId="021BB439" wp14:editId="7BDD900C">
                <wp:extent cx="1123950" cy="519515"/>
                <wp:effectExtent l="0" t="0" r="0" b="0"/>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AL Logo.jpg"/>
                        <pic:cNvPicPr/>
                      </pic:nvPicPr>
                      <pic:blipFill rotWithShape="1">
                        <a:blip r:embed="rId1">
                          <a:extLst>
                            <a:ext uri="{28A0092B-C50C-407E-A947-70E740481C1C}">
                              <a14:useLocalDpi xmlns:a14="http://schemas.microsoft.com/office/drawing/2010/main" val="0"/>
                            </a:ext>
                          </a:extLst>
                        </a:blip>
                        <a:srcRect t="27111" b="26667"/>
                        <a:stretch/>
                      </pic:blipFill>
                      <pic:spPr bwMode="auto">
                        <a:xfrm>
                          <a:off x="0" y="0"/>
                          <a:ext cx="1168066" cy="539906"/>
                        </a:xfrm>
                        <a:prstGeom prst="rect">
                          <a:avLst/>
                        </a:prstGeom>
                        <a:ln>
                          <a:noFill/>
                        </a:ln>
                        <a:extLst>
                          <a:ext uri="{53640926-AAD7-44D8-BBD7-CCE9431645EC}">
                            <a14:shadowObscured xmlns:a14="http://schemas.microsoft.com/office/drawing/2010/main"/>
                          </a:ext>
                        </a:extLst>
                      </pic:spPr>
                    </pic:pic>
                  </a:graphicData>
                </a:graphic>
              </wp:inline>
            </w:drawing>
          </w:r>
        </w:p>
      </w:tc>
    </w:tr>
  </w:tbl>
  <w:p w14:paraId="6E099EBD" w14:textId="77777777" w:rsidR="00120ECE" w:rsidRDefault="00120EC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5415"/>
    </w:tblGrid>
    <w:tr w:rsidR="00120ECE" w14:paraId="53E9190B" w14:textId="77777777" w:rsidTr="00B95E8A">
      <w:tc>
        <w:tcPr>
          <w:tcW w:w="4508" w:type="dxa"/>
        </w:tcPr>
        <w:p w14:paraId="57212090" w14:textId="77777777" w:rsidR="00120ECE" w:rsidRDefault="00120ECE">
          <w:pPr>
            <w:pStyle w:val="Header"/>
          </w:pPr>
        </w:p>
      </w:tc>
      <w:tc>
        <w:tcPr>
          <w:tcW w:w="5415" w:type="dxa"/>
        </w:tcPr>
        <w:p w14:paraId="2CEB24A2" w14:textId="77777777" w:rsidR="00120ECE" w:rsidRDefault="00120ECE" w:rsidP="00115FCE">
          <w:pPr>
            <w:pStyle w:val="Header"/>
            <w:jc w:val="right"/>
          </w:pPr>
          <w:r>
            <w:rPr>
              <w:noProof/>
              <w:lang w:eastAsia="en-AU"/>
            </w:rPr>
            <w:drawing>
              <wp:inline distT="0" distB="0" distL="0" distR="0" wp14:anchorId="3565F731" wp14:editId="23C8F03D">
                <wp:extent cx="1123950" cy="519515"/>
                <wp:effectExtent l="0" t="0" r="0" b="0"/>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AL Logo.jpg"/>
                        <pic:cNvPicPr/>
                      </pic:nvPicPr>
                      <pic:blipFill rotWithShape="1">
                        <a:blip r:embed="rId1">
                          <a:extLst>
                            <a:ext uri="{28A0092B-C50C-407E-A947-70E740481C1C}">
                              <a14:useLocalDpi xmlns:a14="http://schemas.microsoft.com/office/drawing/2010/main" val="0"/>
                            </a:ext>
                          </a:extLst>
                        </a:blip>
                        <a:srcRect t="27111" b="26667"/>
                        <a:stretch/>
                      </pic:blipFill>
                      <pic:spPr bwMode="auto">
                        <a:xfrm>
                          <a:off x="0" y="0"/>
                          <a:ext cx="1168066" cy="539906"/>
                        </a:xfrm>
                        <a:prstGeom prst="rect">
                          <a:avLst/>
                        </a:prstGeom>
                        <a:ln>
                          <a:noFill/>
                        </a:ln>
                        <a:extLst>
                          <a:ext uri="{53640926-AAD7-44D8-BBD7-CCE9431645EC}">
                            <a14:shadowObscured xmlns:a14="http://schemas.microsoft.com/office/drawing/2010/main"/>
                          </a:ext>
                        </a:extLst>
                      </pic:spPr>
                    </pic:pic>
                  </a:graphicData>
                </a:graphic>
              </wp:inline>
            </w:drawing>
          </w:r>
        </w:p>
      </w:tc>
    </w:tr>
  </w:tbl>
  <w:p w14:paraId="30728BB2" w14:textId="77777777" w:rsidR="00120ECE" w:rsidRDefault="00120EC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4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10234"/>
    </w:tblGrid>
    <w:tr w:rsidR="00120ECE" w14:paraId="7F4AEDE1" w14:textId="77777777" w:rsidTr="00262A58">
      <w:tc>
        <w:tcPr>
          <w:tcW w:w="4508" w:type="dxa"/>
        </w:tcPr>
        <w:p w14:paraId="3415FD39" w14:textId="77777777" w:rsidR="00120ECE" w:rsidRDefault="00120ECE">
          <w:pPr>
            <w:pStyle w:val="Header"/>
          </w:pPr>
        </w:p>
      </w:tc>
      <w:tc>
        <w:tcPr>
          <w:tcW w:w="10234" w:type="dxa"/>
        </w:tcPr>
        <w:p w14:paraId="4AA0362B" w14:textId="77777777" w:rsidR="00120ECE" w:rsidRDefault="00120ECE" w:rsidP="00115FCE">
          <w:pPr>
            <w:pStyle w:val="Header"/>
            <w:jc w:val="right"/>
          </w:pPr>
          <w:r>
            <w:rPr>
              <w:noProof/>
              <w:lang w:eastAsia="en-AU"/>
            </w:rPr>
            <w:drawing>
              <wp:inline distT="0" distB="0" distL="0" distR="0" wp14:anchorId="7D466025" wp14:editId="0FE356D1">
                <wp:extent cx="1123950" cy="519515"/>
                <wp:effectExtent l="0" t="0" r="0" b="0"/>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AL Logo.jpg"/>
                        <pic:cNvPicPr/>
                      </pic:nvPicPr>
                      <pic:blipFill rotWithShape="1">
                        <a:blip r:embed="rId1">
                          <a:extLst>
                            <a:ext uri="{28A0092B-C50C-407E-A947-70E740481C1C}">
                              <a14:useLocalDpi xmlns:a14="http://schemas.microsoft.com/office/drawing/2010/main" val="0"/>
                            </a:ext>
                          </a:extLst>
                        </a:blip>
                        <a:srcRect t="27111" b="26667"/>
                        <a:stretch/>
                      </pic:blipFill>
                      <pic:spPr bwMode="auto">
                        <a:xfrm>
                          <a:off x="0" y="0"/>
                          <a:ext cx="1168066" cy="539906"/>
                        </a:xfrm>
                        <a:prstGeom prst="rect">
                          <a:avLst/>
                        </a:prstGeom>
                        <a:ln>
                          <a:noFill/>
                        </a:ln>
                        <a:extLst>
                          <a:ext uri="{53640926-AAD7-44D8-BBD7-CCE9431645EC}">
                            <a14:shadowObscured xmlns:a14="http://schemas.microsoft.com/office/drawing/2010/main"/>
                          </a:ext>
                        </a:extLst>
                      </pic:spPr>
                    </pic:pic>
                  </a:graphicData>
                </a:graphic>
              </wp:inline>
            </w:drawing>
          </w:r>
        </w:p>
      </w:tc>
    </w:tr>
  </w:tbl>
  <w:p w14:paraId="7894BDE8" w14:textId="77777777" w:rsidR="00120ECE" w:rsidRDefault="00120EC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4"/>
      <w:gridCol w:w="6343"/>
    </w:tblGrid>
    <w:tr w:rsidR="00120ECE" w14:paraId="24014D84" w14:textId="77777777" w:rsidTr="00A827A1">
      <w:trPr>
        <w:trHeight w:val="674"/>
      </w:trPr>
      <w:tc>
        <w:tcPr>
          <w:tcW w:w="2794" w:type="dxa"/>
        </w:tcPr>
        <w:p w14:paraId="265904DF" w14:textId="77777777" w:rsidR="00120ECE" w:rsidRDefault="00120ECE">
          <w:pPr>
            <w:pStyle w:val="Header"/>
          </w:pPr>
        </w:p>
      </w:tc>
      <w:tc>
        <w:tcPr>
          <w:tcW w:w="6343" w:type="dxa"/>
        </w:tcPr>
        <w:p w14:paraId="401C9808" w14:textId="77777777" w:rsidR="00120ECE" w:rsidRDefault="00120ECE" w:rsidP="00115FCE">
          <w:pPr>
            <w:pStyle w:val="Header"/>
            <w:jc w:val="right"/>
          </w:pPr>
          <w:r>
            <w:rPr>
              <w:noProof/>
              <w:lang w:eastAsia="en-AU"/>
            </w:rPr>
            <w:drawing>
              <wp:inline distT="0" distB="0" distL="0" distR="0" wp14:anchorId="7643EF0B" wp14:editId="2736730E">
                <wp:extent cx="1123950" cy="519515"/>
                <wp:effectExtent l="0" t="0" r="0" b="0"/>
                <wp:docPr id="13" name="Picture 1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AL Logo.jpg"/>
                        <pic:cNvPicPr/>
                      </pic:nvPicPr>
                      <pic:blipFill rotWithShape="1">
                        <a:blip r:embed="rId1">
                          <a:extLst>
                            <a:ext uri="{28A0092B-C50C-407E-A947-70E740481C1C}">
                              <a14:useLocalDpi xmlns:a14="http://schemas.microsoft.com/office/drawing/2010/main" val="0"/>
                            </a:ext>
                          </a:extLst>
                        </a:blip>
                        <a:srcRect t="27111" b="26667"/>
                        <a:stretch/>
                      </pic:blipFill>
                      <pic:spPr bwMode="auto">
                        <a:xfrm>
                          <a:off x="0" y="0"/>
                          <a:ext cx="1168066" cy="539906"/>
                        </a:xfrm>
                        <a:prstGeom prst="rect">
                          <a:avLst/>
                        </a:prstGeom>
                        <a:ln>
                          <a:noFill/>
                        </a:ln>
                        <a:extLst>
                          <a:ext uri="{53640926-AAD7-44D8-BBD7-CCE9431645EC}">
                            <a14:shadowObscured xmlns:a14="http://schemas.microsoft.com/office/drawing/2010/main"/>
                          </a:ext>
                        </a:extLst>
                      </pic:spPr>
                    </pic:pic>
                  </a:graphicData>
                </a:graphic>
              </wp:inline>
            </w:drawing>
          </w:r>
        </w:p>
      </w:tc>
    </w:tr>
  </w:tbl>
  <w:p w14:paraId="610775ED" w14:textId="77777777" w:rsidR="00120ECE" w:rsidRDefault="00120EC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43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30"/>
      <w:gridCol w:w="7843"/>
    </w:tblGrid>
    <w:tr w:rsidR="00120ECE" w14:paraId="11F0F83C" w14:textId="77777777" w:rsidTr="00880225">
      <w:trPr>
        <w:trHeight w:val="454"/>
      </w:trPr>
      <w:tc>
        <w:tcPr>
          <w:tcW w:w="6530" w:type="dxa"/>
        </w:tcPr>
        <w:p w14:paraId="49B1BF49" w14:textId="77777777" w:rsidR="00120ECE" w:rsidRDefault="00120ECE">
          <w:pPr>
            <w:pStyle w:val="Header"/>
          </w:pPr>
        </w:p>
      </w:tc>
      <w:tc>
        <w:tcPr>
          <w:tcW w:w="7843" w:type="dxa"/>
        </w:tcPr>
        <w:p w14:paraId="43042AF6" w14:textId="77777777" w:rsidR="00120ECE" w:rsidRDefault="00120ECE" w:rsidP="00115FCE">
          <w:pPr>
            <w:pStyle w:val="Header"/>
            <w:jc w:val="right"/>
          </w:pPr>
          <w:r>
            <w:rPr>
              <w:noProof/>
              <w:lang w:eastAsia="en-AU"/>
            </w:rPr>
            <w:drawing>
              <wp:inline distT="0" distB="0" distL="0" distR="0" wp14:anchorId="2A626F00" wp14:editId="1D49262C">
                <wp:extent cx="1123950" cy="519515"/>
                <wp:effectExtent l="0" t="0" r="0" b="0"/>
                <wp:docPr id="14" name="Picture 1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AL Logo.jpg"/>
                        <pic:cNvPicPr/>
                      </pic:nvPicPr>
                      <pic:blipFill rotWithShape="1">
                        <a:blip r:embed="rId1">
                          <a:extLst>
                            <a:ext uri="{28A0092B-C50C-407E-A947-70E740481C1C}">
                              <a14:useLocalDpi xmlns:a14="http://schemas.microsoft.com/office/drawing/2010/main" val="0"/>
                            </a:ext>
                          </a:extLst>
                        </a:blip>
                        <a:srcRect t="27111" b="26667"/>
                        <a:stretch/>
                      </pic:blipFill>
                      <pic:spPr bwMode="auto">
                        <a:xfrm>
                          <a:off x="0" y="0"/>
                          <a:ext cx="1168066" cy="539906"/>
                        </a:xfrm>
                        <a:prstGeom prst="rect">
                          <a:avLst/>
                        </a:prstGeom>
                        <a:ln>
                          <a:noFill/>
                        </a:ln>
                        <a:extLst>
                          <a:ext uri="{53640926-AAD7-44D8-BBD7-CCE9431645EC}">
                            <a14:shadowObscured xmlns:a14="http://schemas.microsoft.com/office/drawing/2010/main"/>
                          </a:ext>
                        </a:extLst>
                      </pic:spPr>
                    </pic:pic>
                  </a:graphicData>
                </a:graphic>
              </wp:inline>
            </w:drawing>
          </w:r>
        </w:p>
      </w:tc>
    </w:tr>
  </w:tbl>
  <w:p w14:paraId="646FD99B" w14:textId="77777777" w:rsidR="00120ECE" w:rsidRDefault="00120EC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4"/>
      <w:gridCol w:w="5471"/>
    </w:tblGrid>
    <w:tr w:rsidR="00120ECE" w14:paraId="2BE6D6C3" w14:textId="77777777" w:rsidTr="00514A69">
      <w:trPr>
        <w:trHeight w:val="370"/>
      </w:trPr>
      <w:tc>
        <w:tcPr>
          <w:tcW w:w="3714" w:type="dxa"/>
        </w:tcPr>
        <w:p w14:paraId="5A7B83C2" w14:textId="77777777" w:rsidR="00120ECE" w:rsidRDefault="00120ECE">
          <w:pPr>
            <w:pStyle w:val="Header"/>
          </w:pPr>
        </w:p>
      </w:tc>
      <w:tc>
        <w:tcPr>
          <w:tcW w:w="5471" w:type="dxa"/>
        </w:tcPr>
        <w:p w14:paraId="4F7A8FAE" w14:textId="77777777" w:rsidR="00120ECE" w:rsidRDefault="00120ECE" w:rsidP="00115FCE">
          <w:pPr>
            <w:pStyle w:val="Header"/>
            <w:jc w:val="right"/>
          </w:pPr>
          <w:r>
            <w:rPr>
              <w:noProof/>
              <w:lang w:eastAsia="en-AU"/>
            </w:rPr>
            <w:drawing>
              <wp:inline distT="0" distB="0" distL="0" distR="0" wp14:anchorId="22FDAFEE" wp14:editId="79530E88">
                <wp:extent cx="1123950" cy="519515"/>
                <wp:effectExtent l="0" t="0" r="0" b="0"/>
                <wp:docPr id="19" name="Picture 1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AL Logo.jpg"/>
                        <pic:cNvPicPr/>
                      </pic:nvPicPr>
                      <pic:blipFill rotWithShape="1">
                        <a:blip r:embed="rId1">
                          <a:extLst>
                            <a:ext uri="{28A0092B-C50C-407E-A947-70E740481C1C}">
                              <a14:useLocalDpi xmlns:a14="http://schemas.microsoft.com/office/drawing/2010/main" val="0"/>
                            </a:ext>
                          </a:extLst>
                        </a:blip>
                        <a:srcRect t="27111" b="26667"/>
                        <a:stretch/>
                      </pic:blipFill>
                      <pic:spPr bwMode="auto">
                        <a:xfrm>
                          <a:off x="0" y="0"/>
                          <a:ext cx="1168066" cy="539906"/>
                        </a:xfrm>
                        <a:prstGeom prst="rect">
                          <a:avLst/>
                        </a:prstGeom>
                        <a:ln>
                          <a:noFill/>
                        </a:ln>
                        <a:extLst>
                          <a:ext uri="{53640926-AAD7-44D8-BBD7-CCE9431645EC}">
                            <a14:shadowObscured xmlns:a14="http://schemas.microsoft.com/office/drawing/2010/main"/>
                          </a:ext>
                        </a:extLst>
                      </pic:spPr>
                    </pic:pic>
                  </a:graphicData>
                </a:graphic>
              </wp:inline>
            </w:drawing>
          </w:r>
        </w:p>
      </w:tc>
    </w:tr>
  </w:tbl>
  <w:p w14:paraId="51C9B46E" w14:textId="77777777" w:rsidR="00120ECE" w:rsidRDefault="00120EC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4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3"/>
      <w:gridCol w:w="11599"/>
    </w:tblGrid>
    <w:tr w:rsidR="00120ECE" w14:paraId="4C0F95A0" w14:textId="77777777" w:rsidTr="00224017">
      <w:trPr>
        <w:trHeight w:val="364"/>
      </w:trPr>
      <w:tc>
        <w:tcPr>
          <w:tcW w:w="2953" w:type="dxa"/>
        </w:tcPr>
        <w:p w14:paraId="550598FC" w14:textId="77777777" w:rsidR="00120ECE" w:rsidRDefault="00120ECE">
          <w:pPr>
            <w:pStyle w:val="Header"/>
          </w:pPr>
        </w:p>
      </w:tc>
      <w:tc>
        <w:tcPr>
          <w:tcW w:w="11599" w:type="dxa"/>
        </w:tcPr>
        <w:p w14:paraId="52CAE066" w14:textId="77777777" w:rsidR="00120ECE" w:rsidRDefault="00120ECE" w:rsidP="00115FCE">
          <w:pPr>
            <w:pStyle w:val="Header"/>
            <w:jc w:val="right"/>
          </w:pPr>
          <w:r>
            <w:rPr>
              <w:noProof/>
              <w:lang w:eastAsia="en-AU"/>
            </w:rPr>
            <w:drawing>
              <wp:inline distT="0" distB="0" distL="0" distR="0" wp14:anchorId="07C027AF" wp14:editId="71BF2A41">
                <wp:extent cx="1123950" cy="519515"/>
                <wp:effectExtent l="0" t="0" r="0" b="0"/>
                <wp:docPr id="21" name="Picture 2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AL Logo.jpg"/>
                        <pic:cNvPicPr/>
                      </pic:nvPicPr>
                      <pic:blipFill rotWithShape="1">
                        <a:blip r:embed="rId1">
                          <a:extLst>
                            <a:ext uri="{28A0092B-C50C-407E-A947-70E740481C1C}">
                              <a14:useLocalDpi xmlns:a14="http://schemas.microsoft.com/office/drawing/2010/main" val="0"/>
                            </a:ext>
                          </a:extLst>
                        </a:blip>
                        <a:srcRect t="27111" b="26667"/>
                        <a:stretch/>
                      </pic:blipFill>
                      <pic:spPr bwMode="auto">
                        <a:xfrm>
                          <a:off x="0" y="0"/>
                          <a:ext cx="1168066" cy="539906"/>
                        </a:xfrm>
                        <a:prstGeom prst="rect">
                          <a:avLst/>
                        </a:prstGeom>
                        <a:ln>
                          <a:noFill/>
                        </a:ln>
                        <a:extLst>
                          <a:ext uri="{53640926-AAD7-44D8-BBD7-CCE9431645EC}">
                            <a14:shadowObscured xmlns:a14="http://schemas.microsoft.com/office/drawing/2010/main"/>
                          </a:ext>
                        </a:extLst>
                      </pic:spPr>
                    </pic:pic>
                  </a:graphicData>
                </a:graphic>
              </wp:inline>
            </w:drawing>
          </w:r>
        </w:p>
      </w:tc>
    </w:tr>
  </w:tbl>
  <w:p w14:paraId="0CEBFC89" w14:textId="77777777" w:rsidR="00120ECE" w:rsidRDefault="00120E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1B6C7D2C"/>
    <w:lvl w:ilvl="0">
      <w:start w:val="1"/>
      <w:numFmt w:val="decimal"/>
      <w:pStyle w:val="ListNumber2"/>
      <w:lvlText w:val="%1."/>
      <w:lvlJc w:val="left"/>
      <w:pPr>
        <w:tabs>
          <w:tab w:val="num" w:pos="643"/>
        </w:tabs>
        <w:ind w:left="643" w:hanging="360"/>
      </w:pPr>
    </w:lvl>
  </w:abstractNum>
  <w:abstractNum w:abstractNumId="1" w15:restartNumberingAfterBreak="0">
    <w:nsid w:val="FFFFFF83"/>
    <w:multiLevelType w:val="singleLevel"/>
    <w:tmpl w:val="F4C4B196"/>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017B082A"/>
    <w:multiLevelType w:val="hybridMultilevel"/>
    <w:tmpl w:val="BC9C22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4C0DAB"/>
    <w:multiLevelType w:val="hybridMultilevel"/>
    <w:tmpl w:val="8B608C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1360AC1"/>
    <w:multiLevelType w:val="hybridMultilevel"/>
    <w:tmpl w:val="9C8AC7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C121EF"/>
    <w:multiLevelType w:val="hybridMultilevel"/>
    <w:tmpl w:val="FF225C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70175F"/>
    <w:multiLevelType w:val="hybridMultilevel"/>
    <w:tmpl w:val="9E7EE3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D5A2D45"/>
    <w:multiLevelType w:val="hybridMultilevel"/>
    <w:tmpl w:val="365E305C"/>
    <w:lvl w:ilvl="0" w:tplc="40BE4A68">
      <w:start w:val="1"/>
      <w:numFmt w:val="decimal"/>
      <w:pStyle w:val="ListNumber"/>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5A46C3"/>
    <w:multiLevelType w:val="hybridMultilevel"/>
    <w:tmpl w:val="EAD0C7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913721A"/>
    <w:multiLevelType w:val="multilevel"/>
    <w:tmpl w:val="66100A6C"/>
    <w:lvl w:ilvl="0">
      <w:start w:val="1"/>
      <w:numFmt w:val="decimal"/>
      <w:pStyle w:val="Heading1"/>
      <w:lvlText w:val="%1."/>
      <w:lvlJc w:val="left"/>
      <w:pPr>
        <w:ind w:left="510" w:hanging="510"/>
      </w:pPr>
      <w:rPr>
        <w:rFonts w:hint="default"/>
      </w:rPr>
    </w:lvl>
    <w:lvl w:ilvl="1">
      <w:start w:val="1"/>
      <w:numFmt w:val="decimal"/>
      <w:pStyle w:val="Heading2"/>
      <w:lvlText w:val="%1.%2"/>
      <w:lvlJc w:val="left"/>
      <w:pPr>
        <w:ind w:left="510" w:hanging="510"/>
      </w:pPr>
      <w:rPr>
        <w:rFonts w:ascii="Calibri" w:hAnsi="Calibri" w:hint="default"/>
        <w:b/>
        <w:i w:val="0"/>
        <w:sz w:val="24"/>
      </w:rPr>
    </w:lvl>
    <w:lvl w:ilvl="2">
      <w:start w:val="1"/>
      <w:numFmt w:val="lowerRoman"/>
      <w:lvlText w:val="%3."/>
      <w:lvlJc w:val="right"/>
      <w:pPr>
        <w:ind w:left="510" w:hanging="510"/>
      </w:pPr>
      <w:rPr>
        <w:rFonts w:hint="default"/>
      </w:rPr>
    </w:lvl>
    <w:lvl w:ilvl="3">
      <w:start w:val="1"/>
      <w:numFmt w:val="decimal"/>
      <w:lvlText w:val="%4."/>
      <w:lvlJc w:val="left"/>
      <w:pPr>
        <w:ind w:left="510" w:hanging="510"/>
      </w:pPr>
      <w:rPr>
        <w:rFonts w:hint="default"/>
      </w:rPr>
    </w:lvl>
    <w:lvl w:ilvl="4">
      <w:start w:val="1"/>
      <w:numFmt w:val="lowerLetter"/>
      <w:lvlText w:val="%5."/>
      <w:lvlJc w:val="left"/>
      <w:pPr>
        <w:ind w:left="510" w:hanging="510"/>
      </w:pPr>
      <w:rPr>
        <w:rFonts w:hint="default"/>
      </w:rPr>
    </w:lvl>
    <w:lvl w:ilvl="5">
      <w:start w:val="1"/>
      <w:numFmt w:val="lowerRoman"/>
      <w:lvlText w:val="%6."/>
      <w:lvlJc w:val="right"/>
      <w:pPr>
        <w:ind w:left="510" w:hanging="510"/>
      </w:pPr>
      <w:rPr>
        <w:rFonts w:hint="default"/>
      </w:rPr>
    </w:lvl>
    <w:lvl w:ilvl="6">
      <w:start w:val="1"/>
      <w:numFmt w:val="decimal"/>
      <w:lvlText w:val="%7."/>
      <w:lvlJc w:val="left"/>
      <w:pPr>
        <w:ind w:left="510" w:hanging="510"/>
      </w:pPr>
      <w:rPr>
        <w:rFonts w:hint="default"/>
      </w:rPr>
    </w:lvl>
    <w:lvl w:ilvl="7">
      <w:start w:val="1"/>
      <w:numFmt w:val="lowerLetter"/>
      <w:lvlText w:val="%8."/>
      <w:lvlJc w:val="left"/>
      <w:pPr>
        <w:ind w:left="510" w:hanging="510"/>
      </w:pPr>
      <w:rPr>
        <w:rFonts w:hint="default"/>
      </w:rPr>
    </w:lvl>
    <w:lvl w:ilvl="8">
      <w:start w:val="1"/>
      <w:numFmt w:val="lowerRoman"/>
      <w:lvlText w:val="%9."/>
      <w:lvlJc w:val="right"/>
      <w:pPr>
        <w:ind w:left="510" w:hanging="510"/>
      </w:pPr>
      <w:rPr>
        <w:rFonts w:hint="default"/>
      </w:rPr>
    </w:lvl>
  </w:abstractNum>
  <w:abstractNum w:abstractNumId="10" w15:restartNumberingAfterBreak="0">
    <w:nsid w:val="292B1E75"/>
    <w:multiLevelType w:val="hybridMultilevel"/>
    <w:tmpl w:val="5210BE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C457D3B"/>
    <w:multiLevelType w:val="hybridMultilevel"/>
    <w:tmpl w:val="7F2074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1DC0A07"/>
    <w:multiLevelType w:val="hybridMultilevel"/>
    <w:tmpl w:val="A96044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2BE5CCF"/>
    <w:multiLevelType w:val="hybridMultilevel"/>
    <w:tmpl w:val="9ACAC7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AB0031"/>
    <w:multiLevelType w:val="hybridMultilevel"/>
    <w:tmpl w:val="045450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6AE7A4C"/>
    <w:multiLevelType w:val="hybridMultilevel"/>
    <w:tmpl w:val="F504606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3B29557C"/>
    <w:multiLevelType w:val="hybridMultilevel"/>
    <w:tmpl w:val="53BCD4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BE42CF8"/>
    <w:multiLevelType w:val="hybridMultilevel"/>
    <w:tmpl w:val="CDD4F2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3854E57"/>
    <w:multiLevelType w:val="hybridMultilevel"/>
    <w:tmpl w:val="2E6660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B7E424A"/>
    <w:multiLevelType w:val="hybridMultilevel"/>
    <w:tmpl w:val="A40E40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C225EC4"/>
    <w:multiLevelType w:val="hybridMultilevel"/>
    <w:tmpl w:val="38963B96"/>
    <w:lvl w:ilvl="0" w:tplc="CAF6FEB2">
      <w:start w:val="1"/>
      <w:numFmt w:val="decimal"/>
      <w:lvlText w:val="A%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3D95843"/>
    <w:multiLevelType w:val="hybridMultilevel"/>
    <w:tmpl w:val="A21CAF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6B169CC"/>
    <w:multiLevelType w:val="hybridMultilevel"/>
    <w:tmpl w:val="11FA2134"/>
    <w:lvl w:ilvl="0" w:tplc="08090001">
      <w:start w:val="1"/>
      <w:numFmt w:val="bullet"/>
      <w:lvlText w:val=""/>
      <w:lvlJc w:val="left"/>
      <w:pPr>
        <w:ind w:left="770" w:hanging="360"/>
      </w:pPr>
      <w:rPr>
        <w:rFonts w:ascii="Symbol" w:hAnsi="Symbol" w:cs="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cs="Wingdings" w:hint="default"/>
      </w:rPr>
    </w:lvl>
    <w:lvl w:ilvl="3" w:tplc="08090001" w:tentative="1">
      <w:start w:val="1"/>
      <w:numFmt w:val="bullet"/>
      <w:lvlText w:val=""/>
      <w:lvlJc w:val="left"/>
      <w:pPr>
        <w:ind w:left="2930" w:hanging="360"/>
      </w:pPr>
      <w:rPr>
        <w:rFonts w:ascii="Symbol" w:hAnsi="Symbol" w:cs="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cs="Wingdings" w:hint="default"/>
      </w:rPr>
    </w:lvl>
    <w:lvl w:ilvl="6" w:tplc="08090001" w:tentative="1">
      <w:start w:val="1"/>
      <w:numFmt w:val="bullet"/>
      <w:lvlText w:val=""/>
      <w:lvlJc w:val="left"/>
      <w:pPr>
        <w:ind w:left="5090" w:hanging="360"/>
      </w:pPr>
      <w:rPr>
        <w:rFonts w:ascii="Symbol" w:hAnsi="Symbol" w:cs="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cs="Wingdings" w:hint="default"/>
      </w:rPr>
    </w:lvl>
  </w:abstractNum>
  <w:abstractNum w:abstractNumId="23" w15:restartNumberingAfterBreak="0">
    <w:nsid w:val="6F641A06"/>
    <w:multiLevelType w:val="hybridMultilevel"/>
    <w:tmpl w:val="369C6C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5797BE9"/>
    <w:multiLevelType w:val="hybridMultilevel"/>
    <w:tmpl w:val="D86A1D08"/>
    <w:lvl w:ilvl="0" w:tplc="1EE0C590">
      <w:start w:val="1"/>
      <w:numFmt w:val="bullet"/>
      <w:lvlText w:val="•"/>
      <w:lvlJc w:val="left"/>
      <w:pPr>
        <w:tabs>
          <w:tab w:val="num" w:pos="720"/>
        </w:tabs>
        <w:ind w:left="720" w:hanging="360"/>
      </w:pPr>
      <w:rPr>
        <w:rFonts w:ascii="Arial" w:hAnsi="Arial" w:hint="default"/>
      </w:rPr>
    </w:lvl>
    <w:lvl w:ilvl="1" w:tplc="A2C006EA" w:tentative="1">
      <w:start w:val="1"/>
      <w:numFmt w:val="bullet"/>
      <w:lvlText w:val="•"/>
      <w:lvlJc w:val="left"/>
      <w:pPr>
        <w:tabs>
          <w:tab w:val="num" w:pos="1440"/>
        </w:tabs>
        <w:ind w:left="1440" w:hanging="360"/>
      </w:pPr>
      <w:rPr>
        <w:rFonts w:ascii="Arial" w:hAnsi="Arial" w:hint="default"/>
      </w:rPr>
    </w:lvl>
    <w:lvl w:ilvl="2" w:tplc="97506B96" w:tentative="1">
      <w:start w:val="1"/>
      <w:numFmt w:val="bullet"/>
      <w:lvlText w:val="•"/>
      <w:lvlJc w:val="left"/>
      <w:pPr>
        <w:tabs>
          <w:tab w:val="num" w:pos="2160"/>
        </w:tabs>
        <w:ind w:left="2160" w:hanging="360"/>
      </w:pPr>
      <w:rPr>
        <w:rFonts w:ascii="Arial" w:hAnsi="Arial" w:hint="default"/>
      </w:rPr>
    </w:lvl>
    <w:lvl w:ilvl="3" w:tplc="D116C09A" w:tentative="1">
      <w:start w:val="1"/>
      <w:numFmt w:val="bullet"/>
      <w:lvlText w:val="•"/>
      <w:lvlJc w:val="left"/>
      <w:pPr>
        <w:tabs>
          <w:tab w:val="num" w:pos="2880"/>
        </w:tabs>
        <w:ind w:left="2880" w:hanging="360"/>
      </w:pPr>
      <w:rPr>
        <w:rFonts w:ascii="Arial" w:hAnsi="Arial" w:hint="default"/>
      </w:rPr>
    </w:lvl>
    <w:lvl w:ilvl="4" w:tplc="6ABE9148" w:tentative="1">
      <w:start w:val="1"/>
      <w:numFmt w:val="bullet"/>
      <w:lvlText w:val="•"/>
      <w:lvlJc w:val="left"/>
      <w:pPr>
        <w:tabs>
          <w:tab w:val="num" w:pos="3600"/>
        </w:tabs>
        <w:ind w:left="3600" w:hanging="360"/>
      </w:pPr>
      <w:rPr>
        <w:rFonts w:ascii="Arial" w:hAnsi="Arial" w:hint="default"/>
      </w:rPr>
    </w:lvl>
    <w:lvl w:ilvl="5" w:tplc="FE3E1C36" w:tentative="1">
      <w:start w:val="1"/>
      <w:numFmt w:val="bullet"/>
      <w:lvlText w:val="•"/>
      <w:lvlJc w:val="left"/>
      <w:pPr>
        <w:tabs>
          <w:tab w:val="num" w:pos="4320"/>
        </w:tabs>
        <w:ind w:left="4320" w:hanging="360"/>
      </w:pPr>
      <w:rPr>
        <w:rFonts w:ascii="Arial" w:hAnsi="Arial" w:hint="default"/>
      </w:rPr>
    </w:lvl>
    <w:lvl w:ilvl="6" w:tplc="C7F80736" w:tentative="1">
      <w:start w:val="1"/>
      <w:numFmt w:val="bullet"/>
      <w:lvlText w:val="•"/>
      <w:lvlJc w:val="left"/>
      <w:pPr>
        <w:tabs>
          <w:tab w:val="num" w:pos="5040"/>
        </w:tabs>
        <w:ind w:left="5040" w:hanging="360"/>
      </w:pPr>
      <w:rPr>
        <w:rFonts w:ascii="Arial" w:hAnsi="Arial" w:hint="default"/>
      </w:rPr>
    </w:lvl>
    <w:lvl w:ilvl="7" w:tplc="FD10DCEE" w:tentative="1">
      <w:start w:val="1"/>
      <w:numFmt w:val="bullet"/>
      <w:lvlText w:val="•"/>
      <w:lvlJc w:val="left"/>
      <w:pPr>
        <w:tabs>
          <w:tab w:val="num" w:pos="5760"/>
        </w:tabs>
        <w:ind w:left="5760" w:hanging="360"/>
      </w:pPr>
      <w:rPr>
        <w:rFonts w:ascii="Arial" w:hAnsi="Arial" w:hint="default"/>
      </w:rPr>
    </w:lvl>
    <w:lvl w:ilvl="8" w:tplc="43AC8CC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B413CB5"/>
    <w:multiLevelType w:val="hybridMultilevel"/>
    <w:tmpl w:val="65166B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21"/>
  </w:num>
  <w:num w:numId="3">
    <w:abstractNumId w:val="6"/>
  </w:num>
  <w:num w:numId="4">
    <w:abstractNumId w:val="13"/>
  </w:num>
  <w:num w:numId="5">
    <w:abstractNumId w:val="3"/>
  </w:num>
  <w:num w:numId="6">
    <w:abstractNumId w:val="1"/>
  </w:num>
  <w:num w:numId="7">
    <w:abstractNumId w:val="7"/>
  </w:num>
  <w:num w:numId="8">
    <w:abstractNumId w:val="24"/>
  </w:num>
  <w:num w:numId="9">
    <w:abstractNumId w:val="17"/>
  </w:num>
  <w:num w:numId="10">
    <w:abstractNumId w:val="19"/>
  </w:num>
  <w:num w:numId="11">
    <w:abstractNumId w:val="23"/>
  </w:num>
  <w:num w:numId="12">
    <w:abstractNumId w:val="5"/>
  </w:num>
  <w:num w:numId="13">
    <w:abstractNumId w:val="16"/>
  </w:num>
  <w:num w:numId="14">
    <w:abstractNumId w:val="2"/>
  </w:num>
  <w:num w:numId="15">
    <w:abstractNumId w:val="10"/>
  </w:num>
  <w:num w:numId="16">
    <w:abstractNumId w:val="25"/>
  </w:num>
  <w:num w:numId="17">
    <w:abstractNumId w:val="18"/>
  </w:num>
  <w:num w:numId="18">
    <w:abstractNumId w:val="4"/>
  </w:num>
  <w:num w:numId="19">
    <w:abstractNumId w:val="11"/>
  </w:num>
  <w:num w:numId="20">
    <w:abstractNumId w:val="20"/>
  </w:num>
  <w:num w:numId="21">
    <w:abstractNumId w:val="8"/>
  </w:num>
  <w:num w:numId="22">
    <w:abstractNumId w:val="14"/>
  </w:num>
  <w:num w:numId="23">
    <w:abstractNumId w:val="22"/>
  </w:num>
  <w:num w:numId="24">
    <w:abstractNumId w:val="15"/>
  </w:num>
  <w:num w:numId="25">
    <w:abstractNumId w:val="0"/>
  </w:num>
  <w:num w:numId="26">
    <w:abstractNumId w:val="9"/>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5FCE"/>
    <w:rsid w:val="00001391"/>
    <w:rsid w:val="00001E31"/>
    <w:rsid w:val="0000358E"/>
    <w:rsid w:val="000073F7"/>
    <w:rsid w:val="00014FF6"/>
    <w:rsid w:val="00020BD0"/>
    <w:rsid w:val="000236F9"/>
    <w:rsid w:val="00027B27"/>
    <w:rsid w:val="00027E08"/>
    <w:rsid w:val="0004170A"/>
    <w:rsid w:val="00052735"/>
    <w:rsid w:val="00052947"/>
    <w:rsid w:val="00054FAC"/>
    <w:rsid w:val="000731C0"/>
    <w:rsid w:val="000746AE"/>
    <w:rsid w:val="000764B3"/>
    <w:rsid w:val="00082681"/>
    <w:rsid w:val="00085028"/>
    <w:rsid w:val="00092E8B"/>
    <w:rsid w:val="000966BC"/>
    <w:rsid w:val="000A1FA6"/>
    <w:rsid w:val="000A4653"/>
    <w:rsid w:val="000A5C8E"/>
    <w:rsid w:val="000B0125"/>
    <w:rsid w:val="000B1381"/>
    <w:rsid w:val="000B1DD8"/>
    <w:rsid w:val="000C0AF3"/>
    <w:rsid w:val="000E5D15"/>
    <w:rsid w:val="000F2B84"/>
    <w:rsid w:val="000F34E3"/>
    <w:rsid w:val="000F5D6C"/>
    <w:rsid w:val="000F73EC"/>
    <w:rsid w:val="00101E2B"/>
    <w:rsid w:val="0011098E"/>
    <w:rsid w:val="001128E3"/>
    <w:rsid w:val="00115FCE"/>
    <w:rsid w:val="00120ECE"/>
    <w:rsid w:val="00122BF6"/>
    <w:rsid w:val="00122EF2"/>
    <w:rsid w:val="00130506"/>
    <w:rsid w:val="001415B1"/>
    <w:rsid w:val="001417B2"/>
    <w:rsid w:val="00147608"/>
    <w:rsid w:val="0015148F"/>
    <w:rsid w:val="0015226F"/>
    <w:rsid w:val="0015540F"/>
    <w:rsid w:val="001558E8"/>
    <w:rsid w:val="00160E36"/>
    <w:rsid w:val="00174CDE"/>
    <w:rsid w:val="00186F86"/>
    <w:rsid w:val="00191094"/>
    <w:rsid w:val="00191825"/>
    <w:rsid w:val="00193811"/>
    <w:rsid w:val="001A296C"/>
    <w:rsid w:val="001A3190"/>
    <w:rsid w:val="001C27AB"/>
    <w:rsid w:val="001C482D"/>
    <w:rsid w:val="001D3B17"/>
    <w:rsid w:val="001D3CBA"/>
    <w:rsid w:val="001D6DD6"/>
    <w:rsid w:val="001D75F9"/>
    <w:rsid w:val="001E4020"/>
    <w:rsid w:val="001E4AF8"/>
    <w:rsid w:val="001E5A09"/>
    <w:rsid w:val="001E7D16"/>
    <w:rsid w:val="001F1015"/>
    <w:rsid w:val="001F5329"/>
    <w:rsid w:val="00202F23"/>
    <w:rsid w:val="002074EE"/>
    <w:rsid w:val="00214F8E"/>
    <w:rsid w:val="00216ABD"/>
    <w:rsid w:val="00224017"/>
    <w:rsid w:val="00224A4F"/>
    <w:rsid w:val="00233817"/>
    <w:rsid w:val="0023483A"/>
    <w:rsid w:val="002434D2"/>
    <w:rsid w:val="00243E2D"/>
    <w:rsid w:val="00244648"/>
    <w:rsid w:val="00250987"/>
    <w:rsid w:val="00262A58"/>
    <w:rsid w:val="00264CC0"/>
    <w:rsid w:val="00265C71"/>
    <w:rsid w:val="002820F3"/>
    <w:rsid w:val="00285C67"/>
    <w:rsid w:val="002925B2"/>
    <w:rsid w:val="00297145"/>
    <w:rsid w:val="002A4CF1"/>
    <w:rsid w:val="002A5012"/>
    <w:rsid w:val="002A63ED"/>
    <w:rsid w:val="002B0964"/>
    <w:rsid w:val="002B1E79"/>
    <w:rsid w:val="002B2EBF"/>
    <w:rsid w:val="002B4882"/>
    <w:rsid w:val="002B6689"/>
    <w:rsid w:val="002C304E"/>
    <w:rsid w:val="002C4C65"/>
    <w:rsid w:val="002D13FD"/>
    <w:rsid w:val="002D2B30"/>
    <w:rsid w:val="002D39B6"/>
    <w:rsid w:val="002D5D07"/>
    <w:rsid w:val="002D752A"/>
    <w:rsid w:val="002E4B30"/>
    <w:rsid w:val="002E75F2"/>
    <w:rsid w:val="002F0231"/>
    <w:rsid w:val="002F2C31"/>
    <w:rsid w:val="00305363"/>
    <w:rsid w:val="003061D8"/>
    <w:rsid w:val="003103C0"/>
    <w:rsid w:val="00310600"/>
    <w:rsid w:val="0032062B"/>
    <w:rsid w:val="00321AE9"/>
    <w:rsid w:val="003231B0"/>
    <w:rsid w:val="0032344F"/>
    <w:rsid w:val="003248C6"/>
    <w:rsid w:val="003331B9"/>
    <w:rsid w:val="00334D1F"/>
    <w:rsid w:val="003411D1"/>
    <w:rsid w:val="0034198F"/>
    <w:rsid w:val="003461C2"/>
    <w:rsid w:val="003502B7"/>
    <w:rsid w:val="00355AEC"/>
    <w:rsid w:val="003564A7"/>
    <w:rsid w:val="00356E0F"/>
    <w:rsid w:val="00361DC7"/>
    <w:rsid w:val="00363AF4"/>
    <w:rsid w:val="00365438"/>
    <w:rsid w:val="003712F9"/>
    <w:rsid w:val="00382333"/>
    <w:rsid w:val="00387347"/>
    <w:rsid w:val="0039274C"/>
    <w:rsid w:val="003A2F4C"/>
    <w:rsid w:val="003B02A6"/>
    <w:rsid w:val="003B181B"/>
    <w:rsid w:val="003B3CA1"/>
    <w:rsid w:val="003B5DA0"/>
    <w:rsid w:val="003C1127"/>
    <w:rsid w:val="003C1B19"/>
    <w:rsid w:val="003C4F62"/>
    <w:rsid w:val="003C5F06"/>
    <w:rsid w:val="003D2D4D"/>
    <w:rsid w:val="003D4D9C"/>
    <w:rsid w:val="003D65D6"/>
    <w:rsid w:val="003D6D16"/>
    <w:rsid w:val="003E2FB9"/>
    <w:rsid w:val="003F3516"/>
    <w:rsid w:val="003F6299"/>
    <w:rsid w:val="003F7159"/>
    <w:rsid w:val="00401CF2"/>
    <w:rsid w:val="004111DC"/>
    <w:rsid w:val="004223C7"/>
    <w:rsid w:val="00422C41"/>
    <w:rsid w:val="0042532E"/>
    <w:rsid w:val="00426961"/>
    <w:rsid w:val="004300F5"/>
    <w:rsid w:val="00430BA4"/>
    <w:rsid w:val="00432007"/>
    <w:rsid w:val="0043282E"/>
    <w:rsid w:val="00435487"/>
    <w:rsid w:val="00437509"/>
    <w:rsid w:val="00444697"/>
    <w:rsid w:val="00445CBE"/>
    <w:rsid w:val="0044709D"/>
    <w:rsid w:val="00454DAA"/>
    <w:rsid w:val="0045693B"/>
    <w:rsid w:val="00456FE5"/>
    <w:rsid w:val="00460735"/>
    <w:rsid w:val="004653FC"/>
    <w:rsid w:val="004736A5"/>
    <w:rsid w:val="004768F5"/>
    <w:rsid w:val="00481519"/>
    <w:rsid w:val="00484628"/>
    <w:rsid w:val="004866D7"/>
    <w:rsid w:val="00492964"/>
    <w:rsid w:val="004A2466"/>
    <w:rsid w:val="004A5437"/>
    <w:rsid w:val="004B0373"/>
    <w:rsid w:val="004B78D1"/>
    <w:rsid w:val="004B7FA3"/>
    <w:rsid w:val="004C07F2"/>
    <w:rsid w:val="004C217D"/>
    <w:rsid w:val="004C3988"/>
    <w:rsid w:val="004C5FFC"/>
    <w:rsid w:val="004C7AC7"/>
    <w:rsid w:val="004D3F4B"/>
    <w:rsid w:val="004D7808"/>
    <w:rsid w:val="004F3EFE"/>
    <w:rsid w:val="004F40E7"/>
    <w:rsid w:val="004F6B02"/>
    <w:rsid w:val="004F762A"/>
    <w:rsid w:val="0050137B"/>
    <w:rsid w:val="0051316B"/>
    <w:rsid w:val="00514076"/>
    <w:rsid w:val="00514A69"/>
    <w:rsid w:val="00515860"/>
    <w:rsid w:val="00517D78"/>
    <w:rsid w:val="0053365D"/>
    <w:rsid w:val="00540233"/>
    <w:rsid w:val="00541F39"/>
    <w:rsid w:val="0054234D"/>
    <w:rsid w:val="00546404"/>
    <w:rsid w:val="005547BB"/>
    <w:rsid w:val="0056325B"/>
    <w:rsid w:val="005632CC"/>
    <w:rsid w:val="005708A3"/>
    <w:rsid w:val="005711DF"/>
    <w:rsid w:val="00571679"/>
    <w:rsid w:val="005802AA"/>
    <w:rsid w:val="005824D2"/>
    <w:rsid w:val="00593860"/>
    <w:rsid w:val="00595E32"/>
    <w:rsid w:val="005A3619"/>
    <w:rsid w:val="005A3C85"/>
    <w:rsid w:val="005D2EDE"/>
    <w:rsid w:val="005E0EE0"/>
    <w:rsid w:val="005E2CFE"/>
    <w:rsid w:val="005E43E0"/>
    <w:rsid w:val="005F2691"/>
    <w:rsid w:val="005F4F44"/>
    <w:rsid w:val="005F69C7"/>
    <w:rsid w:val="005F72E7"/>
    <w:rsid w:val="006001C6"/>
    <w:rsid w:val="0060239D"/>
    <w:rsid w:val="006024DE"/>
    <w:rsid w:val="00614302"/>
    <w:rsid w:val="006200DD"/>
    <w:rsid w:val="0062015A"/>
    <w:rsid w:val="006210B3"/>
    <w:rsid w:val="0063003D"/>
    <w:rsid w:val="00631912"/>
    <w:rsid w:val="006323C7"/>
    <w:rsid w:val="006339B6"/>
    <w:rsid w:val="00640771"/>
    <w:rsid w:val="00641C5F"/>
    <w:rsid w:val="006607D6"/>
    <w:rsid w:val="00663A41"/>
    <w:rsid w:val="00663C66"/>
    <w:rsid w:val="006657D8"/>
    <w:rsid w:val="00671D11"/>
    <w:rsid w:val="00674425"/>
    <w:rsid w:val="00681B6F"/>
    <w:rsid w:val="0068403D"/>
    <w:rsid w:val="00684571"/>
    <w:rsid w:val="00685C27"/>
    <w:rsid w:val="006874B4"/>
    <w:rsid w:val="00692691"/>
    <w:rsid w:val="0069768A"/>
    <w:rsid w:val="006A0A2A"/>
    <w:rsid w:val="006B03E9"/>
    <w:rsid w:val="006B15F8"/>
    <w:rsid w:val="006B2598"/>
    <w:rsid w:val="006B5B86"/>
    <w:rsid w:val="006C023E"/>
    <w:rsid w:val="006C0939"/>
    <w:rsid w:val="006D025D"/>
    <w:rsid w:val="006E2577"/>
    <w:rsid w:val="006E5014"/>
    <w:rsid w:val="006E6D2A"/>
    <w:rsid w:val="006E7369"/>
    <w:rsid w:val="006F0D11"/>
    <w:rsid w:val="006F5A0C"/>
    <w:rsid w:val="00703C10"/>
    <w:rsid w:val="007049BF"/>
    <w:rsid w:val="00705CFB"/>
    <w:rsid w:val="0071452F"/>
    <w:rsid w:val="00715A64"/>
    <w:rsid w:val="0072392A"/>
    <w:rsid w:val="00723F36"/>
    <w:rsid w:val="00725D7F"/>
    <w:rsid w:val="00730B50"/>
    <w:rsid w:val="00732A19"/>
    <w:rsid w:val="00733231"/>
    <w:rsid w:val="00741D1A"/>
    <w:rsid w:val="007577B9"/>
    <w:rsid w:val="00757D52"/>
    <w:rsid w:val="0076147C"/>
    <w:rsid w:val="00762236"/>
    <w:rsid w:val="007770C2"/>
    <w:rsid w:val="007801F9"/>
    <w:rsid w:val="00780EB4"/>
    <w:rsid w:val="007971D4"/>
    <w:rsid w:val="007A03D9"/>
    <w:rsid w:val="007A2EC3"/>
    <w:rsid w:val="007B2559"/>
    <w:rsid w:val="007B25D8"/>
    <w:rsid w:val="007B6086"/>
    <w:rsid w:val="007C038F"/>
    <w:rsid w:val="007C13C6"/>
    <w:rsid w:val="007C2931"/>
    <w:rsid w:val="007C7F1F"/>
    <w:rsid w:val="007D1947"/>
    <w:rsid w:val="007D3049"/>
    <w:rsid w:val="007D5605"/>
    <w:rsid w:val="007D6C25"/>
    <w:rsid w:val="007E1199"/>
    <w:rsid w:val="007E339E"/>
    <w:rsid w:val="007E3796"/>
    <w:rsid w:val="007F2B68"/>
    <w:rsid w:val="007F2BB2"/>
    <w:rsid w:val="0080013E"/>
    <w:rsid w:val="00802F7A"/>
    <w:rsid w:val="00803CC0"/>
    <w:rsid w:val="00805629"/>
    <w:rsid w:val="008062CA"/>
    <w:rsid w:val="00812FE0"/>
    <w:rsid w:val="00852BEF"/>
    <w:rsid w:val="00854FAE"/>
    <w:rsid w:val="0086221B"/>
    <w:rsid w:val="00863CEF"/>
    <w:rsid w:val="008717D5"/>
    <w:rsid w:val="00871844"/>
    <w:rsid w:val="008729F5"/>
    <w:rsid w:val="00872A4F"/>
    <w:rsid w:val="00874B4C"/>
    <w:rsid w:val="00880225"/>
    <w:rsid w:val="00882BCA"/>
    <w:rsid w:val="00884DAF"/>
    <w:rsid w:val="008878A1"/>
    <w:rsid w:val="008A78EE"/>
    <w:rsid w:val="008B3B92"/>
    <w:rsid w:val="008B48FC"/>
    <w:rsid w:val="008B4FDF"/>
    <w:rsid w:val="008B7C8A"/>
    <w:rsid w:val="008D45D0"/>
    <w:rsid w:val="008D582C"/>
    <w:rsid w:val="008D5B18"/>
    <w:rsid w:val="008D7E3A"/>
    <w:rsid w:val="008E57E9"/>
    <w:rsid w:val="008E77D3"/>
    <w:rsid w:val="008F1C27"/>
    <w:rsid w:val="008F47CA"/>
    <w:rsid w:val="008F5077"/>
    <w:rsid w:val="009006A8"/>
    <w:rsid w:val="00903904"/>
    <w:rsid w:val="00906E34"/>
    <w:rsid w:val="00913F43"/>
    <w:rsid w:val="009142E4"/>
    <w:rsid w:val="00916840"/>
    <w:rsid w:val="009234A0"/>
    <w:rsid w:val="009301E5"/>
    <w:rsid w:val="009316AA"/>
    <w:rsid w:val="0093244A"/>
    <w:rsid w:val="00935C0A"/>
    <w:rsid w:val="00937DC9"/>
    <w:rsid w:val="00941CFC"/>
    <w:rsid w:val="00942A13"/>
    <w:rsid w:val="00947763"/>
    <w:rsid w:val="00951D6D"/>
    <w:rsid w:val="009574C7"/>
    <w:rsid w:val="0095779B"/>
    <w:rsid w:val="00957973"/>
    <w:rsid w:val="00962969"/>
    <w:rsid w:val="009653AF"/>
    <w:rsid w:val="00973AE1"/>
    <w:rsid w:val="00976086"/>
    <w:rsid w:val="00981DB8"/>
    <w:rsid w:val="00982876"/>
    <w:rsid w:val="00991BBB"/>
    <w:rsid w:val="0099233D"/>
    <w:rsid w:val="00993EA4"/>
    <w:rsid w:val="00995088"/>
    <w:rsid w:val="009B4D74"/>
    <w:rsid w:val="009B6AC2"/>
    <w:rsid w:val="009B6D57"/>
    <w:rsid w:val="009C2AFA"/>
    <w:rsid w:val="009C4401"/>
    <w:rsid w:val="009C78AA"/>
    <w:rsid w:val="009D4F6A"/>
    <w:rsid w:val="009D5A30"/>
    <w:rsid w:val="009E200D"/>
    <w:rsid w:val="009E645C"/>
    <w:rsid w:val="009E6A3B"/>
    <w:rsid w:val="009F630C"/>
    <w:rsid w:val="009F6A68"/>
    <w:rsid w:val="009F6AA3"/>
    <w:rsid w:val="009F7829"/>
    <w:rsid w:val="00A03720"/>
    <w:rsid w:val="00A05201"/>
    <w:rsid w:val="00A074C6"/>
    <w:rsid w:val="00A076D7"/>
    <w:rsid w:val="00A12E7A"/>
    <w:rsid w:val="00A17A8B"/>
    <w:rsid w:val="00A32D1F"/>
    <w:rsid w:val="00A345E5"/>
    <w:rsid w:val="00A36A10"/>
    <w:rsid w:val="00A46E95"/>
    <w:rsid w:val="00A51FBC"/>
    <w:rsid w:val="00A52D2F"/>
    <w:rsid w:val="00A54F38"/>
    <w:rsid w:val="00A57E01"/>
    <w:rsid w:val="00A66388"/>
    <w:rsid w:val="00A7158B"/>
    <w:rsid w:val="00A73927"/>
    <w:rsid w:val="00A745E1"/>
    <w:rsid w:val="00A827A1"/>
    <w:rsid w:val="00A86638"/>
    <w:rsid w:val="00A91E12"/>
    <w:rsid w:val="00A92BEE"/>
    <w:rsid w:val="00AA0FA1"/>
    <w:rsid w:val="00AB218D"/>
    <w:rsid w:val="00AB24D6"/>
    <w:rsid w:val="00AB6E19"/>
    <w:rsid w:val="00AC2D4B"/>
    <w:rsid w:val="00AC66A4"/>
    <w:rsid w:val="00AD2209"/>
    <w:rsid w:val="00AD2B3A"/>
    <w:rsid w:val="00AD6BE9"/>
    <w:rsid w:val="00AD7393"/>
    <w:rsid w:val="00AE00F1"/>
    <w:rsid w:val="00AE3121"/>
    <w:rsid w:val="00AE669E"/>
    <w:rsid w:val="00AF0004"/>
    <w:rsid w:val="00AF6470"/>
    <w:rsid w:val="00B05F0C"/>
    <w:rsid w:val="00B11621"/>
    <w:rsid w:val="00B14524"/>
    <w:rsid w:val="00B14754"/>
    <w:rsid w:val="00B16D90"/>
    <w:rsid w:val="00B205F1"/>
    <w:rsid w:val="00B24D4B"/>
    <w:rsid w:val="00B30B18"/>
    <w:rsid w:val="00B34486"/>
    <w:rsid w:val="00B42221"/>
    <w:rsid w:val="00B44E5C"/>
    <w:rsid w:val="00B5067C"/>
    <w:rsid w:val="00B57CDE"/>
    <w:rsid w:val="00B63998"/>
    <w:rsid w:val="00B664EB"/>
    <w:rsid w:val="00B66EBB"/>
    <w:rsid w:val="00B82B0D"/>
    <w:rsid w:val="00B856C6"/>
    <w:rsid w:val="00B95E8A"/>
    <w:rsid w:val="00BA1CC2"/>
    <w:rsid w:val="00BB10EA"/>
    <w:rsid w:val="00BB1DA9"/>
    <w:rsid w:val="00BB7DD5"/>
    <w:rsid w:val="00BC067A"/>
    <w:rsid w:val="00BC2554"/>
    <w:rsid w:val="00BC3509"/>
    <w:rsid w:val="00BD537E"/>
    <w:rsid w:val="00BE1336"/>
    <w:rsid w:val="00BE5E2A"/>
    <w:rsid w:val="00BE72E6"/>
    <w:rsid w:val="00BF3350"/>
    <w:rsid w:val="00BF38C8"/>
    <w:rsid w:val="00C01A12"/>
    <w:rsid w:val="00C06DE3"/>
    <w:rsid w:val="00C117FD"/>
    <w:rsid w:val="00C12C54"/>
    <w:rsid w:val="00C172D6"/>
    <w:rsid w:val="00C22749"/>
    <w:rsid w:val="00C22F76"/>
    <w:rsid w:val="00C32E70"/>
    <w:rsid w:val="00C331CE"/>
    <w:rsid w:val="00C4099A"/>
    <w:rsid w:val="00C5451D"/>
    <w:rsid w:val="00C55973"/>
    <w:rsid w:val="00C60E78"/>
    <w:rsid w:val="00C61E12"/>
    <w:rsid w:val="00C62BA7"/>
    <w:rsid w:val="00C63513"/>
    <w:rsid w:val="00C63986"/>
    <w:rsid w:val="00C65028"/>
    <w:rsid w:val="00C67EA7"/>
    <w:rsid w:val="00C72852"/>
    <w:rsid w:val="00C9016E"/>
    <w:rsid w:val="00C912D9"/>
    <w:rsid w:val="00C9245E"/>
    <w:rsid w:val="00C92E3C"/>
    <w:rsid w:val="00C92E46"/>
    <w:rsid w:val="00C9632A"/>
    <w:rsid w:val="00CA11BE"/>
    <w:rsid w:val="00CA27C7"/>
    <w:rsid w:val="00CA7063"/>
    <w:rsid w:val="00CB0AF1"/>
    <w:rsid w:val="00CB7278"/>
    <w:rsid w:val="00CC2CCB"/>
    <w:rsid w:val="00CC5099"/>
    <w:rsid w:val="00CD4990"/>
    <w:rsid w:val="00CD6AFF"/>
    <w:rsid w:val="00D010F8"/>
    <w:rsid w:val="00D2047A"/>
    <w:rsid w:val="00D33F9A"/>
    <w:rsid w:val="00D557ED"/>
    <w:rsid w:val="00D630EB"/>
    <w:rsid w:val="00D72A47"/>
    <w:rsid w:val="00D74FE8"/>
    <w:rsid w:val="00D759E1"/>
    <w:rsid w:val="00D75C84"/>
    <w:rsid w:val="00D75F04"/>
    <w:rsid w:val="00D82627"/>
    <w:rsid w:val="00D91C2F"/>
    <w:rsid w:val="00D93267"/>
    <w:rsid w:val="00D96C3A"/>
    <w:rsid w:val="00DA2E6F"/>
    <w:rsid w:val="00DB5FB3"/>
    <w:rsid w:val="00DB7254"/>
    <w:rsid w:val="00DC007F"/>
    <w:rsid w:val="00DC44D8"/>
    <w:rsid w:val="00DC6FDA"/>
    <w:rsid w:val="00DD4C09"/>
    <w:rsid w:val="00DD56E8"/>
    <w:rsid w:val="00DE1E23"/>
    <w:rsid w:val="00DE77FB"/>
    <w:rsid w:val="00DF1426"/>
    <w:rsid w:val="00DF20F5"/>
    <w:rsid w:val="00DF74C6"/>
    <w:rsid w:val="00DF77C2"/>
    <w:rsid w:val="00E14223"/>
    <w:rsid w:val="00E152EB"/>
    <w:rsid w:val="00E15E1A"/>
    <w:rsid w:val="00E325A0"/>
    <w:rsid w:val="00E3292E"/>
    <w:rsid w:val="00E333A1"/>
    <w:rsid w:val="00E4292D"/>
    <w:rsid w:val="00E51213"/>
    <w:rsid w:val="00E6095A"/>
    <w:rsid w:val="00E64F88"/>
    <w:rsid w:val="00E72D43"/>
    <w:rsid w:val="00E772FD"/>
    <w:rsid w:val="00E86758"/>
    <w:rsid w:val="00E90165"/>
    <w:rsid w:val="00E91417"/>
    <w:rsid w:val="00E959AB"/>
    <w:rsid w:val="00EA218A"/>
    <w:rsid w:val="00EA2C76"/>
    <w:rsid w:val="00EA2E11"/>
    <w:rsid w:val="00EA6C9B"/>
    <w:rsid w:val="00EB33F6"/>
    <w:rsid w:val="00EC0E0D"/>
    <w:rsid w:val="00EC4D87"/>
    <w:rsid w:val="00ED0879"/>
    <w:rsid w:val="00ED1839"/>
    <w:rsid w:val="00ED28E4"/>
    <w:rsid w:val="00ED5404"/>
    <w:rsid w:val="00ED6439"/>
    <w:rsid w:val="00ED6DE8"/>
    <w:rsid w:val="00EE2F5E"/>
    <w:rsid w:val="00EE5E78"/>
    <w:rsid w:val="00EF16A1"/>
    <w:rsid w:val="00EF22F8"/>
    <w:rsid w:val="00F03EFC"/>
    <w:rsid w:val="00F0617E"/>
    <w:rsid w:val="00F17FB7"/>
    <w:rsid w:val="00F2143E"/>
    <w:rsid w:val="00F24531"/>
    <w:rsid w:val="00F274D5"/>
    <w:rsid w:val="00F30AE9"/>
    <w:rsid w:val="00F32914"/>
    <w:rsid w:val="00F3720E"/>
    <w:rsid w:val="00F428A5"/>
    <w:rsid w:val="00F45FFB"/>
    <w:rsid w:val="00F474BF"/>
    <w:rsid w:val="00F636D0"/>
    <w:rsid w:val="00F63C1D"/>
    <w:rsid w:val="00F70C1D"/>
    <w:rsid w:val="00F7578F"/>
    <w:rsid w:val="00F7740A"/>
    <w:rsid w:val="00F81ED6"/>
    <w:rsid w:val="00F81FFE"/>
    <w:rsid w:val="00F830DA"/>
    <w:rsid w:val="00F854B7"/>
    <w:rsid w:val="00F86D39"/>
    <w:rsid w:val="00F91D90"/>
    <w:rsid w:val="00F93CC1"/>
    <w:rsid w:val="00F9462F"/>
    <w:rsid w:val="00F94DBE"/>
    <w:rsid w:val="00F954A8"/>
    <w:rsid w:val="00F97279"/>
    <w:rsid w:val="00F9744F"/>
    <w:rsid w:val="00FA15B1"/>
    <w:rsid w:val="00FA1BFB"/>
    <w:rsid w:val="00FA5539"/>
    <w:rsid w:val="00FB21D8"/>
    <w:rsid w:val="00FB3393"/>
    <w:rsid w:val="00FB450F"/>
    <w:rsid w:val="00FB5542"/>
    <w:rsid w:val="00FB5FD4"/>
    <w:rsid w:val="00FB78A1"/>
    <w:rsid w:val="00FC24AE"/>
    <w:rsid w:val="00FC3665"/>
    <w:rsid w:val="00FC5296"/>
    <w:rsid w:val="00FE0758"/>
    <w:rsid w:val="00FE3EAB"/>
    <w:rsid w:val="00FE6444"/>
    <w:rsid w:val="00FE7188"/>
    <w:rsid w:val="00FF3E4A"/>
    <w:rsid w:val="00FF6CD4"/>
    <w:rsid w:val="00FF6F7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9B1713"/>
  <w15:chartTrackingRefBased/>
  <w15:docId w15:val="{F6F144D5-1FEF-4D78-A3B1-BADF4688B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0239D"/>
    <w:pPr>
      <w:keepNext/>
      <w:keepLines/>
      <w:numPr>
        <w:numId w:val="26"/>
      </w:numPr>
      <w:spacing w:before="120" w:after="120" w:line="240" w:lineRule="auto"/>
      <w:outlineLvl w:val="0"/>
    </w:pPr>
    <w:rPr>
      <w:rFonts w:eastAsiaTheme="majorEastAsia" w:cstheme="majorBidi"/>
      <w:b/>
      <w:color w:val="2F5496" w:themeColor="accent1" w:themeShade="BF"/>
      <w:sz w:val="28"/>
      <w:szCs w:val="32"/>
    </w:rPr>
  </w:style>
  <w:style w:type="paragraph" w:styleId="Heading2">
    <w:name w:val="heading 2"/>
    <w:basedOn w:val="ListNumber"/>
    <w:next w:val="Normal"/>
    <w:link w:val="Heading2Char"/>
    <w:uiPriority w:val="9"/>
    <w:unhideWhenUsed/>
    <w:qFormat/>
    <w:rsid w:val="000C0AF3"/>
    <w:pPr>
      <w:keepNext/>
      <w:keepLines/>
      <w:numPr>
        <w:ilvl w:val="1"/>
        <w:numId w:val="26"/>
      </w:numPr>
      <w:spacing w:before="40" w:after="120"/>
      <w:outlineLvl w:val="1"/>
    </w:pPr>
    <w:rPr>
      <w:rFonts w:ascii="Calibri" w:eastAsiaTheme="majorEastAsia" w:hAnsi="Calibri" w:cstheme="majorBidi"/>
      <w:b/>
      <w:color w:val="2F5496" w:themeColor="accent1" w:themeShade="BF"/>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5F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5FCE"/>
  </w:style>
  <w:style w:type="paragraph" w:styleId="Footer">
    <w:name w:val="footer"/>
    <w:basedOn w:val="Normal"/>
    <w:link w:val="FooterChar"/>
    <w:uiPriority w:val="99"/>
    <w:unhideWhenUsed/>
    <w:rsid w:val="00115F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5FCE"/>
  </w:style>
  <w:style w:type="table" w:styleId="TableGrid">
    <w:name w:val="Table Grid"/>
    <w:basedOn w:val="TableNormal"/>
    <w:uiPriority w:val="39"/>
    <w:rsid w:val="00115F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F5077"/>
    <w:pPr>
      <w:ind w:left="720"/>
      <w:contextualSpacing/>
    </w:pPr>
  </w:style>
  <w:style w:type="paragraph" w:styleId="FootnoteText">
    <w:name w:val="footnote text"/>
    <w:basedOn w:val="Normal"/>
    <w:link w:val="FootnoteTextChar"/>
    <w:uiPriority w:val="99"/>
    <w:semiHidden/>
    <w:unhideWhenUsed/>
    <w:rsid w:val="0004170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4170A"/>
    <w:rPr>
      <w:sz w:val="20"/>
      <w:szCs w:val="20"/>
    </w:rPr>
  </w:style>
  <w:style w:type="character" w:styleId="FootnoteReference">
    <w:name w:val="footnote reference"/>
    <w:basedOn w:val="DefaultParagraphFont"/>
    <w:uiPriority w:val="99"/>
    <w:semiHidden/>
    <w:unhideWhenUsed/>
    <w:rsid w:val="0004170A"/>
    <w:rPr>
      <w:vertAlign w:val="superscript"/>
    </w:rPr>
  </w:style>
  <w:style w:type="character" w:styleId="Hyperlink">
    <w:name w:val="Hyperlink"/>
    <w:basedOn w:val="DefaultParagraphFont"/>
    <w:uiPriority w:val="99"/>
    <w:unhideWhenUsed/>
    <w:rsid w:val="009E645C"/>
    <w:rPr>
      <w:color w:val="0563C1" w:themeColor="hyperlink"/>
      <w:u w:val="single"/>
    </w:rPr>
  </w:style>
  <w:style w:type="character" w:customStyle="1" w:styleId="UnresolvedMention1">
    <w:name w:val="Unresolved Mention1"/>
    <w:basedOn w:val="DefaultParagraphFont"/>
    <w:uiPriority w:val="99"/>
    <w:semiHidden/>
    <w:unhideWhenUsed/>
    <w:rsid w:val="009E645C"/>
    <w:rPr>
      <w:color w:val="605E5C"/>
      <w:shd w:val="clear" w:color="auto" w:fill="E1DFDD"/>
    </w:rPr>
  </w:style>
  <w:style w:type="character" w:styleId="Strong">
    <w:name w:val="Strong"/>
    <w:basedOn w:val="DefaultParagraphFont"/>
    <w:uiPriority w:val="22"/>
    <w:qFormat/>
    <w:rsid w:val="00802F7A"/>
    <w:rPr>
      <w:rFonts w:asciiTheme="minorHAnsi" w:hAnsiTheme="minorHAnsi"/>
      <w:b/>
      <w:bCs/>
      <w:color w:val="2F5496" w:themeColor="accent1" w:themeShade="BF"/>
      <w:sz w:val="28"/>
    </w:rPr>
  </w:style>
  <w:style w:type="paragraph" w:customStyle="1" w:styleId="Default">
    <w:name w:val="Default"/>
    <w:rsid w:val="00723F36"/>
    <w:pPr>
      <w:autoSpaceDE w:val="0"/>
      <w:autoSpaceDN w:val="0"/>
      <w:adjustRightInd w:val="0"/>
      <w:spacing w:after="0" w:line="240" w:lineRule="auto"/>
    </w:pPr>
    <w:rPr>
      <w:rFonts w:ascii="Verdana" w:hAnsi="Verdana" w:cs="Verdana"/>
      <w:color w:val="000000"/>
      <w:sz w:val="24"/>
      <w:szCs w:val="24"/>
    </w:rPr>
  </w:style>
  <w:style w:type="paragraph" w:styleId="ListNumber">
    <w:name w:val="List Number"/>
    <w:basedOn w:val="Normal"/>
    <w:uiPriority w:val="99"/>
    <w:unhideWhenUsed/>
    <w:rsid w:val="008D5B18"/>
    <w:pPr>
      <w:numPr>
        <w:numId w:val="7"/>
      </w:numPr>
      <w:suppressAutoHyphens/>
      <w:spacing w:before="60" w:after="60" w:line="240" w:lineRule="auto"/>
    </w:pPr>
    <w:rPr>
      <w:rFonts w:ascii="Arial" w:eastAsia="Times New Roman" w:hAnsi="Arial" w:cs="Times New Roman"/>
      <w:szCs w:val="24"/>
    </w:rPr>
  </w:style>
  <w:style w:type="paragraph" w:styleId="ListBullet2">
    <w:name w:val="List Bullet 2"/>
    <w:basedOn w:val="Normal"/>
    <w:uiPriority w:val="99"/>
    <w:unhideWhenUsed/>
    <w:rsid w:val="008D5B18"/>
    <w:pPr>
      <w:numPr>
        <w:numId w:val="6"/>
      </w:numPr>
      <w:suppressAutoHyphens/>
      <w:spacing w:before="60" w:after="60" w:line="240" w:lineRule="auto"/>
      <w:ind w:left="641" w:hanging="357"/>
    </w:pPr>
    <w:rPr>
      <w:rFonts w:ascii="Arial" w:eastAsia="Times New Roman" w:hAnsi="Arial" w:cs="Times New Roman"/>
      <w:szCs w:val="24"/>
    </w:rPr>
  </w:style>
  <w:style w:type="paragraph" w:styleId="NormalWeb">
    <w:name w:val="Normal (Web)"/>
    <w:basedOn w:val="Normal"/>
    <w:uiPriority w:val="99"/>
    <w:semiHidden/>
    <w:unhideWhenUsed/>
    <w:rsid w:val="000073F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B422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2221"/>
    <w:rPr>
      <w:rFonts w:ascii="Segoe UI" w:hAnsi="Segoe UI" w:cs="Segoe UI"/>
      <w:sz w:val="18"/>
      <w:szCs w:val="18"/>
    </w:rPr>
  </w:style>
  <w:style w:type="character" w:customStyle="1" w:styleId="Heading1Char">
    <w:name w:val="Heading 1 Char"/>
    <w:basedOn w:val="DefaultParagraphFont"/>
    <w:link w:val="Heading1"/>
    <w:uiPriority w:val="9"/>
    <w:rsid w:val="0060239D"/>
    <w:rPr>
      <w:rFonts w:eastAsiaTheme="majorEastAsia" w:cstheme="majorBidi"/>
      <w:b/>
      <w:color w:val="2F5496" w:themeColor="accent1" w:themeShade="BF"/>
      <w:sz w:val="28"/>
      <w:szCs w:val="32"/>
    </w:rPr>
  </w:style>
  <w:style w:type="character" w:styleId="CommentReference">
    <w:name w:val="annotation reference"/>
    <w:basedOn w:val="DefaultParagraphFont"/>
    <w:uiPriority w:val="99"/>
    <w:semiHidden/>
    <w:unhideWhenUsed/>
    <w:rsid w:val="00D33F9A"/>
    <w:rPr>
      <w:sz w:val="16"/>
      <w:szCs w:val="16"/>
    </w:rPr>
  </w:style>
  <w:style w:type="paragraph" w:styleId="CommentText">
    <w:name w:val="annotation text"/>
    <w:basedOn w:val="Normal"/>
    <w:link w:val="CommentTextChar"/>
    <w:uiPriority w:val="99"/>
    <w:semiHidden/>
    <w:unhideWhenUsed/>
    <w:rsid w:val="00D33F9A"/>
    <w:pPr>
      <w:spacing w:line="240" w:lineRule="auto"/>
    </w:pPr>
    <w:rPr>
      <w:sz w:val="20"/>
      <w:szCs w:val="20"/>
    </w:rPr>
  </w:style>
  <w:style w:type="character" w:customStyle="1" w:styleId="CommentTextChar">
    <w:name w:val="Comment Text Char"/>
    <w:basedOn w:val="DefaultParagraphFont"/>
    <w:link w:val="CommentText"/>
    <w:uiPriority w:val="99"/>
    <w:semiHidden/>
    <w:rsid w:val="00D33F9A"/>
    <w:rPr>
      <w:sz w:val="20"/>
      <w:szCs w:val="20"/>
    </w:rPr>
  </w:style>
  <w:style w:type="paragraph" w:styleId="CommentSubject">
    <w:name w:val="annotation subject"/>
    <w:basedOn w:val="CommentText"/>
    <w:next w:val="CommentText"/>
    <w:link w:val="CommentSubjectChar"/>
    <w:uiPriority w:val="99"/>
    <w:semiHidden/>
    <w:unhideWhenUsed/>
    <w:rsid w:val="00D33F9A"/>
    <w:rPr>
      <w:b/>
      <w:bCs/>
    </w:rPr>
  </w:style>
  <w:style w:type="character" w:customStyle="1" w:styleId="CommentSubjectChar">
    <w:name w:val="Comment Subject Char"/>
    <w:basedOn w:val="CommentTextChar"/>
    <w:link w:val="CommentSubject"/>
    <w:uiPriority w:val="99"/>
    <w:semiHidden/>
    <w:rsid w:val="00D33F9A"/>
    <w:rPr>
      <w:b/>
      <w:bCs/>
      <w:sz w:val="20"/>
      <w:szCs w:val="20"/>
    </w:rPr>
  </w:style>
  <w:style w:type="character" w:styleId="UnresolvedMention">
    <w:name w:val="Unresolved Mention"/>
    <w:basedOn w:val="DefaultParagraphFont"/>
    <w:uiPriority w:val="99"/>
    <w:semiHidden/>
    <w:unhideWhenUsed/>
    <w:rsid w:val="00962969"/>
    <w:rPr>
      <w:color w:val="605E5C"/>
      <w:shd w:val="clear" w:color="auto" w:fill="E1DFDD"/>
    </w:rPr>
  </w:style>
  <w:style w:type="table" w:styleId="GridTable4-Accent1">
    <w:name w:val="Grid Table 4 Accent 1"/>
    <w:basedOn w:val="TableNormal"/>
    <w:uiPriority w:val="49"/>
    <w:rsid w:val="00951D6D"/>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NoSpacing">
    <w:name w:val="No Spacing"/>
    <w:link w:val="NoSpacingChar"/>
    <w:uiPriority w:val="1"/>
    <w:qFormat/>
    <w:rsid w:val="004B037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B0373"/>
    <w:rPr>
      <w:rFonts w:eastAsiaTheme="minorEastAsia"/>
      <w:lang w:val="en-US"/>
    </w:rPr>
  </w:style>
  <w:style w:type="paragraph" w:styleId="TOCHeading">
    <w:name w:val="TOC Heading"/>
    <w:basedOn w:val="Heading1"/>
    <w:next w:val="Normal"/>
    <w:uiPriority w:val="39"/>
    <w:unhideWhenUsed/>
    <w:qFormat/>
    <w:rsid w:val="00AB24D6"/>
    <w:pPr>
      <w:spacing w:line="259" w:lineRule="auto"/>
      <w:outlineLvl w:val="9"/>
    </w:pPr>
    <w:rPr>
      <w:lang w:val="en-US"/>
    </w:rPr>
  </w:style>
  <w:style w:type="paragraph" w:styleId="TOC1">
    <w:name w:val="toc 1"/>
    <w:basedOn w:val="Normal"/>
    <w:next w:val="Normal"/>
    <w:autoRedefine/>
    <w:uiPriority w:val="39"/>
    <w:unhideWhenUsed/>
    <w:rsid w:val="00614302"/>
    <w:pPr>
      <w:tabs>
        <w:tab w:val="left" w:pos="0"/>
        <w:tab w:val="right" w:leader="dot" w:pos="9016"/>
      </w:tabs>
      <w:spacing w:after="100"/>
      <w:ind w:left="567" w:hanging="567"/>
    </w:pPr>
  </w:style>
  <w:style w:type="paragraph" w:styleId="Caption">
    <w:name w:val="caption"/>
    <w:basedOn w:val="Normal"/>
    <w:next w:val="Normal"/>
    <w:uiPriority w:val="35"/>
    <w:unhideWhenUsed/>
    <w:qFormat/>
    <w:rsid w:val="00AB24D6"/>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1C482D"/>
    <w:pPr>
      <w:spacing w:after="0"/>
    </w:pPr>
  </w:style>
  <w:style w:type="character" w:customStyle="1" w:styleId="Heading2Char">
    <w:name w:val="Heading 2 Char"/>
    <w:basedOn w:val="DefaultParagraphFont"/>
    <w:link w:val="Heading2"/>
    <w:uiPriority w:val="9"/>
    <w:rsid w:val="000C0AF3"/>
    <w:rPr>
      <w:rFonts w:ascii="Calibri" w:eastAsiaTheme="majorEastAsia" w:hAnsi="Calibri" w:cstheme="majorBidi"/>
      <w:b/>
      <w:color w:val="2F5496" w:themeColor="accent1" w:themeShade="BF"/>
      <w:sz w:val="24"/>
      <w:szCs w:val="26"/>
    </w:rPr>
  </w:style>
  <w:style w:type="character" w:styleId="BookTitle">
    <w:name w:val="Book Title"/>
    <w:aliases w:val="Heading 2 Numbered"/>
    <w:basedOn w:val="DefaultParagraphFont"/>
    <w:uiPriority w:val="33"/>
    <w:qFormat/>
    <w:rsid w:val="00802F7A"/>
    <w:rPr>
      <w:rFonts w:asciiTheme="minorHAnsi" w:hAnsiTheme="minorHAnsi"/>
      <w:b/>
      <w:bCs/>
      <w:i w:val="0"/>
      <w:iCs/>
      <w:color w:val="2F5496" w:themeColor="accent1" w:themeShade="BF"/>
      <w:spacing w:val="5"/>
      <w:sz w:val="24"/>
    </w:rPr>
  </w:style>
  <w:style w:type="paragraph" w:styleId="ListNumber2">
    <w:name w:val="List Number 2"/>
    <w:basedOn w:val="Normal"/>
    <w:uiPriority w:val="99"/>
    <w:semiHidden/>
    <w:unhideWhenUsed/>
    <w:rsid w:val="00802F7A"/>
    <w:pPr>
      <w:numPr>
        <w:numId w:val="25"/>
      </w:numPr>
      <w:contextualSpacing/>
    </w:pPr>
  </w:style>
  <w:style w:type="paragraph" w:styleId="TOC2">
    <w:name w:val="toc 2"/>
    <w:basedOn w:val="Normal"/>
    <w:next w:val="Normal"/>
    <w:autoRedefine/>
    <w:uiPriority w:val="39"/>
    <w:unhideWhenUsed/>
    <w:rsid w:val="009E6A3B"/>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9414535">
      <w:bodyDiv w:val="1"/>
      <w:marLeft w:val="0"/>
      <w:marRight w:val="0"/>
      <w:marTop w:val="0"/>
      <w:marBottom w:val="0"/>
      <w:divBdr>
        <w:top w:val="none" w:sz="0" w:space="0" w:color="auto"/>
        <w:left w:val="none" w:sz="0" w:space="0" w:color="auto"/>
        <w:bottom w:val="none" w:sz="0" w:space="0" w:color="auto"/>
        <w:right w:val="none" w:sz="0" w:space="0" w:color="auto"/>
      </w:divBdr>
    </w:div>
    <w:div w:id="301885245">
      <w:bodyDiv w:val="1"/>
      <w:marLeft w:val="0"/>
      <w:marRight w:val="0"/>
      <w:marTop w:val="0"/>
      <w:marBottom w:val="0"/>
      <w:divBdr>
        <w:top w:val="none" w:sz="0" w:space="0" w:color="auto"/>
        <w:left w:val="none" w:sz="0" w:space="0" w:color="auto"/>
        <w:bottom w:val="none" w:sz="0" w:space="0" w:color="auto"/>
        <w:right w:val="none" w:sz="0" w:space="0" w:color="auto"/>
      </w:divBdr>
    </w:div>
    <w:div w:id="302856178">
      <w:bodyDiv w:val="1"/>
      <w:marLeft w:val="0"/>
      <w:marRight w:val="0"/>
      <w:marTop w:val="0"/>
      <w:marBottom w:val="0"/>
      <w:divBdr>
        <w:top w:val="none" w:sz="0" w:space="0" w:color="auto"/>
        <w:left w:val="none" w:sz="0" w:space="0" w:color="auto"/>
        <w:bottom w:val="none" w:sz="0" w:space="0" w:color="auto"/>
        <w:right w:val="none" w:sz="0" w:space="0" w:color="auto"/>
      </w:divBdr>
    </w:div>
    <w:div w:id="442072337">
      <w:bodyDiv w:val="1"/>
      <w:marLeft w:val="0"/>
      <w:marRight w:val="0"/>
      <w:marTop w:val="0"/>
      <w:marBottom w:val="0"/>
      <w:divBdr>
        <w:top w:val="none" w:sz="0" w:space="0" w:color="auto"/>
        <w:left w:val="none" w:sz="0" w:space="0" w:color="auto"/>
        <w:bottom w:val="none" w:sz="0" w:space="0" w:color="auto"/>
        <w:right w:val="none" w:sz="0" w:space="0" w:color="auto"/>
      </w:divBdr>
    </w:div>
    <w:div w:id="559291601">
      <w:bodyDiv w:val="1"/>
      <w:marLeft w:val="0"/>
      <w:marRight w:val="0"/>
      <w:marTop w:val="0"/>
      <w:marBottom w:val="0"/>
      <w:divBdr>
        <w:top w:val="none" w:sz="0" w:space="0" w:color="auto"/>
        <w:left w:val="none" w:sz="0" w:space="0" w:color="auto"/>
        <w:bottom w:val="none" w:sz="0" w:space="0" w:color="auto"/>
        <w:right w:val="none" w:sz="0" w:space="0" w:color="auto"/>
      </w:divBdr>
    </w:div>
    <w:div w:id="639383458">
      <w:bodyDiv w:val="1"/>
      <w:marLeft w:val="0"/>
      <w:marRight w:val="0"/>
      <w:marTop w:val="0"/>
      <w:marBottom w:val="0"/>
      <w:divBdr>
        <w:top w:val="none" w:sz="0" w:space="0" w:color="auto"/>
        <w:left w:val="none" w:sz="0" w:space="0" w:color="auto"/>
        <w:bottom w:val="none" w:sz="0" w:space="0" w:color="auto"/>
        <w:right w:val="none" w:sz="0" w:space="0" w:color="auto"/>
      </w:divBdr>
    </w:div>
    <w:div w:id="779227201">
      <w:bodyDiv w:val="1"/>
      <w:marLeft w:val="0"/>
      <w:marRight w:val="0"/>
      <w:marTop w:val="0"/>
      <w:marBottom w:val="0"/>
      <w:divBdr>
        <w:top w:val="none" w:sz="0" w:space="0" w:color="auto"/>
        <w:left w:val="none" w:sz="0" w:space="0" w:color="auto"/>
        <w:bottom w:val="none" w:sz="0" w:space="0" w:color="auto"/>
        <w:right w:val="none" w:sz="0" w:space="0" w:color="auto"/>
      </w:divBdr>
    </w:div>
    <w:div w:id="1001397716">
      <w:bodyDiv w:val="1"/>
      <w:marLeft w:val="0"/>
      <w:marRight w:val="0"/>
      <w:marTop w:val="0"/>
      <w:marBottom w:val="0"/>
      <w:divBdr>
        <w:top w:val="none" w:sz="0" w:space="0" w:color="auto"/>
        <w:left w:val="none" w:sz="0" w:space="0" w:color="auto"/>
        <w:bottom w:val="none" w:sz="0" w:space="0" w:color="auto"/>
        <w:right w:val="none" w:sz="0" w:space="0" w:color="auto"/>
      </w:divBdr>
    </w:div>
    <w:div w:id="1260601576">
      <w:bodyDiv w:val="1"/>
      <w:marLeft w:val="0"/>
      <w:marRight w:val="0"/>
      <w:marTop w:val="0"/>
      <w:marBottom w:val="0"/>
      <w:divBdr>
        <w:top w:val="none" w:sz="0" w:space="0" w:color="auto"/>
        <w:left w:val="none" w:sz="0" w:space="0" w:color="auto"/>
        <w:bottom w:val="none" w:sz="0" w:space="0" w:color="auto"/>
        <w:right w:val="none" w:sz="0" w:space="0" w:color="auto"/>
      </w:divBdr>
      <w:divsChild>
        <w:div w:id="57673520">
          <w:marLeft w:val="274"/>
          <w:marRight w:val="0"/>
          <w:marTop w:val="0"/>
          <w:marBottom w:val="0"/>
          <w:divBdr>
            <w:top w:val="none" w:sz="0" w:space="0" w:color="auto"/>
            <w:left w:val="none" w:sz="0" w:space="0" w:color="auto"/>
            <w:bottom w:val="none" w:sz="0" w:space="0" w:color="auto"/>
            <w:right w:val="none" w:sz="0" w:space="0" w:color="auto"/>
          </w:divBdr>
        </w:div>
      </w:divsChild>
    </w:div>
    <w:div w:id="1271935010">
      <w:bodyDiv w:val="1"/>
      <w:marLeft w:val="0"/>
      <w:marRight w:val="0"/>
      <w:marTop w:val="0"/>
      <w:marBottom w:val="0"/>
      <w:divBdr>
        <w:top w:val="none" w:sz="0" w:space="0" w:color="auto"/>
        <w:left w:val="none" w:sz="0" w:space="0" w:color="auto"/>
        <w:bottom w:val="none" w:sz="0" w:space="0" w:color="auto"/>
        <w:right w:val="none" w:sz="0" w:space="0" w:color="auto"/>
      </w:divBdr>
    </w:div>
    <w:div w:id="1381630715">
      <w:bodyDiv w:val="1"/>
      <w:marLeft w:val="0"/>
      <w:marRight w:val="0"/>
      <w:marTop w:val="0"/>
      <w:marBottom w:val="0"/>
      <w:divBdr>
        <w:top w:val="none" w:sz="0" w:space="0" w:color="auto"/>
        <w:left w:val="none" w:sz="0" w:space="0" w:color="auto"/>
        <w:bottom w:val="none" w:sz="0" w:space="0" w:color="auto"/>
        <w:right w:val="none" w:sz="0" w:space="0" w:color="auto"/>
      </w:divBdr>
      <w:divsChild>
        <w:div w:id="1953048443">
          <w:marLeft w:val="547"/>
          <w:marRight w:val="0"/>
          <w:marTop w:val="120"/>
          <w:marBottom w:val="0"/>
          <w:divBdr>
            <w:top w:val="none" w:sz="0" w:space="0" w:color="auto"/>
            <w:left w:val="none" w:sz="0" w:space="0" w:color="auto"/>
            <w:bottom w:val="none" w:sz="0" w:space="0" w:color="auto"/>
            <w:right w:val="none" w:sz="0" w:space="0" w:color="auto"/>
          </w:divBdr>
        </w:div>
        <w:div w:id="1258174681">
          <w:marLeft w:val="547"/>
          <w:marRight w:val="0"/>
          <w:marTop w:val="120"/>
          <w:marBottom w:val="0"/>
          <w:divBdr>
            <w:top w:val="none" w:sz="0" w:space="0" w:color="auto"/>
            <w:left w:val="none" w:sz="0" w:space="0" w:color="auto"/>
            <w:bottom w:val="none" w:sz="0" w:space="0" w:color="auto"/>
            <w:right w:val="none" w:sz="0" w:space="0" w:color="auto"/>
          </w:divBdr>
        </w:div>
        <w:div w:id="1056122089">
          <w:marLeft w:val="547"/>
          <w:marRight w:val="0"/>
          <w:marTop w:val="120"/>
          <w:marBottom w:val="0"/>
          <w:divBdr>
            <w:top w:val="none" w:sz="0" w:space="0" w:color="auto"/>
            <w:left w:val="none" w:sz="0" w:space="0" w:color="auto"/>
            <w:bottom w:val="none" w:sz="0" w:space="0" w:color="auto"/>
            <w:right w:val="none" w:sz="0" w:space="0" w:color="auto"/>
          </w:divBdr>
        </w:div>
        <w:div w:id="1164511812">
          <w:marLeft w:val="547"/>
          <w:marRight w:val="0"/>
          <w:marTop w:val="120"/>
          <w:marBottom w:val="0"/>
          <w:divBdr>
            <w:top w:val="none" w:sz="0" w:space="0" w:color="auto"/>
            <w:left w:val="none" w:sz="0" w:space="0" w:color="auto"/>
            <w:bottom w:val="none" w:sz="0" w:space="0" w:color="auto"/>
            <w:right w:val="none" w:sz="0" w:space="0" w:color="auto"/>
          </w:divBdr>
        </w:div>
        <w:div w:id="205409631">
          <w:marLeft w:val="547"/>
          <w:marRight w:val="0"/>
          <w:marTop w:val="120"/>
          <w:marBottom w:val="0"/>
          <w:divBdr>
            <w:top w:val="none" w:sz="0" w:space="0" w:color="auto"/>
            <w:left w:val="none" w:sz="0" w:space="0" w:color="auto"/>
            <w:bottom w:val="none" w:sz="0" w:space="0" w:color="auto"/>
            <w:right w:val="none" w:sz="0" w:space="0" w:color="auto"/>
          </w:divBdr>
        </w:div>
      </w:divsChild>
    </w:div>
    <w:div w:id="1477453858">
      <w:bodyDiv w:val="1"/>
      <w:marLeft w:val="0"/>
      <w:marRight w:val="0"/>
      <w:marTop w:val="0"/>
      <w:marBottom w:val="0"/>
      <w:divBdr>
        <w:top w:val="none" w:sz="0" w:space="0" w:color="auto"/>
        <w:left w:val="none" w:sz="0" w:space="0" w:color="auto"/>
        <w:bottom w:val="none" w:sz="0" w:space="0" w:color="auto"/>
        <w:right w:val="none" w:sz="0" w:space="0" w:color="auto"/>
      </w:divBdr>
    </w:div>
    <w:div w:id="1489058315">
      <w:bodyDiv w:val="1"/>
      <w:marLeft w:val="0"/>
      <w:marRight w:val="0"/>
      <w:marTop w:val="0"/>
      <w:marBottom w:val="0"/>
      <w:divBdr>
        <w:top w:val="none" w:sz="0" w:space="0" w:color="auto"/>
        <w:left w:val="none" w:sz="0" w:space="0" w:color="auto"/>
        <w:bottom w:val="none" w:sz="0" w:space="0" w:color="auto"/>
        <w:right w:val="none" w:sz="0" w:space="0" w:color="auto"/>
      </w:divBdr>
      <w:divsChild>
        <w:div w:id="1685739157">
          <w:marLeft w:val="446"/>
          <w:marRight w:val="0"/>
          <w:marTop w:val="80"/>
          <w:marBottom w:val="0"/>
          <w:divBdr>
            <w:top w:val="none" w:sz="0" w:space="0" w:color="auto"/>
            <w:left w:val="none" w:sz="0" w:space="0" w:color="auto"/>
            <w:bottom w:val="none" w:sz="0" w:space="0" w:color="auto"/>
            <w:right w:val="none" w:sz="0" w:space="0" w:color="auto"/>
          </w:divBdr>
        </w:div>
        <w:div w:id="1612853459">
          <w:marLeft w:val="446"/>
          <w:marRight w:val="0"/>
          <w:marTop w:val="80"/>
          <w:marBottom w:val="0"/>
          <w:divBdr>
            <w:top w:val="none" w:sz="0" w:space="0" w:color="auto"/>
            <w:left w:val="none" w:sz="0" w:space="0" w:color="auto"/>
            <w:bottom w:val="none" w:sz="0" w:space="0" w:color="auto"/>
            <w:right w:val="none" w:sz="0" w:space="0" w:color="auto"/>
          </w:divBdr>
        </w:div>
        <w:div w:id="562760440">
          <w:marLeft w:val="446"/>
          <w:marRight w:val="0"/>
          <w:marTop w:val="80"/>
          <w:marBottom w:val="0"/>
          <w:divBdr>
            <w:top w:val="none" w:sz="0" w:space="0" w:color="auto"/>
            <w:left w:val="none" w:sz="0" w:space="0" w:color="auto"/>
            <w:bottom w:val="none" w:sz="0" w:space="0" w:color="auto"/>
            <w:right w:val="none" w:sz="0" w:space="0" w:color="auto"/>
          </w:divBdr>
        </w:div>
        <w:div w:id="108746294">
          <w:marLeft w:val="446"/>
          <w:marRight w:val="0"/>
          <w:marTop w:val="80"/>
          <w:marBottom w:val="0"/>
          <w:divBdr>
            <w:top w:val="none" w:sz="0" w:space="0" w:color="auto"/>
            <w:left w:val="none" w:sz="0" w:space="0" w:color="auto"/>
            <w:bottom w:val="none" w:sz="0" w:space="0" w:color="auto"/>
            <w:right w:val="none" w:sz="0" w:space="0" w:color="auto"/>
          </w:divBdr>
        </w:div>
        <w:div w:id="2088723207">
          <w:marLeft w:val="446"/>
          <w:marRight w:val="0"/>
          <w:marTop w:val="80"/>
          <w:marBottom w:val="0"/>
          <w:divBdr>
            <w:top w:val="none" w:sz="0" w:space="0" w:color="auto"/>
            <w:left w:val="none" w:sz="0" w:space="0" w:color="auto"/>
            <w:bottom w:val="none" w:sz="0" w:space="0" w:color="auto"/>
            <w:right w:val="none" w:sz="0" w:space="0" w:color="auto"/>
          </w:divBdr>
        </w:div>
        <w:div w:id="375587572">
          <w:marLeft w:val="446"/>
          <w:marRight w:val="0"/>
          <w:marTop w:val="80"/>
          <w:marBottom w:val="0"/>
          <w:divBdr>
            <w:top w:val="none" w:sz="0" w:space="0" w:color="auto"/>
            <w:left w:val="none" w:sz="0" w:space="0" w:color="auto"/>
            <w:bottom w:val="none" w:sz="0" w:space="0" w:color="auto"/>
            <w:right w:val="none" w:sz="0" w:space="0" w:color="auto"/>
          </w:divBdr>
        </w:div>
        <w:div w:id="186913058">
          <w:marLeft w:val="446"/>
          <w:marRight w:val="0"/>
          <w:marTop w:val="80"/>
          <w:marBottom w:val="0"/>
          <w:divBdr>
            <w:top w:val="none" w:sz="0" w:space="0" w:color="auto"/>
            <w:left w:val="none" w:sz="0" w:space="0" w:color="auto"/>
            <w:bottom w:val="none" w:sz="0" w:space="0" w:color="auto"/>
            <w:right w:val="none" w:sz="0" w:space="0" w:color="auto"/>
          </w:divBdr>
        </w:div>
        <w:div w:id="1795904809">
          <w:marLeft w:val="446"/>
          <w:marRight w:val="0"/>
          <w:marTop w:val="80"/>
          <w:marBottom w:val="0"/>
          <w:divBdr>
            <w:top w:val="none" w:sz="0" w:space="0" w:color="auto"/>
            <w:left w:val="none" w:sz="0" w:space="0" w:color="auto"/>
            <w:bottom w:val="none" w:sz="0" w:space="0" w:color="auto"/>
            <w:right w:val="none" w:sz="0" w:space="0" w:color="auto"/>
          </w:divBdr>
        </w:div>
        <w:div w:id="1989241578">
          <w:marLeft w:val="446"/>
          <w:marRight w:val="0"/>
          <w:marTop w:val="80"/>
          <w:marBottom w:val="0"/>
          <w:divBdr>
            <w:top w:val="none" w:sz="0" w:space="0" w:color="auto"/>
            <w:left w:val="none" w:sz="0" w:space="0" w:color="auto"/>
            <w:bottom w:val="none" w:sz="0" w:space="0" w:color="auto"/>
            <w:right w:val="none" w:sz="0" w:space="0" w:color="auto"/>
          </w:divBdr>
        </w:div>
        <w:div w:id="1953322142">
          <w:marLeft w:val="446"/>
          <w:marRight w:val="0"/>
          <w:marTop w:val="80"/>
          <w:marBottom w:val="0"/>
          <w:divBdr>
            <w:top w:val="none" w:sz="0" w:space="0" w:color="auto"/>
            <w:left w:val="none" w:sz="0" w:space="0" w:color="auto"/>
            <w:bottom w:val="none" w:sz="0" w:space="0" w:color="auto"/>
            <w:right w:val="none" w:sz="0" w:space="0" w:color="auto"/>
          </w:divBdr>
        </w:div>
      </w:divsChild>
    </w:div>
    <w:div w:id="1577935791">
      <w:bodyDiv w:val="1"/>
      <w:marLeft w:val="0"/>
      <w:marRight w:val="0"/>
      <w:marTop w:val="0"/>
      <w:marBottom w:val="0"/>
      <w:divBdr>
        <w:top w:val="none" w:sz="0" w:space="0" w:color="auto"/>
        <w:left w:val="none" w:sz="0" w:space="0" w:color="auto"/>
        <w:bottom w:val="none" w:sz="0" w:space="0" w:color="auto"/>
        <w:right w:val="none" w:sz="0" w:space="0" w:color="auto"/>
      </w:divBdr>
    </w:div>
    <w:div w:id="1919902133">
      <w:bodyDiv w:val="1"/>
      <w:marLeft w:val="0"/>
      <w:marRight w:val="0"/>
      <w:marTop w:val="0"/>
      <w:marBottom w:val="0"/>
      <w:divBdr>
        <w:top w:val="none" w:sz="0" w:space="0" w:color="auto"/>
        <w:left w:val="none" w:sz="0" w:space="0" w:color="auto"/>
        <w:bottom w:val="none" w:sz="0" w:space="0" w:color="auto"/>
        <w:right w:val="none" w:sz="0" w:space="0" w:color="auto"/>
      </w:divBdr>
    </w:div>
    <w:div w:id="1938901237">
      <w:bodyDiv w:val="1"/>
      <w:marLeft w:val="0"/>
      <w:marRight w:val="0"/>
      <w:marTop w:val="0"/>
      <w:marBottom w:val="0"/>
      <w:divBdr>
        <w:top w:val="none" w:sz="0" w:space="0" w:color="auto"/>
        <w:left w:val="none" w:sz="0" w:space="0" w:color="auto"/>
        <w:bottom w:val="none" w:sz="0" w:space="0" w:color="auto"/>
        <w:right w:val="none" w:sz="0" w:space="0" w:color="auto"/>
      </w:divBdr>
    </w:div>
    <w:div w:id="1995183291">
      <w:bodyDiv w:val="1"/>
      <w:marLeft w:val="0"/>
      <w:marRight w:val="0"/>
      <w:marTop w:val="0"/>
      <w:marBottom w:val="0"/>
      <w:divBdr>
        <w:top w:val="none" w:sz="0" w:space="0" w:color="auto"/>
        <w:left w:val="none" w:sz="0" w:space="0" w:color="auto"/>
        <w:bottom w:val="none" w:sz="0" w:space="0" w:color="auto"/>
        <w:right w:val="none" w:sz="0" w:space="0" w:color="auto"/>
      </w:divBdr>
    </w:div>
    <w:div w:id="2100373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www.environment.gov.au/protection/waste-resource-recovery/publications/national-food-waste-strategy" TargetMode="External"/><Relationship Id="rId26" Type="http://schemas.openxmlformats.org/officeDocument/2006/relationships/diagramQuickStyle" Target="diagrams/quickStyle1.xml"/><Relationship Id="rId39"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image" Target="media/image11.png"/><Relationship Id="rId42" Type="http://schemas.openxmlformats.org/officeDocument/2006/relationships/header" Target="header7.xml"/><Relationship Id="rId47" Type="http://schemas.openxmlformats.org/officeDocument/2006/relationships/hyperlink" Target="https://www.environment.gov.au/protection/waste-resource-recovery/publications/national-food-waste-strategy" TargetMode="External"/><Relationship Id="rId50" Type="http://schemas.openxmlformats.org/officeDocument/2006/relationships/image" Target="media/image17.pn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3.emf"/><Relationship Id="rId25" Type="http://schemas.openxmlformats.org/officeDocument/2006/relationships/diagramLayout" Target="diagrams/layout1.xml"/><Relationship Id="rId33" Type="http://schemas.openxmlformats.org/officeDocument/2006/relationships/image" Target="media/image10.png"/><Relationship Id="rId38" Type="http://schemas.openxmlformats.org/officeDocument/2006/relationships/image" Target="media/image12.png"/><Relationship Id="rId46"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hyperlink" Target="https://www.environment.gov.au/system/files/pages/25e36a8c-3a9c-487c-a9cb-66ec15ba61d0/files/national-food-waste-baseline-executive-summary.pdf" TargetMode="External"/><Relationship Id="rId20" Type="http://schemas.openxmlformats.org/officeDocument/2006/relationships/header" Target="header1.xml"/><Relationship Id="rId29" Type="http://schemas.openxmlformats.org/officeDocument/2006/relationships/image" Target="media/image7.png"/><Relationship Id="rId41" Type="http://schemas.openxmlformats.org/officeDocument/2006/relationships/header" Target="header6.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diagramData" Target="diagrams/data1.xml"/><Relationship Id="rId32" Type="http://schemas.openxmlformats.org/officeDocument/2006/relationships/image" Target="media/image9.png"/><Relationship Id="rId37" Type="http://schemas.openxmlformats.org/officeDocument/2006/relationships/header" Target="header5.xml"/><Relationship Id="rId40" Type="http://schemas.openxmlformats.org/officeDocument/2006/relationships/image" Target="media/image14.png"/><Relationship Id="rId45" Type="http://schemas.openxmlformats.org/officeDocument/2006/relationships/image" Target="media/image16.png"/><Relationship Id="rId53"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jpg"/><Relationship Id="rId23" Type="http://schemas.openxmlformats.org/officeDocument/2006/relationships/hyperlink" Target="https://fial.com.au/size-of-the-prize-report" TargetMode="External"/><Relationship Id="rId28" Type="http://schemas.microsoft.com/office/2007/relationships/diagramDrawing" Target="diagrams/drawing1.xml"/><Relationship Id="rId36" Type="http://schemas.openxmlformats.org/officeDocument/2006/relationships/header" Target="header4.xml"/><Relationship Id="rId49" Type="http://schemas.openxmlformats.org/officeDocument/2006/relationships/hyperlink" Target="http://www.environment.gov.au/system/files/resources/5b86c9f8-074e-4d66-ab11-08bbc69da240/files/national-waste-policy-action-plan-2019.pdf" TargetMode="External"/><Relationship Id="rId10" Type="http://schemas.openxmlformats.org/officeDocument/2006/relationships/settings" Target="settings.xml"/><Relationship Id="rId19" Type="http://schemas.openxmlformats.org/officeDocument/2006/relationships/image" Target="media/image4.png"/><Relationship Id="rId31" Type="http://schemas.openxmlformats.org/officeDocument/2006/relationships/image" Target="media/image8.png"/><Relationship Id="rId44" Type="http://schemas.openxmlformats.org/officeDocument/2006/relationships/header" Target="header8.xml"/><Relationship Id="rId52"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image" Target="media/image6.png"/><Relationship Id="rId27" Type="http://schemas.openxmlformats.org/officeDocument/2006/relationships/diagramColors" Target="diagrams/colors1.xml"/><Relationship Id="rId30" Type="http://schemas.openxmlformats.org/officeDocument/2006/relationships/header" Target="header2.xml"/><Relationship Id="rId35" Type="http://schemas.openxmlformats.org/officeDocument/2006/relationships/header" Target="header3.xml"/><Relationship Id="rId43" Type="http://schemas.openxmlformats.org/officeDocument/2006/relationships/image" Target="media/image15.png"/><Relationship Id="rId48" Type="http://schemas.openxmlformats.org/officeDocument/2006/relationships/hyperlink" Target="https://www.environment.gov.au/system/files/resources/d523f4e9-d958-466b-9fd1-3b7d6283f006/files/national-waste-policy-2018.pdf" TargetMode="External"/><Relationship Id="rId8" Type="http://schemas.openxmlformats.org/officeDocument/2006/relationships/numbering" Target="numbering.xml"/><Relationship Id="rId51" Type="http://schemas.openxmlformats.org/officeDocument/2006/relationships/hyperlink" Target="https://champions123.org/wp-content/uploads/2017/10/champions-12-3-guidance-on-interpreting-sdg-target-12-3.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wri.org/publication/reducing-food-loss-and-waste-setting-global-action-agenda" TargetMode="External"/><Relationship Id="rId13" Type="http://schemas.openxmlformats.org/officeDocument/2006/relationships/hyperlink" Target="https://www.foodbank.org.au/wp-content/uploads/2019/10/Foodbank-Hunger-Report-2019.pdf" TargetMode="External"/><Relationship Id="rId18" Type="http://schemas.openxmlformats.org/officeDocument/2006/relationships/hyperlink" Target="https://www.drawdown.org/solutions" TargetMode="External"/><Relationship Id="rId26" Type="http://schemas.openxmlformats.org/officeDocument/2006/relationships/hyperlink" Target="https://flwprotocol.org/wp-content/uploads/2017/05/FLW_Standard_final_2016.pdf" TargetMode="External"/><Relationship Id="rId3" Type="http://schemas.openxmlformats.org/officeDocument/2006/relationships/hyperlink" Target="https://champions123.org/2019-progress-report/" TargetMode="External"/><Relationship Id="rId21" Type="http://schemas.openxmlformats.org/officeDocument/2006/relationships/hyperlink" Target="https://eu-refresh.org/sites/default/files/REFRESH_D3.2_UTPs%20and%20VAs%20targeting%20food%20waste_07.2018.pdf" TargetMode="External"/><Relationship Id="rId7" Type="http://schemas.openxmlformats.org/officeDocument/2006/relationships/hyperlink" Target="https://www.wri.org/publication/reducing-food-loss-and-waste-setting-global-action-agenda" TargetMode="External"/><Relationship Id="rId12" Type="http://schemas.openxmlformats.org/officeDocument/2006/relationships/hyperlink" Target="https://research.unimelb.edu.au/foodprint-melbourne/publications/how-muchwater-is-needed-to-grow-melbournes-food" TargetMode="External"/><Relationship Id="rId17" Type="http://schemas.openxmlformats.org/officeDocument/2006/relationships/hyperlink" Target="file:///C:\Users\MarkBarthel\Documents\FIAL\Voluntary%20Commitment\Voluntary%20Agreements%20as%20a%20collaborative%20solution%20for%20food%20waste%20reduction" TargetMode="External"/><Relationship Id="rId25" Type="http://schemas.openxmlformats.org/officeDocument/2006/relationships/hyperlink" Target="https://www.environment.gov.au/system/files/pages/25e36a8c-3a9c-487c-a9cb-66ec15ba61d0/files/national-food-waste-baseline-final-assessment.pdf" TargetMode="External"/><Relationship Id="rId2" Type="http://schemas.openxmlformats.org/officeDocument/2006/relationships/hyperlink" Target="https://champions123.org/2019-progress-report/" TargetMode="External"/><Relationship Id="rId16" Type="http://schemas.openxmlformats.org/officeDocument/2006/relationships/hyperlink" Target="https://fightfoodwastecrc.com.au/wp-content/uploads/2019/11/Summary-Report_final.pdf" TargetMode="External"/><Relationship Id="rId20" Type="http://schemas.openxmlformats.org/officeDocument/2006/relationships/hyperlink" Target="https://eu-refresh.org/sites/default/files/D2_1_%20Success_Factors_%20FINAL.pdf" TargetMode="External"/><Relationship Id="rId1" Type="http://schemas.openxmlformats.org/officeDocument/2006/relationships/hyperlink" Target="https://champions123.org/2019-progress-report/" TargetMode="External"/><Relationship Id="rId6" Type="http://schemas.openxmlformats.org/officeDocument/2006/relationships/hyperlink" Target="https://www.wri.org/publication/reducing-food-loss-and-waste-setting-global-action-agenda" TargetMode="External"/><Relationship Id="rId11" Type="http://schemas.openxmlformats.org/officeDocument/2006/relationships/hyperlink" Target="https://www.wri.org/publication/reducing-food-loss-and-waste-setting-global-action-agenda" TargetMode="External"/><Relationship Id="rId24" Type="http://schemas.openxmlformats.org/officeDocument/2006/relationships/hyperlink" Target="https://www.churchilltrust.com.au/media/fellows/May_S_2017_To_research_international_models_for_reducing_food_waste.pdf" TargetMode="External"/><Relationship Id="rId5" Type="http://schemas.openxmlformats.org/officeDocument/2006/relationships/hyperlink" Target="https://www.wri.org/publication/reducing-food-loss-and-waste" TargetMode="External"/><Relationship Id="rId15" Type="http://schemas.openxmlformats.org/officeDocument/2006/relationships/hyperlink" Target="https://insidefmcg.com.au/2019/09/11/aussie-shoppers-want-supermarkets-to-cut-food-waste/" TargetMode="External"/><Relationship Id="rId23" Type="http://schemas.openxmlformats.org/officeDocument/2006/relationships/hyperlink" Target="https://eu-refresh.org/voluntary-agreements-food-waste" TargetMode="External"/><Relationship Id="rId10" Type="http://schemas.openxmlformats.org/officeDocument/2006/relationships/hyperlink" Target="https://www.wri.org/publication/reducing-food-loss-and-waste-setting-global-action-agenda" TargetMode="External"/><Relationship Id="rId19" Type="http://schemas.openxmlformats.org/officeDocument/2006/relationships/hyperlink" Target="https://flwprotocol.org/" TargetMode="External"/><Relationship Id="rId4" Type="http://schemas.openxmlformats.org/officeDocument/2006/relationships/hyperlink" Target="https://champions123.org/2019-progress-report/" TargetMode="External"/><Relationship Id="rId9" Type="http://schemas.openxmlformats.org/officeDocument/2006/relationships/hyperlink" Target="https://www.wri.org/publication/reducing-food-loss-and-waste-setting-global-action-agenda" TargetMode="External"/><Relationship Id="rId14" Type="http://schemas.openxmlformats.org/officeDocument/2006/relationships/hyperlink" Target="http://flwprotocol.org/wp-content/uploads/2017/05/Champions123-Report_-business-case-for-reducing-food-loss-and-waste.pdf" TargetMode="External"/><Relationship Id="rId22" Type="http://schemas.openxmlformats.org/officeDocument/2006/relationships/hyperlink" Target="https://eu-refresh.org/inventory-and-evaluation-effectiveness-existing-approaches-voluntary-alliances" TargetMode="External"/><Relationship Id="rId27" Type="http://schemas.openxmlformats.org/officeDocument/2006/relationships/hyperlink" Target="https://www.ellenmacarthurfoundation.org/circular-economy/what-is-the-circular-econom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10.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1" Type="http://schemas.openxmlformats.org/officeDocument/2006/relationships/image" Target="media/image5.jpg"/></Relationships>
</file>

<file path=word/_rels/header7.xml.rels><?xml version="1.0" encoding="UTF-8" standalone="yes"?>
<Relationships xmlns="http://schemas.openxmlformats.org/package/2006/relationships"><Relationship Id="rId1" Type="http://schemas.openxmlformats.org/officeDocument/2006/relationships/image" Target="media/image5.jpg"/></Relationships>
</file>

<file path=word/_rels/header8.xml.rels><?xml version="1.0" encoding="UTF-8" standalone="yes"?>
<Relationships xmlns="http://schemas.openxmlformats.org/package/2006/relationships"><Relationship Id="rId1" Type="http://schemas.openxmlformats.org/officeDocument/2006/relationships/image" Target="media/image5.jpg"/></Relationships>
</file>

<file path=word/_rels/header9.xml.rels><?xml version="1.0" encoding="UTF-8" standalone="yes"?>
<Relationships xmlns="http://schemas.openxmlformats.org/package/2006/relationships"><Relationship Id="rId1" Type="http://schemas.openxmlformats.org/officeDocument/2006/relationships/image" Target="media/image5.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E2D459D-5C02-7F46-9303-10B710F0B4F8}" type="doc">
      <dgm:prSet loTypeId="urn:microsoft.com/office/officeart/2005/8/layout/target2" loCatId="" qsTypeId="urn:microsoft.com/office/officeart/2005/8/quickstyle/simple1" qsCatId="simple" csTypeId="urn:microsoft.com/office/officeart/2005/8/colors/accent1_2" csCatId="accent1" phldr="1"/>
      <dgm:spPr/>
      <dgm:t>
        <a:bodyPr/>
        <a:lstStyle/>
        <a:p>
          <a:endParaRPr lang="en-GB"/>
        </a:p>
      </dgm:t>
    </dgm:pt>
    <dgm:pt modelId="{A547FB2C-B140-1245-B94E-A1E26EAD3C76}">
      <dgm:prSet phldrT="[Text]" custT="1"/>
      <dgm:spPr/>
      <dgm:t>
        <a:bodyPr/>
        <a:lstStyle/>
        <a:p>
          <a:r>
            <a:rPr lang="en-GB" sz="2800"/>
            <a:t>Halve food waste by 2030</a:t>
          </a:r>
        </a:p>
      </dgm:t>
    </dgm:pt>
    <dgm:pt modelId="{EFA2CABF-55E9-B14D-AFAB-B9453AC120B7}" type="parTrans" cxnId="{0F6F4E71-D474-6949-BB4B-0DCB521CB204}">
      <dgm:prSet/>
      <dgm:spPr/>
      <dgm:t>
        <a:bodyPr/>
        <a:lstStyle/>
        <a:p>
          <a:endParaRPr lang="en-GB"/>
        </a:p>
      </dgm:t>
    </dgm:pt>
    <dgm:pt modelId="{5C8896DE-E20C-A349-831C-3088AD3DF6C0}" type="sibTrans" cxnId="{0F6F4E71-D474-6949-BB4B-0DCB521CB204}">
      <dgm:prSet/>
      <dgm:spPr/>
      <dgm:t>
        <a:bodyPr/>
        <a:lstStyle/>
        <a:p>
          <a:endParaRPr lang="en-GB"/>
        </a:p>
      </dgm:t>
    </dgm:pt>
    <dgm:pt modelId="{138ED5AE-9572-1A45-8223-41F3046C427F}">
      <dgm:prSet phldrT="[Text]" custT="1"/>
      <dgm:spPr/>
      <dgm:t>
        <a:bodyPr/>
        <a:lstStyle/>
        <a:p>
          <a:r>
            <a:rPr lang="en-GB" sz="700"/>
            <a:t>Move food waste up the food recovery hierarchy by capturing additional </a:t>
          </a:r>
          <a:r>
            <a:rPr lang="en-AU" sz="700"/>
            <a:t>value from food waste streams</a:t>
          </a:r>
          <a:endParaRPr lang="en-GB" sz="700"/>
        </a:p>
      </dgm:t>
    </dgm:pt>
    <dgm:pt modelId="{D57E74FA-305E-424C-8525-C4426A1ACC60}" type="parTrans" cxnId="{D47E4E68-AE73-8740-905B-F90B4E7F252F}">
      <dgm:prSet/>
      <dgm:spPr/>
      <dgm:t>
        <a:bodyPr/>
        <a:lstStyle/>
        <a:p>
          <a:endParaRPr lang="en-GB"/>
        </a:p>
      </dgm:t>
    </dgm:pt>
    <dgm:pt modelId="{F8DA8043-F757-B54D-AD4F-E8BDF286DFB7}" type="sibTrans" cxnId="{D47E4E68-AE73-8740-905B-F90B4E7F252F}">
      <dgm:prSet/>
      <dgm:spPr/>
      <dgm:t>
        <a:bodyPr/>
        <a:lstStyle/>
        <a:p>
          <a:endParaRPr lang="en-GB"/>
        </a:p>
      </dgm:t>
    </dgm:pt>
    <dgm:pt modelId="{9099FACA-9DA8-B84E-B615-FA1FEC50A502}">
      <dgm:prSet phldrT="[Text]"/>
      <dgm:spPr/>
      <dgm:t>
        <a:bodyPr/>
        <a:lstStyle/>
        <a:p>
          <a:pPr>
            <a:buFont typeface="Courier New" panose="02070309020205020404" pitchFamily="49" charset="0"/>
            <a:buChar char="o"/>
          </a:pPr>
          <a:r>
            <a:rPr lang="en-AU"/>
            <a:t>Maximise societal benefit</a:t>
          </a:r>
        </a:p>
      </dgm:t>
    </dgm:pt>
    <dgm:pt modelId="{99C739E8-2949-234A-8192-D44ED6E087A8}" type="parTrans" cxnId="{BE472D82-5B6F-4643-8E18-06BDD8BF39BF}">
      <dgm:prSet/>
      <dgm:spPr/>
      <dgm:t>
        <a:bodyPr/>
        <a:lstStyle/>
        <a:p>
          <a:endParaRPr lang="en-GB"/>
        </a:p>
      </dgm:t>
    </dgm:pt>
    <dgm:pt modelId="{CA6E7E09-254F-9545-8CAE-5C4EBD7E7124}" type="sibTrans" cxnId="{BE472D82-5B6F-4643-8E18-06BDD8BF39BF}">
      <dgm:prSet/>
      <dgm:spPr/>
      <dgm:t>
        <a:bodyPr/>
        <a:lstStyle/>
        <a:p>
          <a:endParaRPr lang="en-GB"/>
        </a:p>
      </dgm:t>
    </dgm:pt>
    <dgm:pt modelId="{87AD19CF-79B4-C440-95FD-570D7C949A29}">
      <dgm:prSet phldrT="[Text]"/>
      <dgm:spPr/>
      <dgm:t>
        <a:bodyPr/>
        <a:lstStyle/>
        <a:p>
          <a:pPr>
            <a:buFont typeface="Courier New" panose="02070309020205020404" pitchFamily="49" charset="0"/>
            <a:buChar char="o"/>
          </a:pPr>
          <a:r>
            <a:rPr lang="en-AU"/>
            <a:t>Facilitate food rescue and relief</a:t>
          </a:r>
          <a:endParaRPr lang="en-GB"/>
        </a:p>
      </dgm:t>
    </dgm:pt>
    <dgm:pt modelId="{9D641E1E-5D0F-BD43-86C4-C63FFF585144}" type="parTrans" cxnId="{1F45BB06-1A20-9A45-9C03-D493817494CB}">
      <dgm:prSet/>
      <dgm:spPr/>
      <dgm:t>
        <a:bodyPr/>
        <a:lstStyle/>
        <a:p>
          <a:endParaRPr lang="en-GB"/>
        </a:p>
      </dgm:t>
    </dgm:pt>
    <dgm:pt modelId="{1D7F8F19-E03E-F34B-83D2-DD4862B89FE4}" type="sibTrans" cxnId="{1F45BB06-1A20-9A45-9C03-D493817494CB}">
      <dgm:prSet/>
      <dgm:spPr/>
      <dgm:t>
        <a:bodyPr/>
        <a:lstStyle/>
        <a:p>
          <a:endParaRPr lang="en-GB"/>
        </a:p>
      </dgm:t>
    </dgm:pt>
    <dgm:pt modelId="{2D692BA8-852B-4942-9A91-385727BFEE77}">
      <dgm:prSet phldrT="[Text]" phldr="1"/>
      <dgm:spPr/>
      <dgm:t>
        <a:bodyPr/>
        <a:lstStyle/>
        <a:p>
          <a:endParaRPr lang="en-GB"/>
        </a:p>
      </dgm:t>
    </dgm:pt>
    <dgm:pt modelId="{94E675CF-F6D0-C249-8858-96F75B182E64}" type="parTrans" cxnId="{12892E7A-DCF7-1D44-BF28-28953240F957}">
      <dgm:prSet/>
      <dgm:spPr/>
      <dgm:t>
        <a:bodyPr/>
        <a:lstStyle/>
        <a:p>
          <a:endParaRPr lang="en-GB"/>
        </a:p>
      </dgm:t>
    </dgm:pt>
    <dgm:pt modelId="{002602E9-D6C1-F94E-829D-B47A156BD401}" type="sibTrans" cxnId="{12892E7A-DCF7-1D44-BF28-28953240F957}">
      <dgm:prSet/>
      <dgm:spPr/>
      <dgm:t>
        <a:bodyPr/>
        <a:lstStyle/>
        <a:p>
          <a:endParaRPr lang="en-GB"/>
        </a:p>
      </dgm:t>
    </dgm:pt>
    <dgm:pt modelId="{7BF9FF5D-6FF9-504C-89DC-48E102A3A132}">
      <dgm:prSet phldrT="[Text]" phldr="1"/>
      <dgm:spPr/>
      <dgm:t>
        <a:bodyPr/>
        <a:lstStyle/>
        <a:p>
          <a:endParaRPr lang="en-GB"/>
        </a:p>
      </dgm:t>
    </dgm:pt>
    <dgm:pt modelId="{22CB43E3-A03D-9649-91E8-2E30A3A47202}" type="parTrans" cxnId="{6951D66B-62B9-1B4C-B68A-52B465CA4872}">
      <dgm:prSet/>
      <dgm:spPr/>
      <dgm:t>
        <a:bodyPr/>
        <a:lstStyle/>
        <a:p>
          <a:endParaRPr lang="en-GB"/>
        </a:p>
      </dgm:t>
    </dgm:pt>
    <dgm:pt modelId="{3606462D-D944-0840-9C7F-E3D0E2739954}" type="sibTrans" cxnId="{6951D66B-62B9-1B4C-B68A-52B465CA4872}">
      <dgm:prSet/>
      <dgm:spPr/>
      <dgm:t>
        <a:bodyPr/>
        <a:lstStyle/>
        <a:p>
          <a:endParaRPr lang="en-GB"/>
        </a:p>
      </dgm:t>
    </dgm:pt>
    <dgm:pt modelId="{7A5BB87B-4BED-FB4B-A49D-228B62F74D4A}">
      <dgm:prSet phldrT="[Text]" phldr="1"/>
      <dgm:spPr/>
      <dgm:t>
        <a:bodyPr/>
        <a:lstStyle/>
        <a:p>
          <a:endParaRPr lang="en-GB"/>
        </a:p>
      </dgm:t>
    </dgm:pt>
    <dgm:pt modelId="{B4C9DF02-0872-2744-A680-C45DC64B0D09}" type="parTrans" cxnId="{A53BEFCD-ED0A-B444-8B4E-36045AF48EE5}">
      <dgm:prSet/>
      <dgm:spPr/>
      <dgm:t>
        <a:bodyPr/>
        <a:lstStyle/>
        <a:p>
          <a:endParaRPr lang="en-GB"/>
        </a:p>
      </dgm:t>
    </dgm:pt>
    <dgm:pt modelId="{79A4D559-9550-7649-BE63-F3BDFED08648}" type="sibTrans" cxnId="{A53BEFCD-ED0A-B444-8B4E-36045AF48EE5}">
      <dgm:prSet/>
      <dgm:spPr/>
      <dgm:t>
        <a:bodyPr/>
        <a:lstStyle/>
        <a:p>
          <a:endParaRPr lang="en-GB"/>
        </a:p>
      </dgm:t>
    </dgm:pt>
    <dgm:pt modelId="{5354C997-AE6B-144A-8F70-99BB7CC39D3E}">
      <dgm:prSet/>
      <dgm:spPr/>
      <dgm:t>
        <a:bodyPr/>
        <a:lstStyle/>
        <a:p>
          <a:pPr>
            <a:buFont typeface="Symbol" pitchFamily="2" charset="2"/>
            <a:buChar char=""/>
          </a:pPr>
          <a:r>
            <a:rPr lang="en-AU"/>
            <a:t>Reduce the environmental impacts of</a:t>
          </a:r>
        </a:p>
      </dgm:t>
    </dgm:pt>
    <dgm:pt modelId="{BD10FE4A-333D-4C4F-A8E2-C310330368F6}" type="parTrans" cxnId="{D7FBFAC7-092C-A740-8C2C-A67B54C64754}">
      <dgm:prSet/>
      <dgm:spPr/>
      <dgm:t>
        <a:bodyPr/>
        <a:lstStyle/>
        <a:p>
          <a:endParaRPr lang="en-GB"/>
        </a:p>
      </dgm:t>
    </dgm:pt>
    <dgm:pt modelId="{56D77C94-0BE7-964A-BBF3-F74283A5B890}" type="sibTrans" cxnId="{D7FBFAC7-092C-A740-8C2C-A67B54C64754}">
      <dgm:prSet/>
      <dgm:spPr/>
      <dgm:t>
        <a:bodyPr/>
        <a:lstStyle/>
        <a:p>
          <a:endParaRPr lang="en-GB"/>
        </a:p>
      </dgm:t>
    </dgm:pt>
    <dgm:pt modelId="{45886677-41F5-2845-A746-6283B09ECDFE}">
      <dgm:prSet/>
      <dgm:spPr/>
      <dgm:t>
        <a:bodyPr/>
        <a:lstStyle/>
        <a:p>
          <a:pPr>
            <a:buFont typeface="Courier New" panose="02070309020205020404" pitchFamily="49" charset="0"/>
            <a:buChar char="o"/>
          </a:pPr>
          <a:r>
            <a:rPr lang="en-AU"/>
            <a:t>Food production</a:t>
          </a:r>
        </a:p>
      </dgm:t>
    </dgm:pt>
    <dgm:pt modelId="{9F1E4D66-18BD-3649-96F3-0DC3678EF604}" type="parTrans" cxnId="{CFD1F93D-0ACC-0F41-A4E8-64FE63DBD4BC}">
      <dgm:prSet/>
      <dgm:spPr/>
      <dgm:t>
        <a:bodyPr/>
        <a:lstStyle/>
        <a:p>
          <a:endParaRPr lang="en-GB"/>
        </a:p>
      </dgm:t>
    </dgm:pt>
    <dgm:pt modelId="{4C4FC299-CB82-A642-ABF6-3A7387C9F7B5}" type="sibTrans" cxnId="{CFD1F93D-0ACC-0F41-A4E8-64FE63DBD4BC}">
      <dgm:prSet/>
      <dgm:spPr/>
      <dgm:t>
        <a:bodyPr/>
        <a:lstStyle/>
        <a:p>
          <a:endParaRPr lang="en-GB"/>
        </a:p>
      </dgm:t>
    </dgm:pt>
    <dgm:pt modelId="{A6B68C57-8A1C-5946-9A33-8DA226F7EF28}">
      <dgm:prSet/>
      <dgm:spPr/>
      <dgm:t>
        <a:bodyPr/>
        <a:lstStyle/>
        <a:p>
          <a:pPr>
            <a:buFont typeface="Courier New" panose="02070309020205020404" pitchFamily="49" charset="0"/>
            <a:buChar char="o"/>
          </a:pPr>
          <a:r>
            <a:rPr lang="en-AU"/>
            <a:t>Food Consumption</a:t>
          </a:r>
        </a:p>
      </dgm:t>
    </dgm:pt>
    <dgm:pt modelId="{C07EF7C8-53D9-464C-BD55-A02D4EEF640E}" type="parTrans" cxnId="{72ED9416-FFD7-7842-94AE-DF0D2FB06207}">
      <dgm:prSet/>
      <dgm:spPr/>
      <dgm:t>
        <a:bodyPr/>
        <a:lstStyle/>
        <a:p>
          <a:endParaRPr lang="en-GB"/>
        </a:p>
      </dgm:t>
    </dgm:pt>
    <dgm:pt modelId="{28C6FC3C-E8B5-EE49-9E60-82AB2513032B}" type="sibTrans" cxnId="{72ED9416-FFD7-7842-94AE-DF0D2FB06207}">
      <dgm:prSet/>
      <dgm:spPr/>
      <dgm:t>
        <a:bodyPr/>
        <a:lstStyle/>
        <a:p>
          <a:endParaRPr lang="en-GB"/>
        </a:p>
      </dgm:t>
    </dgm:pt>
    <dgm:pt modelId="{11EA611D-CE06-4648-9015-822865A2AB5C}">
      <dgm:prSet/>
      <dgm:spPr/>
      <dgm:t>
        <a:bodyPr/>
        <a:lstStyle/>
        <a:p>
          <a:pPr>
            <a:buFont typeface="Courier New" panose="02070309020205020404" pitchFamily="49" charset="0"/>
            <a:buChar char="o"/>
          </a:pPr>
          <a:r>
            <a:rPr lang="en-AU"/>
            <a:t>Waste management</a:t>
          </a:r>
        </a:p>
      </dgm:t>
    </dgm:pt>
    <dgm:pt modelId="{E4011BA5-44F0-7947-8040-D87139BF767C}" type="parTrans" cxnId="{3FE8412B-0524-AE4B-9D2F-9DC07127BE1A}">
      <dgm:prSet/>
      <dgm:spPr/>
      <dgm:t>
        <a:bodyPr/>
        <a:lstStyle/>
        <a:p>
          <a:endParaRPr lang="en-GB"/>
        </a:p>
      </dgm:t>
    </dgm:pt>
    <dgm:pt modelId="{B3B3C859-9419-1942-B89E-933448D366DE}" type="sibTrans" cxnId="{3FE8412B-0524-AE4B-9D2F-9DC07127BE1A}">
      <dgm:prSet/>
      <dgm:spPr/>
      <dgm:t>
        <a:bodyPr/>
        <a:lstStyle/>
        <a:p>
          <a:endParaRPr lang="en-GB"/>
        </a:p>
      </dgm:t>
    </dgm:pt>
    <dgm:pt modelId="{04E3DCD5-15BD-3B47-97FC-3E9CFBA94BC4}">
      <dgm:prSet/>
      <dgm:spPr/>
      <dgm:t>
        <a:bodyPr/>
        <a:lstStyle/>
        <a:p>
          <a:pPr>
            <a:buFont typeface="Symbol" pitchFamily="2" charset="2"/>
            <a:buChar char=""/>
          </a:pPr>
          <a:r>
            <a:rPr lang="en-AU"/>
            <a:t>Make wasting food socially unacceptable</a:t>
          </a:r>
        </a:p>
        <a:p>
          <a:pPr>
            <a:buFont typeface="Symbol" pitchFamily="2" charset="2"/>
            <a:buChar char=""/>
          </a:pPr>
          <a:endParaRPr lang="en-GB"/>
        </a:p>
      </dgm:t>
    </dgm:pt>
    <dgm:pt modelId="{F763AC2B-C7A8-904D-8DCC-6712D73DCA69}" type="parTrans" cxnId="{A051D0E6-AA3F-A046-80A4-E629173DB0B9}">
      <dgm:prSet/>
      <dgm:spPr/>
      <dgm:t>
        <a:bodyPr/>
        <a:lstStyle/>
        <a:p>
          <a:endParaRPr lang="en-GB"/>
        </a:p>
      </dgm:t>
    </dgm:pt>
    <dgm:pt modelId="{9B800BA9-74D5-4148-8C3A-B7A4F0DD293A}" type="sibTrans" cxnId="{A051D0E6-AA3F-A046-80A4-E629173DB0B9}">
      <dgm:prSet/>
      <dgm:spPr/>
      <dgm:t>
        <a:bodyPr/>
        <a:lstStyle/>
        <a:p>
          <a:endParaRPr lang="en-GB"/>
        </a:p>
      </dgm:t>
    </dgm:pt>
    <dgm:pt modelId="{B9BC0F1F-7088-B246-BE5A-62C1127A3E3D}">
      <dgm:prSet phldrT="[Text]" custT="1"/>
      <dgm:spPr/>
      <dgm:t>
        <a:bodyPr/>
        <a:lstStyle/>
        <a:p>
          <a:pPr>
            <a:buFont typeface="Symbol" pitchFamily="2" charset="2"/>
            <a:buChar char=""/>
          </a:pPr>
          <a:r>
            <a:rPr lang="en-AU" sz="700"/>
            <a:t>Reduce the generation of food waste by maximising the value of water, energy, labour and other resources required for food production.</a:t>
          </a:r>
          <a:endParaRPr lang="en-GB" sz="700"/>
        </a:p>
      </dgm:t>
    </dgm:pt>
    <dgm:pt modelId="{5DBA03A2-B82C-5747-9295-3A8B162A366E}" type="parTrans" cxnId="{CC3B0A00-0DE4-7343-AF8A-AD2D98E099D6}">
      <dgm:prSet/>
      <dgm:spPr/>
      <dgm:t>
        <a:bodyPr/>
        <a:lstStyle/>
        <a:p>
          <a:endParaRPr lang="en-GB"/>
        </a:p>
      </dgm:t>
    </dgm:pt>
    <dgm:pt modelId="{CECA9A53-655B-724E-88B9-62B2FAEAB0AE}" type="sibTrans" cxnId="{CC3B0A00-0DE4-7343-AF8A-AD2D98E099D6}">
      <dgm:prSet/>
      <dgm:spPr/>
      <dgm:t>
        <a:bodyPr/>
        <a:lstStyle/>
        <a:p>
          <a:endParaRPr lang="en-GB"/>
        </a:p>
      </dgm:t>
    </dgm:pt>
    <dgm:pt modelId="{8A73C6CD-B680-F347-A01F-C69346E9519D}" type="pres">
      <dgm:prSet presAssocID="{1E2D459D-5C02-7F46-9303-10B710F0B4F8}" presName="Name0" presStyleCnt="0">
        <dgm:presLayoutVars>
          <dgm:chMax val="3"/>
          <dgm:chPref val="1"/>
          <dgm:dir/>
          <dgm:animLvl val="lvl"/>
          <dgm:resizeHandles/>
        </dgm:presLayoutVars>
      </dgm:prSet>
      <dgm:spPr/>
    </dgm:pt>
    <dgm:pt modelId="{34FD5400-0783-7C4A-A4AB-4381938E5004}" type="pres">
      <dgm:prSet presAssocID="{1E2D459D-5C02-7F46-9303-10B710F0B4F8}" presName="outerBox" presStyleCnt="0"/>
      <dgm:spPr/>
    </dgm:pt>
    <dgm:pt modelId="{35EEBEF0-4DB6-904F-B376-8E7CD60FB643}" type="pres">
      <dgm:prSet presAssocID="{1E2D459D-5C02-7F46-9303-10B710F0B4F8}" presName="outerBoxParent" presStyleLbl="node1" presStyleIdx="0" presStyleCnt="3" custLinFactNeighborX="-6957"/>
      <dgm:spPr/>
    </dgm:pt>
    <dgm:pt modelId="{70775BBE-F736-4C45-B987-753CE9C6C8F2}" type="pres">
      <dgm:prSet presAssocID="{1E2D459D-5C02-7F46-9303-10B710F0B4F8}" presName="outerBoxChildren" presStyleCnt="0"/>
      <dgm:spPr/>
    </dgm:pt>
    <dgm:pt modelId="{171395EB-F168-F347-B759-013DB08E9EEE}" type="pres">
      <dgm:prSet presAssocID="{138ED5AE-9572-1A45-8223-41F3046C427F}" presName="oChild" presStyleLbl="fgAcc1" presStyleIdx="0" presStyleCnt="7" custScaleX="118721" custScaleY="91408">
        <dgm:presLayoutVars>
          <dgm:bulletEnabled val="1"/>
        </dgm:presLayoutVars>
      </dgm:prSet>
      <dgm:spPr/>
    </dgm:pt>
    <dgm:pt modelId="{4F926C8F-C8DD-CA4E-B075-FAED43258C24}" type="pres">
      <dgm:prSet presAssocID="{F8DA8043-F757-B54D-AD4F-E8BDF286DFB7}" presName="outerSibTrans" presStyleCnt="0"/>
      <dgm:spPr/>
    </dgm:pt>
    <dgm:pt modelId="{49C07ABF-CF2C-6440-9EC9-8EED9E6DBF6F}" type="pres">
      <dgm:prSet presAssocID="{B9BC0F1F-7088-B246-BE5A-62C1127A3E3D}" presName="oChild" presStyleLbl="fgAcc1" presStyleIdx="1" presStyleCnt="7" custScaleX="119241" custScaleY="102760">
        <dgm:presLayoutVars>
          <dgm:bulletEnabled val="1"/>
        </dgm:presLayoutVars>
      </dgm:prSet>
      <dgm:spPr/>
    </dgm:pt>
    <dgm:pt modelId="{0874600D-8BC7-1942-B23F-1E7CFF8FE346}" type="pres">
      <dgm:prSet presAssocID="{1E2D459D-5C02-7F46-9303-10B710F0B4F8}" presName="middleBox" presStyleCnt="0"/>
      <dgm:spPr/>
    </dgm:pt>
    <dgm:pt modelId="{A01AB359-FE27-5A4E-B6FC-39BCC4C17792}" type="pres">
      <dgm:prSet presAssocID="{1E2D459D-5C02-7F46-9303-10B710F0B4F8}" presName="middleBoxParent" presStyleLbl="node1" presStyleIdx="1" presStyleCnt="3" custLinFactNeighborX="-187" custLinFactNeighborY="7143"/>
      <dgm:spPr/>
    </dgm:pt>
    <dgm:pt modelId="{B394F16D-F27D-534D-95FF-BC4D721C1828}" type="pres">
      <dgm:prSet presAssocID="{1E2D459D-5C02-7F46-9303-10B710F0B4F8}" presName="middleBoxChildren" presStyleCnt="0"/>
      <dgm:spPr/>
    </dgm:pt>
    <dgm:pt modelId="{13E0F93D-F5D0-6C42-90F6-F9A71888B0F1}" type="pres">
      <dgm:prSet presAssocID="{87AD19CF-79B4-C440-95FD-570D7C949A29}" presName="mChild" presStyleLbl="fgAcc1" presStyleIdx="2" presStyleCnt="7">
        <dgm:presLayoutVars>
          <dgm:bulletEnabled val="1"/>
        </dgm:presLayoutVars>
      </dgm:prSet>
      <dgm:spPr/>
    </dgm:pt>
    <dgm:pt modelId="{BD7AB3E1-345C-1B4A-88FB-5A3EC7143E1F}" type="pres">
      <dgm:prSet presAssocID="{1D7F8F19-E03E-F34B-83D2-DD4862B89FE4}" presName="middleSibTrans" presStyleCnt="0"/>
      <dgm:spPr/>
    </dgm:pt>
    <dgm:pt modelId="{59DF0182-BBC3-6745-AA02-D74EC5D39154}" type="pres">
      <dgm:prSet presAssocID="{04E3DCD5-15BD-3B47-97FC-3E9CFBA94BC4}" presName="mChild" presStyleLbl="fgAcc1" presStyleIdx="3" presStyleCnt="7">
        <dgm:presLayoutVars>
          <dgm:bulletEnabled val="1"/>
        </dgm:presLayoutVars>
      </dgm:prSet>
      <dgm:spPr/>
    </dgm:pt>
    <dgm:pt modelId="{9C6A4032-2882-7041-BC28-5389F4431AD1}" type="pres">
      <dgm:prSet presAssocID="{1E2D459D-5C02-7F46-9303-10B710F0B4F8}" presName="centerBox" presStyleCnt="0"/>
      <dgm:spPr/>
    </dgm:pt>
    <dgm:pt modelId="{4EBA4F55-E8AA-CA42-8D3A-42D3830076B6}" type="pres">
      <dgm:prSet presAssocID="{1E2D459D-5C02-7F46-9303-10B710F0B4F8}" presName="centerBoxParent" presStyleLbl="node1" presStyleIdx="2" presStyleCnt="3"/>
      <dgm:spPr/>
    </dgm:pt>
    <dgm:pt modelId="{2429FCB7-0501-3244-984C-3C0A0F50E611}" type="pres">
      <dgm:prSet presAssocID="{1E2D459D-5C02-7F46-9303-10B710F0B4F8}" presName="centerBoxChildren" presStyleCnt="0"/>
      <dgm:spPr/>
    </dgm:pt>
    <dgm:pt modelId="{51AE9188-3BBC-974D-957E-7D92D74B2446}" type="pres">
      <dgm:prSet presAssocID="{45886677-41F5-2845-A746-6283B09ECDFE}" presName="cChild" presStyleLbl="fgAcc1" presStyleIdx="4" presStyleCnt="7">
        <dgm:presLayoutVars>
          <dgm:bulletEnabled val="1"/>
        </dgm:presLayoutVars>
      </dgm:prSet>
      <dgm:spPr/>
    </dgm:pt>
    <dgm:pt modelId="{492A9D62-0229-8649-BA54-FCE3ECD10A05}" type="pres">
      <dgm:prSet presAssocID="{4C4FC299-CB82-A642-ABF6-3A7387C9F7B5}" presName="centerSibTrans" presStyleCnt="0"/>
      <dgm:spPr/>
    </dgm:pt>
    <dgm:pt modelId="{A7110590-CFC8-DC4B-84FD-98FF6DBDAD33}" type="pres">
      <dgm:prSet presAssocID="{A6B68C57-8A1C-5946-9A33-8DA226F7EF28}" presName="cChild" presStyleLbl="fgAcc1" presStyleIdx="5" presStyleCnt="7">
        <dgm:presLayoutVars>
          <dgm:bulletEnabled val="1"/>
        </dgm:presLayoutVars>
      </dgm:prSet>
      <dgm:spPr/>
    </dgm:pt>
    <dgm:pt modelId="{82F9432B-9BA9-DC4C-B959-9DC0F5C4EE5B}" type="pres">
      <dgm:prSet presAssocID="{28C6FC3C-E8B5-EE49-9E60-82AB2513032B}" presName="centerSibTrans" presStyleCnt="0"/>
      <dgm:spPr/>
    </dgm:pt>
    <dgm:pt modelId="{B38AC9B7-795C-C445-819A-365C4CD75C4F}" type="pres">
      <dgm:prSet presAssocID="{11EA611D-CE06-4648-9015-822865A2AB5C}" presName="cChild" presStyleLbl="fgAcc1" presStyleIdx="6" presStyleCnt="7">
        <dgm:presLayoutVars>
          <dgm:bulletEnabled val="1"/>
        </dgm:presLayoutVars>
      </dgm:prSet>
      <dgm:spPr/>
    </dgm:pt>
  </dgm:ptLst>
  <dgm:cxnLst>
    <dgm:cxn modelId="{CC3B0A00-0DE4-7343-AF8A-AD2D98E099D6}" srcId="{A547FB2C-B140-1245-B94E-A1E26EAD3C76}" destId="{B9BC0F1F-7088-B246-BE5A-62C1127A3E3D}" srcOrd="1" destOrd="0" parTransId="{5DBA03A2-B82C-5747-9295-3A8B162A366E}" sibTransId="{CECA9A53-655B-724E-88B9-62B2FAEAB0AE}"/>
    <dgm:cxn modelId="{1F45BB06-1A20-9A45-9C03-D493817494CB}" srcId="{9099FACA-9DA8-B84E-B615-FA1FEC50A502}" destId="{87AD19CF-79B4-C440-95FD-570D7C949A29}" srcOrd="0" destOrd="0" parTransId="{9D641E1E-5D0F-BD43-86C4-C63FFF585144}" sibTransId="{1D7F8F19-E03E-F34B-83D2-DD4862B89FE4}"/>
    <dgm:cxn modelId="{7153290E-CF17-40C6-9805-8FCDAAB66FAA}" type="presOf" srcId="{B9BC0F1F-7088-B246-BE5A-62C1127A3E3D}" destId="{49C07ABF-CF2C-6440-9EC9-8EED9E6DBF6F}" srcOrd="0" destOrd="0" presId="urn:microsoft.com/office/officeart/2005/8/layout/target2"/>
    <dgm:cxn modelId="{72ED9416-FFD7-7842-94AE-DF0D2FB06207}" srcId="{5354C997-AE6B-144A-8F70-99BB7CC39D3E}" destId="{A6B68C57-8A1C-5946-9A33-8DA226F7EF28}" srcOrd="1" destOrd="0" parTransId="{C07EF7C8-53D9-464C-BD55-A02D4EEF640E}" sibTransId="{28C6FC3C-E8B5-EE49-9E60-82AB2513032B}"/>
    <dgm:cxn modelId="{1658FA1B-099C-4868-8645-ACCA4C13157E}" type="presOf" srcId="{5354C997-AE6B-144A-8F70-99BB7CC39D3E}" destId="{4EBA4F55-E8AA-CA42-8D3A-42D3830076B6}" srcOrd="0" destOrd="0" presId="urn:microsoft.com/office/officeart/2005/8/layout/target2"/>
    <dgm:cxn modelId="{3FE8412B-0524-AE4B-9D2F-9DC07127BE1A}" srcId="{5354C997-AE6B-144A-8F70-99BB7CC39D3E}" destId="{11EA611D-CE06-4648-9015-822865A2AB5C}" srcOrd="2" destOrd="0" parTransId="{E4011BA5-44F0-7947-8040-D87139BF767C}" sibTransId="{B3B3C859-9419-1942-B89E-933448D366DE}"/>
    <dgm:cxn modelId="{CFD1F93D-0ACC-0F41-A4E8-64FE63DBD4BC}" srcId="{5354C997-AE6B-144A-8F70-99BB7CC39D3E}" destId="{45886677-41F5-2845-A746-6283B09ECDFE}" srcOrd="0" destOrd="0" parTransId="{9F1E4D66-18BD-3649-96F3-0DC3678EF604}" sibTransId="{4C4FC299-CB82-A642-ABF6-3A7387C9F7B5}"/>
    <dgm:cxn modelId="{9BF8C564-0395-4A90-A90E-4CE87DFAE880}" type="presOf" srcId="{1E2D459D-5C02-7F46-9303-10B710F0B4F8}" destId="{8A73C6CD-B680-F347-A01F-C69346E9519D}" srcOrd="0" destOrd="0" presId="urn:microsoft.com/office/officeart/2005/8/layout/target2"/>
    <dgm:cxn modelId="{D47E4E68-AE73-8740-905B-F90B4E7F252F}" srcId="{A547FB2C-B140-1245-B94E-A1E26EAD3C76}" destId="{138ED5AE-9572-1A45-8223-41F3046C427F}" srcOrd="0" destOrd="0" parTransId="{D57E74FA-305E-424C-8525-C4426A1ACC60}" sibTransId="{F8DA8043-F757-B54D-AD4F-E8BDF286DFB7}"/>
    <dgm:cxn modelId="{6951D66B-62B9-1B4C-B68A-52B465CA4872}" srcId="{2D692BA8-852B-4942-9A91-385727BFEE77}" destId="{7BF9FF5D-6FF9-504C-89DC-48E102A3A132}" srcOrd="0" destOrd="0" parTransId="{22CB43E3-A03D-9649-91E8-2E30A3A47202}" sibTransId="{3606462D-D944-0840-9C7F-E3D0E2739954}"/>
    <dgm:cxn modelId="{0F6F4E71-D474-6949-BB4B-0DCB521CB204}" srcId="{1E2D459D-5C02-7F46-9303-10B710F0B4F8}" destId="{A547FB2C-B140-1245-B94E-A1E26EAD3C76}" srcOrd="0" destOrd="0" parTransId="{EFA2CABF-55E9-B14D-AFAB-B9453AC120B7}" sibTransId="{5C8896DE-E20C-A349-831C-3088AD3DF6C0}"/>
    <dgm:cxn modelId="{6AC55471-568A-41F8-BEDB-C667A9DE390E}" type="presOf" srcId="{45886677-41F5-2845-A746-6283B09ECDFE}" destId="{51AE9188-3BBC-974D-957E-7D92D74B2446}" srcOrd="0" destOrd="0" presId="urn:microsoft.com/office/officeart/2005/8/layout/target2"/>
    <dgm:cxn modelId="{1C0F7476-D2F6-44CF-8C72-D516F667F2EB}" type="presOf" srcId="{A547FB2C-B140-1245-B94E-A1E26EAD3C76}" destId="{35EEBEF0-4DB6-904F-B376-8E7CD60FB643}" srcOrd="0" destOrd="0" presId="urn:microsoft.com/office/officeart/2005/8/layout/target2"/>
    <dgm:cxn modelId="{12892E7A-DCF7-1D44-BF28-28953240F957}" srcId="{1E2D459D-5C02-7F46-9303-10B710F0B4F8}" destId="{2D692BA8-852B-4942-9A91-385727BFEE77}" srcOrd="3" destOrd="0" parTransId="{94E675CF-F6D0-C249-8858-96F75B182E64}" sibTransId="{002602E9-D6C1-F94E-829D-B47A156BD401}"/>
    <dgm:cxn modelId="{12E1967F-784C-43F2-8371-2FE0DA0E1077}" type="presOf" srcId="{87AD19CF-79B4-C440-95FD-570D7C949A29}" destId="{13E0F93D-F5D0-6C42-90F6-F9A71888B0F1}" srcOrd="0" destOrd="0" presId="urn:microsoft.com/office/officeart/2005/8/layout/target2"/>
    <dgm:cxn modelId="{BE472D82-5B6F-4643-8E18-06BDD8BF39BF}" srcId="{1E2D459D-5C02-7F46-9303-10B710F0B4F8}" destId="{9099FACA-9DA8-B84E-B615-FA1FEC50A502}" srcOrd="1" destOrd="0" parTransId="{99C739E8-2949-234A-8192-D44ED6E087A8}" sibTransId="{CA6E7E09-254F-9545-8CAE-5C4EBD7E7124}"/>
    <dgm:cxn modelId="{DEE93782-CE4E-446D-AEDE-86B9615746F0}" type="presOf" srcId="{11EA611D-CE06-4648-9015-822865A2AB5C}" destId="{B38AC9B7-795C-C445-819A-365C4CD75C4F}" srcOrd="0" destOrd="0" presId="urn:microsoft.com/office/officeart/2005/8/layout/target2"/>
    <dgm:cxn modelId="{E398A685-9127-4796-A37F-637C93DCF642}" type="presOf" srcId="{A6B68C57-8A1C-5946-9A33-8DA226F7EF28}" destId="{A7110590-CFC8-DC4B-84FD-98FF6DBDAD33}" srcOrd="0" destOrd="0" presId="urn:microsoft.com/office/officeart/2005/8/layout/target2"/>
    <dgm:cxn modelId="{A482779F-4977-43FF-ADF6-EB37157AE4BF}" type="presOf" srcId="{04E3DCD5-15BD-3B47-97FC-3E9CFBA94BC4}" destId="{59DF0182-BBC3-6745-AA02-D74EC5D39154}" srcOrd="0" destOrd="0" presId="urn:microsoft.com/office/officeart/2005/8/layout/target2"/>
    <dgm:cxn modelId="{378FEDB2-7767-4F81-92C1-946EEB0B6E67}" type="presOf" srcId="{9099FACA-9DA8-B84E-B615-FA1FEC50A502}" destId="{A01AB359-FE27-5A4E-B6FC-39BCC4C17792}" srcOrd="0" destOrd="0" presId="urn:microsoft.com/office/officeart/2005/8/layout/target2"/>
    <dgm:cxn modelId="{D7FBFAC7-092C-A740-8C2C-A67B54C64754}" srcId="{1E2D459D-5C02-7F46-9303-10B710F0B4F8}" destId="{5354C997-AE6B-144A-8F70-99BB7CC39D3E}" srcOrd="2" destOrd="0" parTransId="{BD10FE4A-333D-4C4F-A8E2-C310330368F6}" sibTransId="{56D77C94-0BE7-964A-BBF3-F74283A5B890}"/>
    <dgm:cxn modelId="{A53BEFCD-ED0A-B444-8B4E-36045AF48EE5}" srcId="{2D692BA8-852B-4942-9A91-385727BFEE77}" destId="{7A5BB87B-4BED-FB4B-A49D-228B62F74D4A}" srcOrd="1" destOrd="0" parTransId="{B4C9DF02-0872-2744-A680-C45DC64B0D09}" sibTransId="{79A4D559-9550-7649-BE63-F3BDFED08648}"/>
    <dgm:cxn modelId="{A051D0E6-AA3F-A046-80A4-E629173DB0B9}" srcId="{9099FACA-9DA8-B84E-B615-FA1FEC50A502}" destId="{04E3DCD5-15BD-3B47-97FC-3E9CFBA94BC4}" srcOrd="1" destOrd="0" parTransId="{F763AC2B-C7A8-904D-8DCC-6712D73DCA69}" sibTransId="{9B800BA9-74D5-4148-8C3A-B7A4F0DD293A}"/>
    <dgm:cxn modelId="{605748F5-7CBF-4911-B565-1C8432CDAC60}" type="presOf" srcId="{138ED5AE-9572-1A45-8223-41F3046C427F}" destId="{171395EB-F168-F347-B759-013DB08E9EEE}" srcOrd="0" destOrd="0" presId="urn:microsoft.com/office/officeart/2005/8/layout/target2"/>
    <dgm:cxn modelId="{B3EF873A-776C-4C98-90C6-E08C07778F4D}" type="presParOf" srcId="{8A73C6CD-B680-F347-A01F-C69346E9519D}" destId="{34FD5400-0783-7C4A-A4AB-4381938E5004}" srcOrd="0" destOrd="0" presId="urn:microsoft.com/office/officeart/2005/8/layout/target2"/>
    <dgm:cxn modelId="{AECB48AF-BB46-4735-AABF-ECF6044E088A}" type="presParOf" srcId="{34FD5400-0783-7C4A-A4AB-4381938E5004}" destId="{35EEBEF0-4DB6-904F-B376-8E7CD60FB643}" srcOrd="0" destOrd="0" presId="urn:microsoft.com/office/officeart/2005/8/layout/target2"/>
    <dgm:cxn modelId="{4EF38903-E7CC-423F-ADBB-7E41EF8732C6}" type="presParOf" srcId="{34FD5400-0783-7C4A-A4AB-4381938E5004}" destId="{70775BBE-F736-4C45-B987-753CE9C6C8F2}" srcOrd="1" destOrd="0" presId="urn:microsoft.com/office/officeart/2005/8/layout/target2"/>
    <dgm:cxn modelId="{D2F4C84C-36BC-482A-9900-536ED6961C6E}" type="presParOf" srcId="{70775BBE-F736-4C45-B987-753CE9C6C8F2}" destId="{171395EB-F168-F347-B759-013DB08E9EEE}" srcOrd="0" destOrd="0" presId="urn:microsoft.com/office/officeart/2005/8/layout/target2"/>
    <dgm:cxn modelId="{4C07B40E-832F-4BA9-A4DA-E1C049ADDA1E}" type="presParOf" srcId="{70775BBE-F736-4C45-B987-753CE9C6C8F2}" destId="{4F926C8F-C8DD-CA4E-B075-FAED43258C24}" srcOrd="1" destOrd="0" presId="urn:microsoft.com/office/officeart/2005/8/layout/target2"/>
    <dgm:cxn modelId="{3BA6CC87-1DE5-491F-8A9A-954BE7ED0554}" type="presParOf" srcId="{70775BBE-F736-4C45-B987-753CE9C6C8F2}" destId="{49C07ABF-CF2C-6440-9EC9-8EED9E6DBF6F}" srcOrd="2" destOrd="0" presId="urn:microsoft.com/office/officeart/2005/8/layout/target2"/>
    <dgm:cxn modelId="{C6FC292B-9B75-48A2-B492-15D00BB7490A}" type="presParOf" srcId="{8A73C6CD-B680-F347-A01F-C69346E9519D}" destId="{0874600D-8BC7-1942-B23F-1E7CFF8FE346}" srcOrd="1" destOrd="0" presId="urn:microsoft.com/office/officeart/2005/8/layout/target2"/>
    <dgm:cxn modelId="{069EA0B0-EDF8-4F0A-8C4E-979B44B4DD10}" type="presParOf" srcId="{0874600D-8BC7-1942-B23F-1E7CFF8FE346}" destId="{A01AB359-FE27-5A4E-B6FC-39BCC4C17792}" srcOrd="0" destOrd="0" presId="urn:microsoft.com/office/officeart/2005/8/layout/target2"/>
    <dgm:cxn modelId="{7CD2889E-DC69-4C0C-9A6E-5A7A3296B4BA}" type="presParOf" srcId="{0874600D-8BC7-1942-B23F-1E7CFF8FE346}" destId="{B394F16D-F27D-534D-95FF-BC4D721C1828}" srcOrd="1" destOrd="0" presId="urn:microsoft.com/office/officeart/2005/8/layout/target2"/>
    <dgm:cxn modelId="{1B1270E2-0419-4748-A70B-C2F308BC2F1E}" type="presParOf" srcId="{B394F16D-F27D-534D-95FF-BC4D721C1828}" destId="{13E0F93D-F5D0-6C42-90F6-F9A71888B0F1}" srcOrd="0" destOrd="0" presId="urn:microsoft.com/office/officeart/2005/8/layout/target2"/>
    <dgm:cxn modelId="{BC87AA63-86F8-4694-B544-BE380AFCDD9B}" type="presParOf" srcId="{B394F16D-F27D-534D-95FF-BC4D721C1828}" destId="{BD7AB3E1-345C-1B4A-88FB-5A3EC7143E1F}" srcOrd="1" destOrd="0" presId="urn:microsoft.com/office/officeart/2005/8/layout/target2"/>
    <dgm:cxn modelId="{06F7B4B2-5071-4DA2-A764-A3AFB09E913F}" type="presParOf" srcId="{B394F16D-F27D-534D-95FF-BC4D721C1828}" destId="{59DF0182-BBC3-6745-AA02-D74EC5D39154}" srcOrd="2" destOrd="0" presId="urn:microsoft.com/office/officeart/2005/8/layout/target2"/>
    <dgm:cxn modelId="{38A2AC16-F5D3-4D19-9DD3-28F3C7877D57}" type="presParOf" srcId="{8A73C6CD-B680-F347-A01F-C69346E9519D}" destId="{9C6A4032-2882-7041-BC28-5389F4431AD1}" srcOrd="2" destOrd="0" presId="urn:microsoft.com/office/officeart/2005/8/layout/target2"/>
    <dgm:cxn modelId="{F778438E-F344-4DF8-8AF1-BFC0861740F6}" type="presParOf" srcId="{9C6A4032-2882-7041-BC28-5389F4431AD1}" destId="{4EBA4F55-E8AA-CA42-8D3A-42D3830076B6}" srcOrd="0" destOrd="0" presId="urn:microsoft.com/office/officeart/2005/8/layout/target2"/>
    <dgm:cxn modelId="{1C534B10-9F84-46F5-9DD9-EE6322A0429A}" type="presParOf" srcId="{9C6A4032-2882-7041-BC28-5389F4431AD1}" destId="{2429FCB7-0501-3244-984C-3C0A0F50E611}" srcOrd="1" destOrd="0" presId="urn:microsoft.com/office/officeart/2005/8/layout/target2"/>
    <dgm:cxn modelId="{EF741BB7-2CD9-4F7B-9742-AB0EB6E016D3}" type="presParOf" srcId="{2429FCB7-0501-3244-984C-3C0A0F50E611}" destId="{51AE9188-3BBC-974D-957E-7D92D74B2446}" srcOrd="0" destOrd="0" presId="urn:microsoft.com/office/officeart/2005/8/layout/target2"/>
    <dgm:cxn modelId="{2E20E75F-5872-4809-9A9B-8CAC4556F557}" type="presParOf" srcId="{2429FCB7-0501-3244-984C-3C0A0F50E611}" destId="{492A9D62-0229-8649-BA54-FCE3ECD10A05}" srcOrd="1" destOrd="0" presId="urn:microsoft.com/office/officeart/2005/8/layout/target2"/>
    <dgm:cxn modelId="{58DDF22D-8F35-4318-B7B9-3124DE467796}" type="presParOf" srcId="{2429FCB7-0501-3244-984C-3C0A0F50E611}" destId="{A7110590-CFC8-DC4B-84FD-98FF6DBDAD33}" srcOrd="2" destOrd="0" presId="urn:microsoft.com/office/officeart/2005/8/layout/target2"/>
    <dgm:cxn modelId="{D77DF375-6E99-4273-8370-51B464290741}" type="presParOf" srcId="{2429FCB7-0501-3244-984C-3C0A0F50E611}" destId="{82F9432B-9BA9-DC4C-B959-9DC0F5C4EE5B}" srcOrd="3" destOrd="0" presId="urn:microsoft.com/office/officeart/2005/8/layout/target2"/>
    <dgm:cxn modelId="{6F58986C-FE79-4156-9608-E30E68EC202C}" type="presParOf" srcId="{2429FCB7-0501-3244-984C-3C0A0F50E611}" destId="{B38AC9B7-795C-C445-819A-365C4CD75C4F}" srcOrd="4" destOrd="0" presId="urn:microsoft.com/office/officeart/2005/8/layout/target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EEBEF0-4DB6-904F-B376-8E7CD60FB643}">
      <dsp:nvSpPr>
        <dsp:cNvPr id="0" name=""/>
        <dsp:cNvSpPr/>
      </dsp:nvSpPr>
      <dsp:spPr>
        <a:xfrm>
          <a:off x="0" y="0"/>
          <a:ext cx="4960068" cy="2385060"/>
        </a:xfrm>
        <a:prstGeom prst="roundRect">
          <a:avLst>
            <a:gd name="adj" fmla="val 85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851072" numCol="1" spcCol="1270" anchor="t" anchorCtr="0">
          <a:noAutofit/>
        </a:bodyPr>
        <a:lstStyle/>
        <a:p>
          <a:pPr marL="0" lvl="0" indent="0" algn="l" defTabSz="1244600">
            <a:lnSpc>
              <a:spcPct val="90000"/>
            </a:lnSpc>
            <a:spcBef>
              <a:spcPct val="0"/>
            </a:spcBef>
            <a:spcAft>
              <a:spcPct val="35000"/>
            </a:spcAft>
            <a:buNone/>
          </a:pPr>
          <a:r>
            <a:rPr lang="en-GB" sz="2800" kern="1200"/>
            <a:t>Halve food waste by 2030</a:t>
          </a:r>
        </a:p>
      </dsp:txBody>
      <dsp:txXfrm>
        <a:off x="59378" y="59378"/>
        <a:ext cx="4841312" cy="2266304"/>
      </dsp:txXfrm>
    </dsp:sp>
    <dsp:sp modelId="{171395EB-F168-F347-B759-013DB08E9EEE}">
      <dsp:nvSpPr>
        <dsp:cNvPr id="0" name=""/>
        <dsp:cNvSpPr/>
      </dsp:nvSpPr>
      <dsp:spPr>
        <a:xfrm>
          <a:off x="54358" y="596265"/>
          <a:ext cx="883296" cy="767518"/>
        </a:xfrm>
        <a:prstGeom prst="roundRect">
          <a:avLst>
            <a:gd name="adj" fmla="val 105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t>Move food waste up the food recovery hierarchy by capturing additional </a:t>
          </a:r>
          <a:r>
            <a:rPr lang="en-AU" sz="700" kern="1200"/>
            <a:t>value from food waste streams</a:t>
          </a:r>
          <a:endParaRPr lang="en-GB" sz="700" kern="1200"/>
        </a:p>
      </dsp:txBody>
      <dsp:txXfrm>
        <a:off x="77962" y="619869"/>
        <a:ext cx="836088" cy="720310"/>
      </dsp:txXfrm>
    </dsp:sp>
    <dsp:sp modelId="{49C07ABF-CF2C-6440-9EC9-8EED9E6DBF6F}">
      <dsp:nvSpPr>
        <dsp:cNvPr id="0" name=""/>
        <dsp:cNvSpPr/>
      </dsp:nvSpPr>
      <dsp:spPr>
        <a:xfrm>
          <a:off x="52424" y="1401201"/>
          <a:ext cx="887165" cy="862836"/>
        </a:xfrm>
        <a:prstGeom prst="roundRect">
          <a:avLst>
            <a:gd name="adj" fmla="val 105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Font typeface="Symbol" pitchFamily="2" charset="2"/>
            <a:buNone/>
          </a:pPr>
          <a:r>
            <a:rPr lang="en-AU" sz="700" kern="1200"/>
            <a:t>Reduce the generation of food waste by maximising the value of water, energy, labour and other resources required for food production.</a:t>
          </a:r>
          <a:endParaRPr lang="en-GB" sz="700" kern="1200"/>
        </a:p>
      </dsp:txBody>
      <dsp:txXfrm>
        <a:off x="78959" y="1427736"/>
        <a:ext cx="834095" cy="809766"/>
      </dsp:txXfrm>
    </dsp:sp>
    <dsp:sp modelId="{A01AB359-FE27-5A4E-B6FC-39BCC4C17792}">
      <dsp:nvSpPr>
        <dsp:cNvPr id="0" name=""/>
        <dsp:cNvSpPr/>
      </dsp:nvSpPr>
      <dsp:spPr>
        <a:xfrm>
          <a:off x="984825" y="715517"/>
          <a:ext cx="3844052" cy="1669542"/>
        </a:xfrm>
        <a:prstGeom prst="roundRect">
          <a:avLst>
            <a:gd name="adj" fmla="val 105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1060159" numCol="1" spcCol="1270" anchor="t" anchorCtr="0">
          <a:noAutofit/>
        </a:bodyPr>
        <a:lstStyle/>
        <a:p>
          <a:pPr marL="0" lvl="0" indent="0" algn="l" defTabSz="577850">
            <a:lnSpc>
              <a:spcPct val="90000"/>
            </a:lnSpc>
            <a:spcBef>
              <a:spcPct val="0"/>
            </a:spcBef>
            <a:spcAft>
              <a:spcPct val="35000"/>
            </a:spcAft>
            <a:buFont typeface="Courier New" panose="02070309020205020404" pitchFamily="49" charset="0"/>
            <a:buNone/>
          </a:pPr>
          <a:r>
            <a:rPr lang="en-AU" sz="1300" kern="1200"/>
            <a:t>Maximise societal benefit</a:t>
          </a:r>
        </a:p>
      </dsp:txBody>
      <dsp:txXfrm>
        <a:off x="1036169" y="766861"/>
        <a:ext cx="3741364" cy="1566854"/>
      </dsp:txXfrm>
    </dsp:sp>
    <dsp:sp modelId="{13E0F93D-F5D0-6C42-90F6-F9A71888B0F1}">
      <dsp:nvSpPr>
        <dsp:cNvPr id="0" name=""/>
        <dsp:cNvSpPr/>
      </dsp:nvSpPr>
      <dsp:spPr>
        <a:xfrm>
          <a:off x="1088114" y="1180604"/>
          <a:ext cx="768810" cy="461712"/>
        </a:xfrm>
        <a:prstGeom prst="roundRect">
          <a:avLst>
            <a:gd name="adj" fmla="val 105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Font typeface="Courier New" panose="02070309020205020404" pitchFamily="49" charset="0"/>
            <a:buNone/>
          </a:pPr>
          <a:r>
            <a:rPr lang="en-AU" sz="600" kern="1200"/>
            <a:t>Facilitate food rescue and relief</a:t>
          </a:r>
          <a:endParaRPr lang="en-GB" sz="600" kern="1200"/>
        </a:p>
      </dsp:txBody>
      <dsp:txXfrm>
        <a:off x="1102313" y="1194803"/>
        <a:ext cx="740412" cy="433314"/>
      </dsp:txXfrm>
    </dsp:sp>
    <dsp:sp modelId="{59DF0182-BBC3-6745-AA02-D74EC5D39154}">
      <dsp:nvSpPr>
        <dsp:cNvPr id="0" name=""/>
        <dsp:cNvSpPr/>
      </dsp:nvSpPr>
      <dsp:spPr>
        <a:xfrm>
          <a:off x="1088114" y="1678100"/>
          <a:ext cx="768810" cy="461712"/>
        </a:xfrm>
        <a:prstGeom prst="roundRect">
          <a:avLst>
            <a:gd name="adj" fmla="val 105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Font typeface="Symbol" pitchFamily="2" charset="2"/>
            <a:buNone/>
          </a:pPr>
          <a:r>
            <a:rPr lang="en-AU" sz="600" kern="1200"/>
            <a:t>Make wasting food socially unacceptable</a:t>
          </a:r>
        </a:p>
        <a:p>
          <a:pPr marL="0" lvl="0" indent="0" algn="ctr" defTabSz="266700">
            <a:lnSpc>
              <a:spcPct val="90000"/>
            </a:lnSpc>
            <a:spcBef>
              <a:spcPct val="0"/>
            </a:spcBef>
            <a:spcAft>
              <a:spcPct val="35000"/>
            </a:spcAft>
            <a:buFont typeface="Symbol" pitchFamily="2" charset="2"/>
            <a:buNone/>
          </a:pPr>
          <a:endParaRPr lang="en-GB" sz="600" kern="1200"/>
        </a:p>
      </dsp:txBody>
      <dsp:txXfrm>
        <a:off x="1102313" y="1692299"/>
        <a:ext cx="740412" cy="433314"/>
      </dsp:txXfrm>
    </dsp:sp>
    <dsp:sp modelId="{4EBA4F55-E8AA-CA42-8D3A-42D3830076B6}">
      <dsp:nvSpPr>
        <dsp:cNvPr id="0" name=""/>
        <dsp:cNvSpPr/>
      </dsp:nvSpPr>
      <dsp:spPr>
        <a:xfrm>
          <a:off x="1959226" y="1192530"/>
          <a:ext cx="2752837" cy="954024"/>
        </a:xfrm>
        <a:prstGeom prst="roundRect">
          <a:avLst>
            <a:gd name="adj" fmla="val 105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538494" numCol="1" spcCol="1270" anchor="t" anchorCtr="0">
          <a:noAutofit/>
        </a:bodyPr>
        <a:lstStyle/>
        <a:p>
          <a:pPr marL="0" lvl="0" indent="0" algn="l" defTabSz="577850">
            <a:lnSpc>
              <a:spcPct val="90000"/>
            </a:lnSpc>
            <a:spcBef>
              <a:spcPct val="0"/>
            </a:spcBef>
            <a:spcAft>
              <a:spcPct val="35000"/>
            </a:spcAft>
            <a:buFont typeface="Symbol" pitchFamily="2" charset="2"/>
            <a:buNone/>
          </a:pPr>
          <a:r>
            <a:rPr lang="en-AU" sz="1300" kern="1200"/>
            <a:t>Reduce the environmental impacts of</a:t>
          </a:r>
        </a:p>
      </dsp:txBody>
      <dsp:txXfrm>
        <a:off x="1988566" y="1221870"/>
        <a:ext cx="2694157" cy="895344"/>
      </dsp:txXfrm>
    </dsp:sp>
    <dsp:sp modelId="{51AE9188-3BBC-974D-957E-7D92D74B2446}">
      <dsp:nvSpPr>
        <dsp:cNvPr id="0" name=""/>
        <dsp:cNvSpPr/>
      </dsp:nvSpPr>
      <dsp:spPr>
        <a:xfrm>
          <a:off x="2028047" y="1621840"/>
          <a:ext cx="854280" cy="429310"/>
        </a:xfrm>
        <a:prstGeom prst="roundRect">
          <a:avLst>
            <a:gd name="adj" fmla="val 105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Font typeface="Courier New" panose="02070309020205020404" pitchFamily="49" charset="0"/>
            <a:buNone/>
          </a:pPr>
          <a:r>
            <a:rPr lang="en-AU" sz="600" kern="1200"/>
            <a:t>Food production</a:t>
          </a:r>
        </a:p>
      </dsp:txBody>
      <dsp:txXfrm>
        <a:off x="2041250" y="1635043"/>
        <a:ext cx="827874" cy="402904"/>
      </dsp:txXfrm>
    </dsp:sp>
    <dsp:sp modelId="{A7110590-CFC8-DC4B-84FD-98FF6DBDAD33}">
      <dsp:nvSpPr>
        <dsp:cNvPr id="0" name=""/>
        <dsp:cNvSpPr/>
      </dsp:nvSpPr>
      <dsp:spPr>
        <a:xfrm>
          <a:off x="2906631" y="1621840"/>
          <a:ext cx="854280" cy="429310"/>
        </a:xfrm>
        <a:prstGeom prst="roundRect">
          <a:avLst>
            <a:gd name="adj" fmla="val 105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Font typeface="Courier New" panose="02070309020205020404" pitchFamily="49" charset="0"/>
            <a:buNone/>
          </a:pPr>
          <a:r>
            <a:rPr lang="en-AU" sz="600" kern="1200"/>
            <a:t>Food Consumption</a:t>
          </a:r>
        </a:p>
      </dsp:txBody>
      <dsp:txXfrm>
        <a:off x="2919834" y="1635043"/>
        <a:ext cx="827874" cy="402904"/>
      </dsp:txXfrm>
    </dsp:sp>
    <dsp:sp modelId="{B38AC9B7-795C-C445-819A-365C4CD75C4F}">
      <dsp:nvSpPr>
        <dsp:cNvPr id="0" name=""/>
        <dsp:cNvSpPr/>
      </dsp:nvSpPr>
      <dsp:spPr>
        <a:xfrm>
          <a:off x="3785216" y="1621840"/>
          <a:ext cx="854280" cy="429310"/>
        </a:xfrm>
        <a:prstGeom prst="roundRect">
          <a:avLst>
            <a:gd name="adj" fmla="val 105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Font typeface="Courier New" panose="02070309020205020404" pitchFamily="49" charset="0"/>
            <a:buNone/>
          </a:pPr>
          <a:r>
            <a:rPr lang="en-AU" sz="600" kern="1200"/>
            <a:t>Waste management</a:t>
          </a:r>
        </a:p>
      </dsp:txBody>
      <dsp:txXfrm>
        <a:off x="3798419" y="1635043"/>
        <a:ext cx="827874" cy="402904"/>
      </dsp:txXfrm>
    </dsp:sp>
  </dsp:spTree>
</dsp:drawing>
</file>

<file path=word/diagrams/layout1.xml><?xml version="1.0" encoding="utf-8"?>
<dgm:layoutDef xmlns:dgm="http://schemas.openxmlformats.org/drawingml/2006/diagram" xmlns:a="http://schemas.openxmlformats.org/drawingml/2006/main" uniqueId="urn:microsoft.com/office/officeart/2005/8/layout/target2">
  <dgm:title val=""/>
  <dgm:desc val=""/>
  <dgm:catLst>
    <dgm:cat type="relationship"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chMax val="3"/>
      <dgm:chPref val="1"/>
      <dgm:dir/>
      <dgm:animLvl val="lvl"/>
      <dgm:resizeHandles/>
    </dgm:varLst>
    <dgm:alg type="composite">
      <dgm:param type="horzAlign" val="none"/>
      <dgm:param type="vertAlign" val="none"/>
    </dgm:alg>
    <dgm:shape xmlns:r="http://schemas.openxmlformats.org/officeDocument/2006/relationships" r:blip="">
      <dgm:adjLst/>
    </dgm:shape>
    <dgm:presOf/>
    <dgm:choose name="Name1">
      <dgm:if name="Name2" func="var" arg="dir" op="equ" val="norm">
        <dgm:choose name="Name3">
          <dgm:if name="Name4" axis="ch ch" ptType="node node" st="1 1" cnt="1 0" func="cnt" op="gt" val="0">
            <dgm:choose name="Name5">
              <dgm:if name="Name6"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2"/>
                  <dgm:constr type="t" for="ch" forName="middleBox" refType="h" fact="0.25"/>
                  <dgm:constr type="w" for="ch" forName="middleBox" refType="w" fact="0.775"/>
                  <dgm:constr type="h" for="ch" forName="middleBox" refType="h" fact="0.7"/>
                  <dgm:constr type="l" for="ch" forName="centerBox" refType="w" fact="0.395"/>
                  <dgm:constr type="t" for="ch" forName="centerBox" refType="h" fact="0.5"/>
                  <dgm:constr type="w" for="ch" forName="centerBox" refType="w" fact="0.555"/>
                  <dgm:constr type="h" for="ch" forName="centerBox" refType="h" fact="0.4"/>
                  <dgm:constr type="userA" for="des" forName="outerSibTrans" refType="w"/>
                  <dgm:constr type="userA" for="des" forName="middleSibTrans" refType="w"/>
                  <dgm:constr type="userA" for="des" forName="centerSibTrans" refType="w"/>
                </dgm:constrLst>
              </dgm:if>
              <dgm:else name="Name7">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2"/>
                  <dgm:constr type="t" for="ch" forName="middleBox" refType="h" fact="0.25"/>
                  <dgm:constr type="w" for="ch" forName="middleBox" refType="w" fact="0.775"/>
                  <dgm:constr type="h" for="ch" forName="middleBox" refType="h" fact="0.7"/>
                  <dgm:constr type="l" for="ch" forName="centerBox" refType="w" fact="0.225"/>
                  <dgm:constr type="t" for="ch" forName="centerBox" refType="h" fact="0.5"/>
                  <dgm:constr type="w" for="ch" forName="centerBox" refType="w" fact="0.725"/>
                  <dgm:constr type="h" for="ch" forName="centerBox" refType="h" fact="0.4"/>
                  <dgm:constr type="userA" for="des" forName="outerSibTrans" refType="w"/>
                  <dgm:constr type="userA" for="des" forName="middleSibTrans" refType="w"/>
                  <dgm:constr type="userA" for="des" forName="centerSibTrans" refType="w"/>
                </dgm:constrLst>
              </dgm:else>
            </dgm:choose>
          </dgm:if>
          <dgm:else name="Name8">
            <dgm:choose name="Name9">
              <dgm:if name="Name10"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26"/>
                  <dgm:constr type="t" for="ch" forName="centerBox" refType="h" fact="0.5"/>
                  <dgm:constr type="w" for="ch" forName="centerBox" refType="w" fact="0.69"/>
                  <dgm:constr type="h" for="ch" forName="centerBox" refType="h" fact="0.4"/>
                  <dgm:constr type="userA" for="des" forName="outerSibTrans" refType="w"/>
                  <dgm:constr type="userA" for="des" forName="middleSibTrans" refType="w"/>
                  <dgm:constr type="userA" for="des" forName="centerSibTrans" refType="w"/>
                </dgm:constrLst>
              </dgm:if>
              <dgm:else name="Name11">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9"/>
                  <dgm:constr type="h" for="ch" forName="centerBox" refType="h" fact="0.4"/>
                  <dgm:constr type="userA" for="des" forName="outerSibTrans" refType="w"/>
                  <dgm:constr type="userA" for="des" forName="middleSibTrans" refType="w"/>
                  <dgm:constr type="userA" for="des" forName="centerSibTrans" refType="w"/>
                </dgm:constrLst>
              </dgm:else>
            </dgm:choose>
          </dgm:else>
        </dgm:choose>
      </dgm:if>
      <dgm:else name="Name12">
        <dgm:choose name="Name13">
          <dgm:if name="Name14" axis="ch ch" ptType="node node" st="1 1" cnt="1 0" func="cnt" op="gt" val="0">
            <dgm:choose name="Name15">
              <dgm:if name="Name16"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775"/>
                  <dgm:constr type="h" for="ch" forName="middleBox" refType="h" fact="0.7"/>
                  <dgm:constr type="l" for="ch" forName="centerBox" refType="w" fact="0.05"/>
                  <dgm:constr type="t" for="ch" forName="centerBox" refType="h" fact="0.5"/>
                  <dgm:constr type="w" for="ch" forName="centerBox" refType="w" fact="0.55"/>
                  <dgm:constr type="h" for="ch" forName="centerBox" refType="h" fact="0.4"/>
                  <dgm:constr type="userA" for="des" forName="outerSibTrans" refType="w"/>
                  <dgm:constr type="userA" for="des" forName="middleSibTrans" refType="w"/>
                  <dgm:constr type="userA" for="des" forName="centerSibTrans" refType="w"/>
                </dgm:constrLst>
              </dgm:if>
              <dgm:else name="Name17">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775"/>
                  <dgm:constr type="h" for="ch" forName="middleBox" refType="h" fact="0.7"/>
                  <dgm:constr type="l" for="ch" forName="centerBox" refType="w" fact="0.05"/>
                  <dgm:constr type="t" for="ch" forName="centerBox" refType="h" fact="0.5"/>
                  <dgm:constr type="w" for="ch" forName="centerBox" refType="w" fact="0.725"/>
                  <dgm:constr type="h" for="ch" forName="centerBox" refType="h" fact="0.4"/>
                  <dgm:constr type="userA" for="des" forName="outerSibTrans" refType="w"/>
                  <dgm:constr type="userA" for="des" forName="middleSibTrans" refType="w"/>
                  <dgm:constr type="userA" for="des" forName="centerSibTrans" refType="w"/>
                </dgm:constrLst>
              </dgm:else>
            </dgm:choose>
          </dgm:if>
          <dgm:else name="Name18">
            <dgm:choose name="Name19">
              <dgm:if name="Name20"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69"/>
                  <dgm:constr type="h" for="ch" forName="centerBox" refType="h" fact="0.4"/>
                  <dgm:constr type="userA" for="des" forName="outerSibTrans" refType="w"/>
                  <dgm:constr type="userA" for="des" forName="middleSibTrans" refType="w"/>
                  <dgm:constr type="userA" for="des" forName="centerSibTrans" refType="w"/>
                </dgm:constrLst>
              </dgm:if>
              <dgm:else name="Name21">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9"/>
                  <dgm:constr type="h" for="ch" forName="centerBox" refType="h" fact="0.4"/>
                  <dgm:constr type="userA" for="des" forName="outerSibTrans" refType="w"/>
                  <dgm:constr type="userA" for="des" forName="middleSibTrans" refType="w"/>
                  <dgm:constr type="userA" for="des" forName="centerSibTrans" refType="w"/>
                </dgm:constrLst>
              </dgm:else>
            </dgm:choose>
          </dgm:else>
        </dgm:choose>
      </dgm:else>
    </dgm:choose>
    <dgm:ruleLst/>
    <dgm:choose name="Name22">
      <dgm:if name="Name23" axis="root ch" ptType="all node" st="1 1" cnt="0 0" func="cnt" op="gte" val="1">
        <dgm:layoutNode name="outerBox" styleLbl="node1">
          <dgm:alg type="composite">
            <dgm:param type="horzAlign" val="none"/>
            <dgm:param type="vertAlign" val="none"/>
          </dgm:alg>
          <dgm:shape xmlns:r="http://schemas.openxmlformats.org/officeDocument/2006/relationships" r:blip="">
            <dgm:adjLst/>
          </dgm:shape>
          <dgm:presOf/>
          <dgm:choose name="Name24">
            <dgm:if name="Name25" axis="root ch" ptType="all node" st="1 1" cnt="0 0" func="cnt" op="gt" val="1">
              <dgm:choose name="Name26">
                <dgm:if name="Name27" func="var" arg="dir" op="equ" val="norm">
                  <dgm:constrLst>
                    <dgm:constr type="l" for="ch" forName="outerBoxParent"/>
                    <dgm:constr type="t" for="ch" forName="outerBoxParent"/>
                    <dgm:constr type="w" for="ch" forName="outerBoxParent" refType="w"/>
                    <dgm:constr type="h" for="ch" forName="outerBoxParent" refType="h"/>
                    <dgm:constr type="bMarg" for="ch" forName="outerBoxParent" refType="h" fact="2.2"/>
                    <dgm:constr type="l" for="ch" forName="outerBoxChildren" refType="w" fact="0.025"/>
                    <dgm:constr type="t" for="ch" forName="outerBoxChildren" refType="h" fact="0.25"/>
                    <dgm:constr type="w" for="ch" forName="outerBoxChildren" refType="w" fact="0.15"/>
                    <dgm:constr type="h" for="ch" forName="outerBoxChildren" refType="h" fact="0.7"/>
                  </dgm:constrLst>
                </dgm:if>
                <dgm:else name="Name28">
                  <dgm:constrLst>
                    <dgm:constr type="l" for="ch" forName="outerBoxParent"/>
                    <dgm:constr type="t" for="ch" forName="outerBoxParent"/>
                    <dgm:constr type="w" for="ch" forName="outerBoxParent" refType="w"/>
                    <dgm:constr type="h" for="ch" forName="outerBoxParent" refType="h"/>
                    <dgm:constr type="bMarg" for="ch" forName="outerBoxParent" refType="h" fact="2.2"/>
                    <dgm:constr type="l" for="ch" forName="outerBoxChildren" refType="w" fact="0.825"/>
                    <dgm:constr type="t" for="ch" forName="outerBoxChildren" refType="h" fact="0.25"/>
                    <dgm:constr type="w" for="ch" forName="outerBoxChildren" refType="w" fact="0.15"/>
                    <dgm:constr type="h" for="ch" forName="outerBoxChildren" refType="h" fact="0.7"/>
                  </dgm:constrLst>
                </dgm:else>
              </dgm:choose>
            </dgm:if>
            <dgm:else name="Name29">
              <dgm:constrLst>
                <dgm:constr type="l" for="ch" forName="outerBoxParent"/>
                <dgm:constr type="t" for="ch" forName="outerBoxParent"/>
                <dgm:constr type="w" for="ch" forName="outerBoxParent" refType="w"/>
                <dgm:constr type="h" for="ch" forName="outerBoxParent" refType="h"/>
                <dgm:constr type="bMarg" for="ch" forName="outerBoxParent" refType="h" fact="1.75"/>
                <dgm:constr type="l" for="ch" forName="outerBoxChildren" refType="w" fact="0.025"/>
                <dgm:constr type="t" for="ch" forName="outerBoxChildren" refType="h" fact="0.45"/>
                <dgm:constr type="w" for="ch" forName="outerBoxChildren" refType="w" fact="0.95"/>
                <dgm:constr type="h" for="ch" forName="outerBoxChildren" refType="h" fact="0.45"/>
              </dgm:constrLst>
            </dgm:else>
          </dgm:choose>
          <dgm:ruleLst/>
          <dgm:layoutNode name="outerBoxParent" styleLbl="node1">
            <dgm:alg type="tx">
              <dgm:param type="txAnchorVert" val="t"/>
              <dgm:param type="parTxLTRAlign" val="l"/>
              <dgm:param type="parTxRTLAlign" val="r"/>
            </dgm:alg>
            <dgm:shape xmlns:r="http://schemas.openxmlformats.org/officeDocument/2006/relationships" type="roundRect" r:blip="">
              <dgm:adjLst>
                <dgm:adj idx="1" val="0.085"/>
              </dgm:adjLst>
            </dgm:shape>
            <dgm:presOf axis="ch" ptType="node" cnt="1"/>
            <dgm:constrLst>
              <dgm:constr type="tMarg" refType="primFontSz" fact="0.3"/>
              <dgm:constr type="lMarg" refType="primFontSz" fact="0.3"/>
              <dgm:constr type="rMarg" refType="primFontSz" fact="0.3"/>
            </dgm:constrLst>
            <dgm:ruleLst>
              <dgm:rule type="primFontSz" val="5" fact="NaN" max="NaN"/>
            </dgm:ruleLst>
          </dgm:layoutNode>
          <dgm:layoutNode name="outerBoxChildren">
            <dgm:choose name="Name30">
              <dgm:if name="Name31" axis="root ch" ptType="all node" st="1 1" cnt="0 0" func="cnt" op="gt" val="1">
                <dgm:alg type="lin">
                  <dgm:param type="linDir" val="fromT"/>
                  <dgm:param type="vertAlign" val="t"/>
                </dgm:alg>
              </dgm:if>
              <dgm:else name="Name32">
                <dgm:choose name="Name33">
                  <dgm:if name="Name34" func="var" arg="dir" op="equ" val="norm">
                    <dgm:alg type="lin">
                      <dgm:param type="horzAlign" val="l"/>
                    </dgm:alg>
                  </dgm:if>
                  <dgm:else name="Name35">
                    <dgm:alg type="lin">
                      <dgm:param type="linDir" val="fromR"/>
                      <dgm:param type="horzAlign" val="r"/>
                    </dgm:alg>
                  </dgm:else>
                </dgm:choose>
              </dgm:else>
            </dgm:choose>
            <dgm:shape xmlns:r="http://schemas.openxmlformats.org/officeDocument/2006/relationships" r:blip="">
              <dgm:adjLst/>
            </dgm:shape>
            <dgm:presOf/>
            <dgm:constrLst>
              <dgm:constr type="w" for="ch" forName="oChild" refType="w"/>
              <dgm:constr type="h" for="ch" forName="oChild" refType="h"/>
            </dgm:constrLst>
            <dgm:ruleLst/>
            <dgm:forEach name="Name36" axis="ch ch" ptType="node node" st="1 1" cnt="1 0">
              <dgm:layoutNode name="o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37" axis="followSib" ptType="sibTrans" cnt="1">
                <dgm:layoutNode name="outer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layoutNode>
      </dgm:if>
      <dgm:else name="Name38"/>
    </dgm:choose>
    <dgm:choose name="Name39">
      <dgm:if name="Name40" axis="root ch" ptType="all node" st="1 1" cnt="0 0" func="cnt" op="gte" val="2">
        <dgm:layoutNode name="middleBox">
          <dgm:alg type="composite">
            <dgm:param type="horzAlign" val="none"/>
            <dgm:param type="vertAlign" val="none"/>
          </dgm:alg>
          <dgm:shape xmlns:r="http://schemas.openxmlformats.org/officeDocument/2006/relationships" r:blip="">
            <dgm:adjLst/>
          </dgm:shape>
          <dgm:presOf/>
          <dgm:choose name="Name41">
            <dgm:if name="Name42" axis="root ch" ptType="all node" st="1 1" cnt="0 0" func="cnt" op="gt" val="2">
              <dgm:choose name="Name43">
                <dgm:if name="Name44" func="var" arg="dir" op="equ" val="norm">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025"/>
                    <dgm:constr type="t" for="ch" forName="middleBoxChildren" refType="h" fact="0.35"/>
                    <dgm:constr type="w" for="ch" forName="middleBoxChildren" refType="w" fact="0.2"/>
                    <dgm:constr type="h" for="ch" forName="middleBoxChildren" refType="h" fact="0.575"/>
                  </dgm:constrLst>
                </dgm:if>
                <dgm:else name="Name45">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775"/>
                    <dgm:constr type="t" for="ch" forName="middleBoxChildren" refType="h" fact="0.35"/>
                    <dgm:constr type="w" for="ch" forName="middleBoxChildren" refType="w" fact="0.2"/>
                    <dgm:constr type="h" for="ch" forName="middleBoxChildren" refType="h" fact="0.575"/>
                  </dgm:constrLst>
                </dgm:else>
              </dgm:choose>
            </dgm:if>
            <dgm:else name="Name46">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025"/>
                <dgm:constr type="t" for="ch" forName="middleBoxChildren" refType="h" fact="0.45"/>
                <dgm:constr type="w" for="ch" forName="middleBoxChildren" refType="w" fact="0.95"/>
                <dgm:constr type="h" for="ch" forName="middleBoxChildren" refType="h" fact="0.45"/>
              </dgm:constrLst>
            </dgm:else>
          </dgm:choose>
          <dgm:ruleLst/>
          <dgm:layoutNode name="middleBoxParent" styleLbl="node1">
            <dgm:alg type="tx">
              <dgm:param type="txAnchorVert" val="t"/>
              <dgm:param type="parTxLTRAlign" val="l"/>
              <dgm:param type="parTxRTLAlign" val="r"/>
            </dgm:alg>
            <dgm:shape xmlns:r="http://schemas.openxmlformats.org/officeDocument/2006/relationships" type="roundRect" r:blip="">
              <dgm:adjLst>
                <dgm:adj idx="1" val="0.105"/>
              </dgm:adjLst>
            </dgm:shape>
            <dgm:presOf axis="ch" ptType="node" st="2" cnt="1"/>
            <dgm:constrLst>
              <dgm:constr type="tMarg" refType="primFontSz" fact="0.3"/>
              <dgm:constr type="lMarg" refType="primFontSz" fact="0.3"/>
              <dgm:constr type="rMarg" refType="primFontSz" fact="0.3"/>
            </dgm:constrLst>
            <dgm:ruleLst>
              <dgm:rule type="primFontSz" val="5" fact="NaN" max="NaN"/>
            </dgm:ruleLst>
          </dgm:layoutNode>
          <dgm:layoutNode name="middleBoxChildren">
            <dgm:choose name="Name47">
              <dgm:if name="Name48" axis="root ch" ptType="all node" st="1 1" cnt="0 0" func="cnt" op="gt" val="2">
                <dgm:alg type="lin">
                  <dgm:param type="linDir" val="fromT"/>
                  <dgm:param type="vertAlign" val="t"/>
                </dgm:alg>
              </dgm:if>
              <dgm:else name="Name49">
                <dgm:choose name="Name50">
                  <dgm:if name="Name51" func="var" arg="dir" op="equ" val="norm">
                    <dgm:alg type="lin">
                      <dgm:param type="horzAlign" val="l"/>
                    </dgm:alg>
                  </dgm:if>
                  <dgm:else name="Name52">
                    <dgm:alg type="lin">
                      <dgm:param type="linDir" val="fromR"/>
                      <dgm:param type="horzAlign" val="r"/>
                    </dgm:alg>
                  </dgm:else>
                </dgm:choose>
              </dgm:else>
            </dgm:choose>
            <dgm:shape xmlns:r="http://schemas.openxmlformats.org/officeDocument/2006/relationships" r:blip="">
              <dgm:adjLst/>
            </dgm:shape>
            <dgm:presOf/>
            <dgm:constrLst>
              <dgm:constr type="w" for="ch" forName="mChild" refType="w"/>
              <dgm:constr type="h" for="ch" forName="mChild" refType="h"/>
            </dgm:constrLst>
            <dgm:ruleLst/>
            <dgm:forEach name="Name53" axis="ch ch" ptType="node node" st="2 1" cnt="1 0">
              <dgm:layoutNode name="m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54" axis="followSib" ptType="sibTrans" cnt="1">
                <dgm:layoutNode name="middle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layoutNode>
      </dgm:if>
      <dgm:else name="Name55"/>
    </dgm:choose>
    <dgm:choose name="Name56">
      <dgm:if name="Name57" axis="root ch" ptType="all node" st="1 1" cnt="0 0" func="cnt" op="gte" val="3">
        <dgm:layoutNode name="centerBox">
          <dgm:alg type="composite">
            <dgm:param type="horzAlign" val="none"/>
            <dgm:param type="vertAlign" val="none"/>
          </dgm:alg>
          <dgm:shape xmlns:r="http://schemas.openxmlformats.org/officeDocument/2006/relationships" r:blip="">
            <dgm:adjLst/>
          </dgm:shape>
          <dgm:presOf/>
          <dgm:choose name="Name58">
            <dgm:if name="Name59" axis="ch ch" ptType="node node" st="3 1" cnt="1 0" func="cnt" op="gt" val="0">
              <dgm:constrLst>
                <dgm:constr type="l" for="ch" forName="centerBoxParent"/>
                <dgm:constr type="t" for="ch" forName="centerBoxParent"/>
                <dgm:constr type="w" for="ch" forName="centerBoxParent" refType="w"/>
                <dgm:constr type="h" for="ch" forName="centerBoxParent" refType="h"/>
                <dgm:constr type="bMarg" for="ch" forName="centerBoxParent" refType="h" fact="1.6"/>
                <dgm:constr type="l" for="ch" forName="centerBoxChildren" refType="w" fact="0.025"/>
                <dgm:constr type="t" for="ch" forName="centerBoxChildren" refType="h" fact="0.45"/>
                <dgm:constr type="w" for="ch" forName="centerBoxChildren" refType="w" fact="0.95"/>
                <dgm:constr type="h" for="ch" forName="centerBoxChildren" refType="h" fact="0.45"/>
              </dgm:constrLst>
            </dgm:if>
            <dgm:else name="Name60">
              <dgm:constrLst>
                <dgm:constr type="l" for="ch" forName="centerBoxParent"/>
                <dgm:constr type="t" for="ch" forName="centerBoxParent"/>
                <dgm:constr type="w" for="ch" forName="centerBoxParent" refType="w"/>
                <dgm:constr type="h" for="ch" forName="centerBoxParent" refType="h"/>
              </dgm:constrLst>
            </dgm:else>
          </dgm:choose>
          <dgm:ruleLst/>
          <dgm:layoutNode name="centerBoxParent" styleLbl="node1">
            <dgm:alg type="tx">
              <dgm:param type="txAnchorVert" val="t"/>
              <dgm:param type="parTxLTRAlign" val="l"/>
              <dgm:param type="parTxRTLAlign" val="r"/>
            </dgm:alg>
            <dgm:shape xmlns:r="http://schemas.openxmlformats.org/officeDocument/2006/relationships" type="roundRect" r:blip="">
              <dgm:adjLst>
                <dgm:adj idx="1" val="0.105"/>
              </dgm:adjLst>
            </dgm:shape>
            <dgm:presOf axis="ch" ptType="node" st="3" cnt="1"/>
            <dgm:constrLst>
              <dgm:constr type="tMarg" refType="primFontSz" fact="0.3"/>
              <dgm:constr type="lMarg" refType="primFontSz" fact="0.3"/>
              <dgm:constr type="rMarg" refType="primFontSz" fact="0.3"/>
            </dgm:constrLst>
            <dgm:ruleLst>
              <dgm:rule type="primFontSz" val="5" fact="NaN" max="NaN"/>
            </dgm:ruleLst>
          </dgm:layoutNode>
          <dgm:choose name="Name61">
            <dgm:if name="Name62" axis="ch ch" ptType="node node" st="3 1" cnt="1 0" func="cnt" op="gt" val="0">
              <dgm:layoutNode name="centerBoxChildren">
                <dgm:choose name="Name63">
                  <dgm:if name="Name64" func="var" arg="dir" op="equ" val="norm">
                    <dgm:alg type="lin">
                      <dgm:param type="horzAlign" val="l"/>
                    </dgm:alg>
                  </dgm:if>
                  <dgm:else name="Name65">
                    <dgm:alg type="lin">
                      <dgm:param type="linDir" val="fromR"/>
                      <dgm:param type="horzAlign" val="r"/>
                    </dgm:alg>
                  </dgm:else>
                </dgm:choose>
                <dgm:shape xmlns:r="http://schemas.openxmlformats.org/officeDocument/2006/relationships" r:blip="">
                  <dgm:adjLst/>
                </dgm:shape>
                <dgm:presOf/>
                <dgm:constrLst>
                  <dgm:constr type="w" for="ch" forName="cChild" refType="w"/>
                  <dgm:constr type="h" for="ch" forName="cChild" refType="h"/>
                </dgm:constrLst>
                <dgm:ruleLst/>
                <dgm:forEach name="Name66" axis="ch ch" ptType="node node" st="3 1" cnt="1 0">
                  <dgm:layoutNode name="c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67" axis="followSib" ptType="sibTrans" cnt="1">
                    <dgm:layoutNode name="center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if>
            <dgm:else name="Name68"/>
          </dgm:choose>
        </dgm:layoutNode>
      </dgm:if>
      <dgm:else name="Name69"/>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2020-04-30T00:00:00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RecordNumber xmlns="1201fbac-4e05-4e09-943f-b1daffa0ea6b" xsi:nil="true"/>
    <IconOverlay xmlns="http://schemas.microsoft.com/sharepoint/v4" xsi:nil="true"/>
    <DocumentDescription xmlns="1201fbac-4e05-4e09-943f-b1daffa0ea6b" xsi:nil="true"/>
    <Approval xmlns="1201fbac-4e05-4e09-943f-b1daffa0ea6b" xsi:nil="true"/>
    <Function xmlns="1201fbac-4e05-4e09-943f-b1daffa0ea6b">Program Admin</Function>
  </documentManagement>
</p:properties>
</file>

<file path=customXml/item3.xml><?xml version="1.0" encoding="utf-8"?>
<?mso-contentType ?>
<customXsn xmlns="http://schemas.microsoft.com/office/2006/metadata/customXsn">
  <xsnLocation/>
  <cached>True</cached>
  <openByDefault>True</openByDefault>
  <xsnScope/>
</customXsn>
</file>

<file path=customXml/item4.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5.xml><?xml version="1.0" encoding="utf-8"?>
<ct:contentTypeSchema xmlns:ct="http://schemas.microsoft.com/office/2006/metadata/contentType" xmlns:ma="http://schemas.microsoft.com/office/2006/metadata/properties/metaAttributes" ct:_="" ma:_="" ma:contentTypeName="SPIRE Document" ma:contentTypeID="0x01010087E80B6A94CF17418D78389AE32387B5003C67B6C4F105484B8B4BE9345AEC3DBD" ma:contentTypeVersion="7" ma:contentTypeDescription="SPIRE Document" ma:contentTypeScope="" ma:versionID="36fd541c595cb57008976b7fdf80bf51">
  <xsd:schema xmlns:xsd="http://www.w3.org/2001/XMLSchema" xmlns:xs="http://www.w3.org/2001/XMLSchema" xmlns:p="http://schemas.microsoft.com/office/2006/metadata/properties" xmlns:ns2="1201fbac-4e05-4e09-943f-b1daffa0ea6b" xmlns:ns3="http://schemas.microsoft.com/sharepoint/v4" targetNamespace="http://schemas.microsoft.com/office/2006/metadata/properties" ma:root="true" ma:fieldsID="d6efb1064d675a32c561ea79aee4baa2" ns2:_="" ns3:_="">
    <xsd:import namespace="1201fbac-4e05-4e09-943f-b1daffa0ea6b"/>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01fbac-4e05-4e09-943f-b1daffa0ea6b"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Program Admi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SixthEditionOfficeOnline.xsl" StyleName="APA" Version="6">
  <b:Source>
    <b:Tag>Com17</b:Tag>
    <b:SourceType>Report</b:SourceType>
    <b:Guid>{BFFAAC80-E850-D14C-A4C9-5AB2A13F7A4E}</b:Guid>
    <b:Author>
      <b:Author>
        <b:Corporate>Commonwealth of Australia</b:Corporate>
      </b:Author>
    </b:Author>
    <b:Title>National Food Waste Strategy: Halving Australia's Food Waste by 2030</b:Title>
    <b:City>Canberra</b:City>
    <b:Publisher>Commonwealth of Australia</b:Publisher>
    <b:Year>2017</b:Year>
    <b:RefOrder>2</b:RefOrder>
  </b:Source>
  <b:Source>
    <b:Tag>Com18</b:Tag>
    <b:SourceType>Report</b:SourceType>
    <b:Guid>{B25EF736-32CE-B343-B656-6B46CFCC1145}</b:Guid>
    <b:Author>
      <b:Author>
        <b:Corporate>Commonwealth of Australia,</b:Corporate>
      </b:Author>
    </b:Author>
    <b:Title>National Waste Policy</b:Title>
    <b:Publisher>Commonwealth of Australia</b:Publisher>
    <b:City>Canberra</b:City>
    <b:Year>2018</b:Year>
    <b:RefOrder>6</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E0D26B1-2079-4A8D-9E26-CDBA8A9A5EA9}">
  <ds:schemaRefs>
    <ds:schemaRef ds:uri="http://schemas.microsoft.com/office/2006/metadata/properties"/>
    <ds:schemaRef ds:uri="http://schemas.microsoft.com/office/infopath/2007/PartnerControls"/>
    <ds:schemaRef ds:uri="1201fbac-4e05-4e09-943f-b1daffa0ea6b"/>
    <ds:schemaRef ds:uri="http://schemas.microsoft.com/sharepoint/v4"/>
  </ds:schemaRefs>
</ds:datastoreItem>
</file>

<file path=customXml/itemProps3.xml><?xml version="1.0" encoding="utf-8"?>
<ds:datastoreItem xmlns:ds="http://schemas.openxmlformats.org/officeDocument/2006/customXml" ds:itemID="{CE3D81B7-0F8C-46EF-B681-E84A5FA3AF28}">
  <ds:schemaRefs>
    <ds:schemaRef ds:uri="http://schemas.microsoft.com/office/2006/metadata/customXsn"/>
  </ds:schemaRefs>
</ds:datastoreItem>
</file>

<file path=customXml/itemProps4.xml><?xml version="1.0" encoding="utf-8"?>
<ds:datastoreItem xmlns:ds="http://schemas.openxmlformats.org/officeDocument/2006/customXml" ds:itemID="{60879E86-4AFD-4BEC-ADBB-F0DCEC6BE792}">
  <ds:schemaRefs>
    <ds:schemaRef ds:uri="http://schemas.microsoft.com/sharepoint/events"/>
  </ds:schemaRefs>
</ds:datastoreItem>
</file>

<file path=customXml/itemProps5.xml><?xml version="1.0" encoding="utf-8"?>
<ds:datastoreItem xmlns:ds="http://schemas.openxmlformats.org/officeDocument/2006/customXml" ds:itemID="{912ED566-92DD-4A5E-9FEA-45F8F94EA6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01fbac-4e05-4e09-943f-b1daffa0ea6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8BC79C6A-EE26-4745-AD6C-6640530E207B}">
  <ds:schemaRefs>
    <ds:schemaRef ds:uri="http://schemas.microsoft.com/sharepoint/v3/contenttype/forms"/>
  </ds:schemaRefs>
</ds:datastoreItem>
</file>

<file path=customXml/itemProps7.xml><?xml version="1.0" encoding="utf-8"?>
<ds:datastoreItem xmlns:ds="http://schemas.openxmlformats.org/officeDocument/2006/customXml" ds:itemID="{2BB9B6DC-3C0F-4E40-A269-97370C47D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5F52659D.dotm</Template>
  <TotalTime>185</TotalTime>
  <Pages>39</Pages>
  <Words>9805</Words>
  <Characters>55891</Characters>
  <Application>Microsoft Office Word</Application>
  <DocSecurity>0</DocSecurity>
  <Lines>465</Lines>
  <Paragraphs>131</Paragraphs>
  <ScaleCrop>false</ScaleCrop>
  <HeadingPairs>
    <vt:vector size="2" baseType="variant">
      <vt:variant>
        <vt:lpstr>Title</vt:lpstr>
      </vt:variant>
      <vt:variant>
        <vt:i4>1</vt:i4>
      </vt:variant>
    </vt:vector>
  </HeadingPairs>
  <TitlesOfParts>
    <vt:vector size="1" baseType="lpstr">
      <vt:lpstr>Establishing a Voluntary Commitment Program: Working collaboratively to halve food waste in Australia</vt:lpstr>
    </vt:vector>
  </TitlesOfParts>
  <Company/>
  <LinksUpToDate>false</LinksUpToDate>
  <CharactersWithSpaces>65565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Establishing a Voluntary Commitment Program: Working collaboratively to halve food waste in Australia</dc:title>
  <dc:subject/>
  <dc:creator>Mark Barthel</dc:creator>
  <cp:keywords/>
  <dc:description/>
  <cp:lastModifiedBy>Sarah Lenarduzzi</cp:lastModifiedBy>
  <cp:revision>3</cp:revision>
  <cp:lastPrinted>2020-02-23T22:38:00Z</cp:lastPrinted>
  <dcterms:created xsi:type="dcterms:W3CDTF">2020-05-01T01:26:00Z</dcterms:created>
  <dcterms:modified xsi:type="dcterms:W3CDTF">2020-05-01T04:41:00Z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0x01010087E80B6A94CF17418D78389AE32387B5003C67B6C4F105484B8B4BE9345AEC3DBD</vt:lpwstr>
  </property>
  <property fmtid="{D5CDD505-2E9C-101B-9397-08002B2CF9AE}" pid="3" name="RecordPoint_WorkflowType">
    <vt:lpwstr>ActiveSubmitStub</vt:lpwstr>
  </property>
  <property fmtid="{D5CDD505-2E9C-101B-9397-08002B2CF9AE}" pid="4" name="RecordPoint_ActiveItemSiteId">
    <vt:lpwstr>{1385f4fc-5717-4abf-b566-e69ec52ac4b2}</vt:lpwstr>
  </property>
  <property fmtid="{D5CDD505-2E9C-101B-9397-08002B2CF9AE}" pid="5" name="RecordPoint_ActiveItemListId">
    <vt:lpwstr>{46c754eb-6740-4f4c-baaa-b64ee880bb2e}</vt:lpwstr>
  </property>
  <property fmtid="{D5CDD505-2E9C-101B-9397-08002B2CF9AE}" pid="6" name="RecordPoint_ActiveItemUniqueId">
    <vt:lpwstr>{ba61753c-47e5-4f9f-a697-edf61512ed20}</vt:lpwstr>
  </property>
  <property fmtid="{D5CDD505-2E9C-101B-9397-08002B2CF9AE}" pid="7" name="RecordPoint_ActiveItemWebId">
    <vt:lpwstr>{ea551991-ea52-49c0-a376-52fc02ae4010}</vt:lpwstr>
  </property>
</Properties>
</file>