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0524" w14:textId="23B5DEBE" w:rsidR="004E6CCF" w:rsidRDefault="004E6CCF" w:rsidP="00510501">
      <w:pPr>
        <w:pStyle w:val="Title"/>
        <w:rPr>
          <w:rFonts w:eastAsiaTheme="minorHAnsi" w:cstheme="minorBidi"/>
          <w:b w:val="0"/>
          <w:i/>
          <w:iCs/>
          <w:color w:val="404040" w:themeColor="text1" w:themeTint="BF"/>
          <w:spacing w:val="0"/>
          <w:kern w:val="0"/>
          <w:sz w:val="24"/>
          <w:szCs w:val="18"/>
        </w:rPr>
      </w:pPr>
    </w:p>
    <w:sdt>
      <w:sdtPr>
        <w:rPr>
          <w:rFonts w:eastAsiaTheme="minorHAnsi" w:cstheme="minorBidi"/>
          <w:b w:val="0"/>
          <w:i/>
          <w:iCs/>
          <w:color w:val="404040" w:themeColor="text1" w:themeTint="BF"/>
          <w:spacing w:val="0"/>
          <w:kern w:val="0"/>
          <w:sz w:val="24"/>
          <w:szCs w:val="18"/>
        </w:rPr>
        <w:id w:val="-1865663256"/>
        <w:docPartObj>
          <w:docPartGallery w:val="Cover Pages"/>
          <w:docPartUnique/>
        </w:docPartObj>
      </w:sdtPr>
      <w:sdtEndPr>
        <w:rPr>
          <w:i w:val="0"/>
          <w:iCs w:val="0"/>
          <w:szCs w:val="22"/>
        </w:rPr>
      </w:sdtEndPr>
      <w:sdtContent>
        <w:p w14:paraId="5A79D6A0" w14:textId="4D9AE7FF" w:rsidR="009F4AD0" w:rsidRPr="00F54B13" w:rsidRDefault="001B21CA" w:rsidP="00510501">
          <w:pPr>
            <w:pStyle w:val="Title"/>
            <w:rPr>
              <w:sz w:val="38"/>
              <w:szCs w:val="38"/>
            </w:rPr>
          </w:pPr>
          <w:r w:rsidRPr="00F54B13">
            <w:rPr>
              <w:sz w:val="38"/>
              <w:szCs w:val="38"/>
            </w:rPr>
            <w:t xml:space="preserve">Application for </w:t>
          </w:r>
          <w:r w:rsidR="00F54B13" w:rsidRPr="00F54B13">
            <w:rPr>
              <w:sz w:val="38"/>
              <w:szCs w:val="38"/>
            </w:rPr>
            <w:t xml:space="preserve">subsequent </w:t>
          </w:r>
          <w:r w:rsidRPr="00F54B13">
            <w:rPr>
              <w:sz w:val="38"/>
              <w:szCs w:val="38"/>
            </w:rPr>
            <w:t xml:space="preserve">Wildlife Trade Operation – </w:t>
          </w:r>
          <w:r w:rsidR="000E6548">
            <w:rPr>
              <w:sz w:val="38"/>
              <w:szCs w:val="38"/>
            </w:rPr>
            <w:t>Marine Aquarium Fish</w:t>
          </w:r>
          <w:r w:rsidRPr="00F54B13">
            <w:rPr>
              <w:sz w:val="38"/>
              <w:szCs w:val="38"/>
            </w:rPr>
            <w:t xml:space="preserve"> Managed Fishery</w:t>
          </w:r>
        </w:p>
        <w:p w14:paraId="58B5C6EB" w14:textId="77777777" w:rsidR="00EC49AE" w:rsidRDefault="00EC49AE" w:rsidP="00B07280">
          <w:pPr>
            <w:jc w:val="both"/>
          </w:pPr>
        </w:p>
        <w:p w14:paraId="7CB6715A" w14:textId="1F4470BA" w:rsidR="00D05B23" w:rsidRDefault="005C23F7" w:rsidP="00B07280">
          <w:pPr>
            <w:jc w:val="both"/>
          </w:pPr>
          <w:r>
            <w:t>The</w:t>
          </w:r>
          <w:r w:rsidR="00470615">
            <w:t xml:space="preserve"> former</w:t>
          </w:r>
          <w:r>
            <w:t xml:space="preserve"> Department of the Environment and Water Resources (DEWR</w:t>
          </w:r>
          <w:r w:rsidR="00470615">
            <w:t>; now Department of Agriculture, Water and the Environment: DAWE</w:t>
          </w:r>
          <w:r>
            <w:t xml:space="preserve">) sets out the requirements for Wildlife Trade Operation (WTO) reassessment in the </w:t>
          </w:r>
          <w:r>
            <w:rPr>
              <w:i/>
            </w:rPr>
            <w:t xml:space="preserve">Guidelines for the ecologically sustainable management of fisheries – 2007 </w:t>
          </w:r>
          <w:r>
            <w:t xml:space="preserve">(the Guidelines). </w:t>
          </w:r>
          <w:r w:rsidR="00D05B23">
            <w:t xml:space="preserve">Preparation of </w:t>
          </w:r>
          <w:r w:rsidR="00765A10">
            <w:t xml:space="preserve">this </w:t>
          </w:r>
          <w:r w:rsidR="00D05B23">
            <w:t xml:space="preserve">application for a subsequent WTO for the </w:t>
          </w:r>
          <w:r w:rsidR="00406785">
            <w:t>Marine Aquarium Fish Managed Fishery (MAF</w:t>
          </w:r>
          <w:r w:rsidR="0030123E">
            <w:t>MF</w:t>
          </w:r>
          <w:r w:rsidR="00D05B23">
            <w:t xml:space="preserve">) was informed by the Guidelines. </w:t>
          </w:r>
        </w:p>
        <w:p w14:paraId="7E277C68" w14:textId="29EA5A99" w:rsidR="005C23F7" w:rsidRPr="005C23F7" w:rsidRDefault="00470615" w:rsidP="00B07280">
          <w:pPr>
            <w:jc w:val="both"/>
          </w:pPr>
          <w:r>
            <w:t xml:space="preserve">DAWE </w:t>
          </w:r>
          <w:r w:rsidR="008F608F">
            <w:t xml:space="preserve">has produced a table to determine the level of change in a fishery that is not captured in annual reports provided to </w:t>
          </w:r>
          <w:r>
            <w:t>DAWE</w:t>
          </w:r>
          <w:r w:rsidR="008F608F">
            <w:t xml:space="preserve">. This table is used to guide the level of information required for subsequent assessments, noting the substantial level of detail provided in initial assessments. The completed table below shows how the </w:t>
          </w:r>
          <w:r w:rsidR="0030123E">
            <w:t>MAFMF</w:t>
          </w:r>
          <w:r w:rsidR="00406785">
            <w:t xml:space="preserve"> </w:t>
          </w:r>
          <w:r w:rsidR="008F608F">
            <w:t xml:space="preserve">sits against these points. </w:t>
          </w:r>
        </w:p>
        <w:p w14:paraId="4BDCA594" w14:textId="77777777" w:rsidR="00553907" w:rsidRPr="00F54B13" w:rsidRDefault="00F54B13" w:rsidP="00553907">
          <w:pPr>
            <w:pStyle w:val="Heading1"/>
            <w:rPr>
              <w:sz w:val="24"/>
              <w:szCs w:val="24"/>
            </w:rPr>
          </w:pPr>
          <w:r w:rsidRPr="00F54B13">
            <w:rPr>
              <w:sz w:val="24"/>
              <w:szCs w:val="24"/>
            </w:rPr>
            <w:t>Level of change, not reported in annual reports, since previous fishery assessment</w:t>
          </w:r>
        </w:p>
        <w:tbl>
          <w:tblPr>
            <w:tblStyle w:val="TableGrid"/>
            <w:tblW w:w="0" w:type="auto"/>
            <w:tblLook w:val="04A0" w:firstRow="1" w:lastRow="0" w:firstColumn="1" w:lastColumn="0" w:noHBand="0" w:noVBand="1"/>
          </w:tblPr>
          <w:tblGrid>
            <w:gridCol w:w="2358"/>
            <w:gridCol w:w="5640"/>
            <w:gridCol w:w="706"/>
            <w:gridCol w:w="614"/>
          </w:tblGrid>
          <w:tr w:rsidR="00F54B13" w14:paraId="2B3531F6" w14:textId="77777777" w:rsidTr="00F54B13">
            <w:trPr>
              <w:cnfStyle w:val="100000000000" w:firstRow="1" w:lastRow="0" w:firstColumn="0" w:lastColumn="0" w:oddVBand="0" w:evenVBand="0" w:oddHBand="0" w:evenHBand="0" w:firstRowFirstColumn="0" w:firstRowLastColumn="0" w:lastRowFirstColumn="0" w:lastRowLastColumn="0"/>
            </w:trPr>
            <w:tc>
              <w:tcPr>
                <w:tcW w:w="2378" w:type="dxa"/>
              </w:tcPr>
              <w:p w14:paraId="6AC90C15" w14:textId="77777777" w:rsidR="00F54B13" w:rsidRPr="00F54B13" w:rsidRDefault="00F54B13" w:rsidP="00553907">
                <w:pPr>
                  <w:rPr>
                    <w:color w:val="FFFFFF" w:themeColor="background1"/>
                  </w:rPr>
                </w:pPr>
                <w:r w:rsidRPr="00F54B13">
                  <w:rPr>
                    <w:color w:val="FFFFFF" w:themeColor="background1"/>
                  </w:rPr>
                  <w:t>Issue</w:t>
                </w:r>
              </w:p>
            </w:tc>
            <w:tc>
              <w:tcPr>
                <w:tcW w:w="5810" w:type="dxa"/>
              </w:tcPr>
              <w:p w14:paraId="3DE1825B" w14:textId="77777777" w:rsidR="00F54B13" w:rsidRPr="00F54B13" w:rsidRDefault="00F54B13" w:rsidP="00553907">
                <w:pPr>
                  <w:rPr>
                    <w:color w:val="FFFFFF" w:themeColor="background1"/>
                  </w:rPr>
                </w:pPr>
                <w:r w:rsidRPr="00F54B13">
                  <w:rPr>
                    <w:color w:val="FFFFFF" w:themeColor="background1"/>
                  </w:rPr>
                  <w:t>Area of Interest</w:t>
                </w:r>
              </w:p>
            </w:tc>
            <w:tc>
              <w:tcPr>
                <w:tcW w:w="709" w:type="dxa"/>
              </w:tcPr>
              <w:p w14:paraId="0F52B94C" w14:textId="77777777" w:rsidR="00F54B13" w:rsidRPr="00F54B13" w:rsidRDefault="00F54B13" w:rsidP="00553907">
                <w:pPr>
                  <w:rPr>
                    <w:color w:val="FFFFFF" w:themeColor="background1"/>
                  </w:rPr>
                </w:pPr>
                <w:r w:rsidRPr="00F54B13">
                  <w:rPr>
                    <w:color w:val="FFFFFF" w:themeColor="background1"/>
                  </w:rPr>
                  <w:t>Yes</w:t>
                </w:r>
              </w:p>
            </w:tc>
            <w:tc>
              <w:tcPr>
                <w:tcW w:w="617" w:type="dxa"/>
              </w:tcPr>
              <w:p w14:paraId="739B6316" w14:textId="77777777" w:rsidR="00F54B13" w:rsidRPr="00F54B13" w:rsidRDefault="00F54B13" w:rsidP="00553907">
                <w:pPr>
                  <w:rPr>
                    <w:color w:val="FFFFFF" w:themeColor="background1"/>
                  </w:rPr>
                </w:pPr>
                <w:r w:rsidRPr="00F54B13">
                  <w:rPr>
                    <w:color w:val="FFFFFF" w:themeColor="background1"/>
                  </w:rPr>
                  <w:t>No</w:t>
                </w:r>
              </w:p>
            </w:tc>
          </w:tr>
          <w:tr w:rsidR="00F54B13" w14:paraId="53C09D55" w14:textId="77777777" w:rsidTr="00F54B13">
            <w:tc>
              <w:tcPr>
                <w:tcW w:w="2378" w:type="dxa"/>
              </w:tcPr>
              <w:p w14:paraId="32CA84A8" w14:textId="77777777" w:rsidR="00F54B13" w:rsidRDefault="00F54B13" w:rsidP="00553907">
                <w:r>
                  <w:t>Fishery</w:t>
                </w:r>
              </w:p>
            </w:tc>
            <w:tc>
              <w:tcPr>
                <w:tcW w:w="5810" w:type="dxa"/>
              </w:tcPr>
              <w:p w14:paraId="1E4FF627" w14:textId="77777777" w:rsidR="00F54B13" w:rsidRDefault="00F54B13" w:rsidP="00553907">
                <w:r>
                  <w:t xml:space="preserve">Has there been any </w:t>
                </w:r>
                <w:r w:rsidR="00FB11A4">
                  <w:t xml:space="preserve">change to management arrangements, and/or fishing practices? </w:t>
                </w:r>
              </w:p>
            </w:tc>
            <w:tc>
              <w:tcPr>
                <w:tcW w:w="709" w:type="dxa"/>
              </w:tcPr>
              <w:p w14:paraId="7CA2F6D4" w14:textId="77777777" w:rsidR="00F54B13" w:rsidRDefault="00F54B13" w:rsidP="00553907"/>
            </w:tc>
            <w:tc>
              <w:tcPr>
                <w:tcW w:w="617" w:type="dxa"/>
              </w:tcPr>
              <w:p w14:paraId="12E419DB" w14:textId="77777777" w:rsidR="00F54B13" w:rsidRDefault="00AF763E" w:rsidP="00553907">
                <w:r>
                  <w:sym w:font="Wingdings" w:char="F0FC"/>
                </w:r>
              </w:p>
            </w:tc>
          </w:tr>
          <w:tr w:rsidR="00F54B13" w14:paraId="447AAB38" w14:textId="77777777" w:rsidTr="00F54B13">
            <w:tc>
              <w:tcPr>
                <w:tcW w:w="2378" w:type="dxa"/>
              </w:tcPr>
              <w:p w14:paraId="1F609741" w14:textId="77777777" w:rsidR="00F54B13" w:rsidRDefault="00FB11A4" w:rsidP="00553907">
                <w:r>
                  <w:t>External Influences</w:t>
                </w:r>
              </w:p>
            </w:tc>
            <w:tc>
              <w:tcPr>
                <w:tcW w:w="5810" w:type="dxa"/>
              </w:tcPr>
              <w:p w14:paraId="57975621" w14:textId="77777777" w:rsidR="00F54B13" w:rsidRDefault="00FB11A4" w:rsidP="00553907">
                <w:r>
                  <w:t>Has there been any change to an environmental issue/influence outside of the fishery management agency’s control?</w:t>
                </w:r>
              </w:p>
            </w:tc>
            <w:tc>
              <w:tcPr>
                <w:tcW w:w="709" w:type="dxa"/>
              </w:tcPr>
              <w:p w14:paraId="63D00EB2" w14:textId="77777777" w:rsidR="00F54B13" w:rsidRDefault="00F54B13" w:rsidP="00553907"/>
            </w:tc>
            <w:tc>
              <w:tcPr>
                <w:tcW w:w="617" w:type="dxa"/>
              </w:tcPr>
              <w:p w14:paraId="3FD0B348" w14:textId="77777777" w:rsidR="00F54B13" w:rsidRDefault="00AF763E" w:rsidP="00553907">
                <w:r>
                  <w:sym w:font="Wingdings" w:char="F0FC"/>
                </w:r>
              </w:p>
            </w:tc>
          </w:tr>
          <w:tr w:rsidR="00F54B13" w14:paraId="2A044FF3" w14:textId="77777777" w:rsidTr="00F54B13">
            <w:tc>
              <w:tcPr>
                <w:tcW w:w="2378" w:type="dxa"/>
              </w:tcPr>
              <w:p w14:paraId="310769EC" w14:textId="77777777" w:rsidR="00F54B13" w:rsidRDefault="00FB11A4" w:rsidP="00553907">
                <w:r>
                  <w:t>Interaction with protected species</w:t>
                </w:r>
              </w:p>
            </w:tc>
            <w:tc>
              <w:tcPr>
                <w:tcW w:w="5810" w:type="dxa"/>
              </w:tcPr>
              <w:p w14:paraId="04774FC4" w14:textId="77777777" w:rsidR="00F54B13" w:rsidRDefault="00FB11A4" w:rsidP="00FB11A4">
                <w:r>
                  <w:t>Has there been any change in the nature, scale, intensity of impact and/or management response?</w:t>
                </w:r>
              </w:p>
            </w:tc>
            <w:tc>
              <w:tcPr>
                <w:tcW w:w="709" w:type="dxa"/>
              </w:tcPr>
              <w:p w14:paraId="703BBB30" w14:textId="77777777" w:rsidR="00F54B13" w:rsidRDefault="00F54B13" w:rsidP="00553907"/>
            </w:tc>
            <w:tc>
              <w:tcPr>
                <w:tcW w:w="617" w:type="dxa"/>
              </w:tcPr>
              <w:p w14:paraId="3E8907FD" w14:textId="77777777" w:rsidR="00F54B13" w:rsidRDefault="00AF763E" w:rsidP="00553907">
                <w:r>
                  <w:sym w:font="Wingdings" w:char="F0FC"/>
                </w:r>
              </w:p>
            </w:tc>
          </w:tr>
          <w:tr w:rsidR="00F54B13" w14:paraId="3D84838E" w14:textId="77777777" w:rsidTr="00F54B13">
            <w:tc>
              <w:tcPr>
                <w:tcW w:w="2378" w:type="dxa"/>
              </w:tcPr>
              <w:p w14:paraId="027BEB5B" w14:textId="77777777" w:rsidR="00F54B13" w:rsidRDefault="00FB11A4" w:rsidP="00553907">
                <w:r>
                  <w:t>Ecosystem impact (e.g. – habitat, food chains etc.)</w:t>
                </w:r>
              </w:p>
            </w:tc>
            <w:tc>
              <w:tcPr>
                <w:tcW w:w="5810" w:type="dxa"/>
              </w:tcPr>
              <w:p w14:paraId="6700BFDF" w14:textId="19D3293E" w:rsidR="00F54B13" w:rsidRDefault="00AF763E" w:rsidP="00D62E53">
                <w:r>
                  <w:t xml:space="preserve">Has there been any </w:t>
                </w:r>
                <w:r w:rsidR="00D62E53">
                  <w:t xml:space="preserve">change </w:t>
                </w:r>
                <w:r>
                  <w:t xml:space="preserve">in nature, scale, or intensity of impact and/or subsequent management response? </w:t>
                </w:r>
              </w:p>
            </w:tc>
            <w:tc>
              <w:tcPr>
                <w:tcW w:w="709" w:type="dxa"/>
              </w:tcPr>
              <w:p w14:paraId="22CDC899" w14:textId="77777777" w:rsidR="00F54B13" w:rsidRDefault="00F54B13" w:rsidP="00553907"/>
            </w:tc>
            <w:tc>
              <w:tcPr>
                <w:tcW w:w="617" w:type="dxa"/>
              </w:tcPr>
              <w:p w14:paraId="4B95665B" w14:textId="77777777" w:rsidR="00F54B13" w:rsidRDefault="00AF763E" w:rsidP="00553907">
                <w:r>
                  <w:sym w:font="Wingdings" w:char="F0FC"/>
                </w:r>
              </w:p>
            </w:tc>
          </w:tr>
          <w:tr w:rsidR="00F54B13" w14:paraId="3E3FD71B" w14:textId="77777777" w:rsidTr="00F54B13">
            <w:tc>
              <w:tcPr>
                <w:tcW w:w="2378" w:type="dxa"/>
              </w:tcPr>
              <w:p w14:paraId="1FB7B7E7" w14:textId="77777777" w:rsidR="00F54B13" w:rsidRDefault="00AF763E" w:rsidP="00553907">
                <w:r>
                  <w:t>Target stock status</w:t>
                </w:r>
              </w:p>
            </w:tc>
            <w:tc>
              <w:tcPr>
                <w:tcW w:w="5810" w:type="dxa"/>
              </w:tcPr>
              <w:p w14:paraId="6616E02C" w14:textId="77777777" w:rsidR="00F54B13" w:rsidRDefault="00AF763E" w:rsidP="00553907">
                <w:r>
                  <w:t xml:space="preserve">Has there been any change in the target stock status? e.g. Increase or decrease in number of overfished or uncertain stocks, </w:t>
                </w:r>
                <w:r w:rsidRPr="0030123E">
                  <w:rPr>
                    <w:u w:val="single"/>
                  </w:rPr>
                  <w:t>limit reference points of performance indicators have been triggered.</w:t>
                </w:r>
                <w:r>
                  <w:t xml:space="preserve"> </w:t>
                </w:r>
              </w:p>
            </w:tc>
            <w:tc>
              <w:tcPr>
                <w:tcW w:w="709" w:type="dxa"/>
              </w:tcPr>
              <w:p w14:paraId="16A2EE39" w14:textId="77777777" w:rsidR="00F54B13" w:rsidRDefault="00AF763E" w:rsidP="00553907">
                <w:r>
                  <w:sym w:font="Wingdings" w:char="F0FC"/>
                </w:r>
              </w:p>
            </w:tc>
            <w:tc>
              <w:tcPr>
                <w:tcW w:w="617" w:type="dxa"/>
              </w:tcPr>
              <w:p w14:paraId="0399CC50" w14:textId="77777777" w:rsidR="00F54B13" w:rsidRDefault="00F54B13" w:rsidP="00553907"/>
            </w:tc>
          </w:tr>
          <w:tr w:rsidR="00F54B13" w14:paraId="48C08292" w14:textId="77777777" w:rsidTr="00F54B13">
            <w:tc>
              <w:tcPr>
                <w:tcW w:w="2378" w:type="dxa"/>
              </w:tcPr>
              <w:p w14:paraId="322BE992" w14:textId="77777777" w:rsidR="00F54B13" w:rsidRDefault="00AF763E" w:rsidP="00553907">
                <w:r>
                  <w:t>By-product/bycatch stock status</w:t>
                </w:r>
              </w:p>
            </w:tc>
            <w:tc>
              <w:tcPr>
                <w:tcW w:w="5810" w:type="dxa"/>
              </w:tcPr>
              <w:p w14:paraId="59AC59CF" w14:textId="77777777" w:rsidR="00F54B13" w:rsidRDefault="00AF763E" w:rsidP="00553907">
                <w:r>
                  <w:t xml:space="preserve">Has there been any change in the by-product and/or bycatch stock status? e.g. performance indicators triggered or risk assessment outcomes show risk levels have changed. </w:t>
                </w:r>
              </w:p>
            </w:tc>
            <w:tc>
              <w:tcPr>
                <w:tcW w:w="709" w:type="dxa"/>
              </w:tcPr>
              <w:p w14:paraId="43FE36E3" w14:textId="77777777" w:rsidR="00F54B13" w:rsidRDefault="00F54B13" w:rsidP="00553907"/>
            </w:tc>
            <w:tc>
              <w:tcPr>
                <w:tcW w:w="617" w:type="dxa"/>
              </w:tcPr>
              <w:p w14:paraId="0A8C7065" w14:textId="77777777" w:rsidR="00F54B13" w:rsidRDefault="0095120A" w:rsidP="00553907">
                <w:r>
                  <w:sym w:font="Wingdings" w:char="F0FC"/>
                </w:r>
              </w:p>
            </w:tc>
          </w:tr>
        </w:tbl>
        <w:p w14:paraId="1C5DF781" w14:textId="77777777" w:rsidR="00F54B13" w:rsidRDefault="00F54B13" w:rsidP="00553907"/>
        <w:p w14:paraId="419CEDDA" w14:textId="221E0A72" w:rsidR="00B07280" w:rsidRDefault="008F608F" w:rsidP="00B07280">
          <w:pPr>
            <w:jc w:val="both"/>
          </w:pPr>
          <w:r>
            <w:t>In line with the</w:t>
          </w:r>
          <w:r>
            <w:rPr>
              <w:i/>
            </w:rPr>
            <w:t xml:space="preserve"> </w:t>
          </w:r>
          <w:r>
            <w:t>Guidelines,</w:t>
          </w:r>
          <w:r w:rsidR="00AF763E">
            <w:t xml:space="preserve"> the above responses trigger a submission requirement of “standard plus ancillary level of information”. </w:t>
          </w:r>
          <w:r w:rsidR="00811D9A">
            <w:t xml:space="preserve">Further information about </w:t>
          </w:r>
          <w:r w:rsidR="00470615">
            <w:t xml:space="preserve">the identified </w:t>
          </w:r>
          <w:r w:rsidR="00811D9A">
            <w:t xml:space="preserve">Area of Interest is summarised below. </w:t>
          </w:r>
        </w:p>
        <w:p w14:paraId="2EF7206A" w14:textId="7C7E9EFA" w:rsidR="00406785" w:rsidRDefault="00811D9A" w:rsidP="00F66EA6">
          <w:pPr>
            <w:pStyle w:val="Heading2"/>
            <w:jc w:val="both"/>
          </w:pPr>
          <w:r>
            <w:lastRenderedPageBreak/>
            <w:t xml:space="preserve">Target Stock Status: </w:t>
          </w:r>
          <w:r w:rsidR="004A522C">
            <w:t xml:space="preserve">Changes to the Target Stock Status </w:t>
          </w:r>
        </w:p>
        <w:p w14:paraId="352EF521" w14:textId="582A50A9" w:rsidR="00D37D92" w:rsidRDefault="004E6CCF" w:rsidP="00406785">
          <w:pPr>
            <w:spacing w:after="0" w:line="240" w:lineRule="auto"/>
          </w:pPr>
          <w:r>
            <w:t xml:space="preserve">In 2012, </w:t>
          </w:r>
          <w:r w:rsidR="00D37D92">
            <w:t xml:space="preserve">a </w:t>
          </w:r>
          <w:r>
            <w:t>Non-Detriment Finding (NDF) w</w:t>
          </w:r>
          <w:r w:rsidR="00D37D92">
            <w:t>as</w:t>
          </w:r>
          <w:r>
            <w:t xml:space="preserve"> made based on precautionary harvest levels for </w:t>
          </w:r>
          <w:r w:rsidR="00D37D92">
            <w:t xml:space="preserve">giant clams, seahorses and six species of hard coral. </w:t>
          </w:r>
          <w:r w:rsidR="00B21C37">
            <w:t xml:space="preserve">NDFs for the MAFMF continue to be based on the harvest thresholds detailed in the </w:t>
          </w:r>
          <w:r w:rsidR="00B21C37">
            <w:rPr>
              <w:i/>
              <w:iCs/>
            </w:rPr>
            <w:t>Marine Aquarium Fish Resource of Western Australia Harvest Strategy 2018 – 2022</w:t>
          </w:r>
          <w:r w:rsidR="00B15AFB">
            <w:rPr>
              <w:i/>
              <w:iCs/>
            </w:rPr>
            <w:t xml:space="preserve"> </w:t>
          </w:r>
          <w:r w:rsidR="00B15AFB">
            <w:t>(Harvest Strategy)</w:t>
          </w:r>
          <w:r w:rsidR="00B21C37">
            <w:rPr>
              <w:i/>
              <w:iCs/>
            </w:rPr>
            <w:t xml:space="preserve">. </w:t>
          </w:r>
        </w:p>
        <w:p w14:paraId="6E18382A" w14:textId="322F978C" w:rsidR="00B21C37" w:rsidRDefault="00B21C37" w:rsidP="00406785">
          <w:pPr>
            <w:spacing w:after="0" w:line="240" w:lineRule="auto"/>
          </w:pPr>
        </w:p>
        <w:p w14:paraId="645E22C0" w14:textId="0973E99C" w:rsidR="000162C2" w:rsidRPr="003C325A" w:rsidRDefault="00B21C37" w:rsidP="00406785">
          <w:pPr>
            <w:spacing w:after="0" w:line="240" w:lineRule="auto"/>
          </w:pPr>
          <w:r>
            <w:t xml:space="preserve">While the harvest of most of these species has been within the thresholds, catches of </w:t>
          </w:r>
          <w:r w:rsidR="00676566">
            <w:t xml:space="preserve">some </w:t>
          </w:r>
          <w:r>
            <w:t>species</w:t>
          </w:r>
          <w:r w:rsidR="0073189C">
            <w:t xml:space="preserve"> subject to the NDF</w:t>
          </w:r>
          <w:r>
            <w:t xml:space="preserve"> have exceeded individual threshold levels over the past two seasons</w:t>
          </w:r>
          <w:r w:rsidR="00406785">
            <w:t>, including</w:t>
          </w:r>
          <w:r w:rsidR="007A2FDC">
            <w:t xml:space="preserve"> </w:t>
          </w:r>
          <w:proofErr w:type="spellStart"/>
          <w:r w:rsidR="007A2FDC">
            <w:rPr>
              <w:i/>
              <w:iCs/>
            </w:rPr>
            <w:t>Fimbriaphyllia</w:t>
          </w:r>
          <w:proofErr w:type="spellEnd"/>
          <w:r w:rsidR="007A2FDC">
            <w:rPr>
              <w:i/>
              <w:iCs/>
            </w:rPr>
            <w:t xml:space="preserve"> </w:t>
          </w:r>
          <w:proofErr w:type="spellStart"/>
          <w:r w:rsidR="007A2FDC">
            <w:rPr>
              <w:i/>
              <w:iCs/>
            </w:rPr>
            <w:t>ancora</w:t>
          </w:r>
          <w:proofErr w:type="spellEnd"/>
          <w:r w:rsidR="007A2FDC">
            <w:rPr>
              <w:i/>
              <w:iCs/>
            </w:rPr>
            <w:t xml:space="preserve"> </w:t>
          </w:r>
          <w:r w:rsidR="007A2FDC">
            <w:t>(previously</w:t>
          </w:r>
          <w:r w:rsidR="00406785">
            <w:t xml:space="preserve"> </w:t>
          </w:r>
          <w:proofErr w:type="spellStart"/>
          <w:r w:rsidR="00406785">
            <w:rPr>
              <w:i/>
              <w:iCs/>
            </w:rPr>
            <w:t>Euphyllia</w:t>
          </w:r>
          <w:proofErr w:type="spellEnd"/>
          <w:r w:rsidR="00406785">
            <w:rPr>
              <w:i/>
              <w:iCs/>
            </w:rPr>
            <w:t xml:space="preserve"> </w:t>
          </w:r>
          <w:proofErr w:type="spellStart"/>
          <w:r w:rsidR="00406785">
            <w:rPr>
              <w:i/>
              <w:iCs/>
            </w:rPr>
            <w:t>ancora</w:t>
          </w:r>
          <w:proofErr w:type="spellEnd"/>
          <w:r w:rsidR="007A2FDC">
            <w:t>)</w:t>
          </w:r>
          <w:r w:rsidR="00406785">
            <w:rPr>
              <w:i/>
              <w:iCs/>
            </w:rPr>
            <w:t xml:space="preserve">, </w:t>
          </w:r>
          <w:r w:rsidR="00406785">
            <w:t>for which reported catches were significantly higher than the threshold for both</w:t>
          </w:r>
          <w:r w:rsidR="0073189C">
            <w:t xml:space="preserve"> the</w:t>
          </w:r>
          <w:r w:rsidR="00406785">
            <w:t xml:space="preserve"> 2018/19 and 2019/20</w:t>
          </w:r>
          <w:r w:rsidR="0073189C">
            <w:t xml:space="preserve"> licensing periods</w:t>
          </w:r>
          <w:r w:rsidR="00406785">
            <w:t>.</w:t>
          </w:r>
        </w:p>
        <w:p w14:paraId="695D080C" w14:textId="486F468F" w:rsidR="00406785" w:rsidRDefault="00406785" w:rsidP="00B07280">
          <w:pPr>
            <w:jc w:val="both"/>
          </w:pPr>
        </w:p>
        <w:tbl>
          <w:tblPr>
            <w:tblW w:w="9159" w:type="dxa"/>
            <w:tblCellMar>
              <w:left w:w="0" w:type="dxa"/>
              <w:right w:w="0" w:type="dxa"/>
            </w:tblCellMar>
            <w:tblLook w:val="04A0" w:firstRow="1" w:lastRow="0" w:firstColumn="1" w:lastColumn="0" w:noHBand="0" w:noVBand="1"/>
          </w:tblPr>
          <w:tblGrid>
            <w:gridCol w:w="606"/>
            <w:gridCol w:w="3040"/>
            <w:gridCol w:w="1841"/>
            <w:gridCol w:w="1836"/>
            <w:gridCol w:w="1836"/>
          </w:tblGrid>
          <w:tr w:rsidR="009F6F2F" w14:paraId="1160924B" w14:textId="77777777" w:rsidTr="009F6F2F">
            <w:trPr>
              <w:trHeight w:val="680"/>
            </w:trPr>
            <w:tc>
              <w:tcPr>
                <w:tcW w:w="3546" w:type="dxa"/>
                <w:gridSpan w:val="2"/>
                <w:tcBorders>
                  <w:top w:val="single" w:sz="8" w:space="0" w:color="007D57"/>
                  <w:left w:val="single" w:sz="8" w:space="0" w:color="007D57"/>
                  <w:bottom w:val="single" w:sz="8" w:space="0" w:color="007D57"/>
                  <w:right w:val="single" w:sz="8" w:space="0" w:color="FFFFFF"/>
                </w:tcBorders>
                <w:shd w:val="clear" w:color="auto" w:fill="007D57"/>
                <w:tcMar>
                  <w:top w:w="0" w:type="dxa"/>
                  <w:left w:w="108" w:type="dxa"/>
                  <w:bottom w:w="0" w:type="dxa"/>
                  <w:right w:w="108" w:type="dxa"/>
                </w:tcMar>
                <w:vAlign w:val="center"/>
                <w:hideMark/>
              </w:tcPr>
              <w:p w14:paraId="73B9A21E" w14:textId="77777777" w:rsidR="009F6F2F" w:rsidRDefault="009F6F2F">
                <w:pPr>
                  <w:rPr>
                    <w:rFonts w:ascii="Times New Roman" w:hAnsi="Times New Roman"/>
                    <w:color w:val="auto"/>
                    <w:sz w:val="20"/>
                  </w:rPr>
                </w:pPr>
              </w:p>
            </w:tc>
            <w:tc>
              <w:tcPr>
                <w:tcW w:w="1871" w:type="dxa"/>
                <w:tcBorders>
                  <w:top w:val="single" w:sz="8" w:space="0" w:color="007D57"/>
                  <w:left w:val="nil"/>
                  <w:bottom w:val="single" w:sz="8" w:space="0" w:color="007D57"/>
                  <w:right w:val="single" w:sz="8" w:space="0" w:color="FFFFFF"/>
                </w:tcBorders>
                <w:shd w:val="clear" w:color="auto" w:fill="007D57"/>
                <w:tcMar>
                  <w:top w:w="0" w:type="dxa"/>
                  <w:left w:w="108" w:type="dxa"/>
                  <w:bottom w:w="0" w:type="dxa"/>
                  <w:right w:w="108" w:type="dxa"/>
                </w:tcMar>
                <w:vAlign w:val="center"/>
                <w:hideMark/>
              </w:tcPr>
              <w:p w14:paraId="338D4373" w14:textId="77777777" w:rsidR="009F6F2F" w:rsidRDefault="009F6F2F">
                <w:pPr>
                  <w:spacing w:line="252" w:lineRule="auto"/>
                  <w:jc w:val="center"/>
                  <w:rPr>
                    <w:rFonts w:ascii="Calibri" w:hAnsi="Calibri" w:cs="Calibri"/>
                    <w:color w:val="FFFFFF"/>
                    <w:sz w:val="20"/>
                    <w:szCs w:val="20"/>
                  </w:rPr>
                </w:pPr>
                <w:r>
                  <w:rPr>
                    <w:b/>
                    <w:bCs/>
                    <w:color w:val="FFFFFF"/>
                    <w:sz w:val="20"/>
                    <w:szCs w:val="20"/>
                  </w:rPr>
                  <w:t>NDF threshold</w:t>
                </w:r>
              </w:p>
            </w:tc>
            <w:tc>
              <w:tcPr>
                <w:tcW w:w="1871" w:type="dxa"/>
                <w:tcBorders>
                  <w:top w:val="single" w:sz="8" w:space="0" w:color="007D57"/>
                  <w:left w:val="nil"/>
                  <w:bottom w:val="single" w:sz="8" w:space="0" w:color="007D57"/>
                  <w:right w:val="single" w:sz="8" w:space="0" w:color="FFFFFF"/>
                </w:tcBorders>
                <w:shd w:val="clear" w:color="auto" w:fill="007D57"/>
                <w:tcMar>
                  <w:top w:w="0" w:type="dxa"/>
                  <w:left w:w="108" w:type="dxa"/>
                  <w:bottom w:w="0" w:type="dxa"/>
                  <w:right w:w="108" w:type="dxa"/>
                </w:tcMar>
                <w:vAlign w:val="center"/>
                <w:hideMark/>
              </w:tcPr>
              <w:p w14:paraId="4D6151A4" w14:textId="77777777" w:rsidR="009F6F2F" w:rsidRDefault="009F6F2F">
                <w:pPr>
                  <w:spacing w:line="252" w:lineRule="auto"/>
                  <w:jc w:val="center"/>
                  <w:rPr>
                    <w:b/>
                    <w:bCs/>
                    <w:color w:val="FFFFFF"/>
                    <w:sz w:val="20"/>
                    <w:szCs w:val="20"/>
                  </w:rPr>
                </w:pPr>
                <w:r>
                  <w:rPr>
                    <w:b/>
                    <w:bCs/>
                    <w:color w:val="FFFFFF"/>
                    <w:sz w:val="20"/>
                    <w:szCs w:val="20"/>
                  </w:rPr>
                  <w:t xml:space="preserve">1 Nov 2018 – </w:t>
                </w:r>
                <w:r>
                  <w:rPr>
                    <w:b/>
                    <w:bCs/>
                    <w:color w:val="FFFFFF"/>
                    <w:sz w:val="20"/>
                    <w:szCs w:val="20"/>
                  </w:rPr>
                  <w:br/>
                  <w:t>30 June 2019</w:t>
                </w:r>
              </w:p>
            </w:tc>
            <w:tc>
              <w:tcPr>
                <w:tcW w:w="1871" w:type="dxa"/>
                <w:tcBorders>
                  <w:top w:val="single" w:sz="8" w:space="0" w:color="007D57"/>
                  <w:left w:val="nil"/>
                  <w:bottom w:val="single" w:sz="8" w:space="0" w:color="007D57"/>
                  <w:right w:val="single" w:sz="8" w:space="0" w:color="007D57"/>
                </w:tcBorders>
                <w:shd w:val="clear" w:color="auto" w:fill="007D57"/>
                <w:tcMar>
                  <w:top w:w="0" w:type="dxa"/>
                  <w:left w:w="108" w:type="dxa"/>
                  <w:bottom w:w="0" w:type="dxa"/>
                  <w:right w:w="108" w:type="dxa"/>
                </w:tcMar>
                <w:vAlign w:val="center"/>
                <w:hideMark/>
              </w:tcPr>
              <w:p w14:paraId="2985E9A1" w14:textId="77777777" w:rsidR="009F6F2F" w:rsidRDefault="009F6F2F">
                <w:pPr>
                  <w:spacing w:line="252" w:lineRule="auto"/>
                  <w:jc w:val="center"/>
                  <w:rPr>
                    <w:b/>
                    <w:bCs/>
                    <w:color w:val="FFFFFF"/>
                    <w:sz w:val="20"/>
                    <w:szCs w:val="20"/>
                  </w:rPr>
                </w:pPr>
                <w:r>
                  <w:rPr>
                    <w:b/>
                    <w:bCs/>
                    <w:color w:val="FFFFFF"/>
                    <w:sz w:val="20"/>
                    <w:szCs w:val="20"/>
                  </w:rPr>
                  <w:t>1 July 2019 – 30 June 2020</w:t>
                </w:r>
              </w:p>
            </w:tc>
          </w:tr>
          <w:tr w:rsidR="009F6F2F" w14:paraId="6E403C92" w14:textId="77777777" w:rsidTr="009F6F2F">
            <w:trPr>
              <w:cantSplit/>
              <w:trHeight w:val="397"/>
            </w:trPr>
            <w:tc>
              <w:tcPr>
                <w:tcW w:w="454" w:type="dxa"/>
                <w:vMerge w:val="restart"/>
                <w:tcBorders>
                  <w:top w:val="nil"/>
                  <w:left w:val="single" w:sz="8" w:space="0" w:color="007D57"/>
                  <w:bottom w:val="single" w:sz="8" w:space="0" w:color="007D57"/>
                  <w:right w:val="single" w:sz="8" w:space="0" w:color="007D57"/>
                </w:tcBorders>
                <w:tcMar>
                  <w:top w:w="0" w:type="dxa"/>
                  <w:left w:w="108" w:type="dxa"/>
                  <w:bottom w:w="0" w:type="dxa"/>
                  <w:right w:w="108" w:type="dxa"/>
                </w:tcMar>
                <w:textDirection w:val="btLr"/>
                <w:vAlign w:val="center"/>
                <w:hideMark/>
              </w:tcPr>
              <w:p w14:paraId="40D901B1" w14:textId="77777777" w:rsidR="009F6F2F" w:rsidRDefault="009F6F2F">
                <w:pPr>
                  <w:spacing w:line="252" w:lineRule="auto"/>
                  <w:ind w:left="113" w:right="113"/>
                  <w:jc w:val="right"/>
                  <w:rPr>
                    <w:color w:val="404040"/>
                    <w:sz w:val="18"/>
                    <w:szCs w:val="18"/>
                  </w:rPr>
                </w:pPr>
                <w:r>
                  <w:rPr>
                    <w:color w:val="404040"/>
                    <w:sz w:val="18"/>
                    <w:szCs w:val="18"/>
                  </w:rPr>
                  <w:t>Hard Corals</w:t>
                </w: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6022B0DA" w14:textId="77777777" w:rsidR="009F6F2F" w:rsidRDefault="009F6F2F">
                <w:pPr>
                  <w:spacing w:line="252" w:lineRule="auto"/>
                  <w:rPr>
                    <w:i/>
                    <w:iCs/>
                    <w:color w:val="404040"/>
                    <w:sz w:val="20"/>
                    <w:szCs w:val="20"/>
                  </w:rPr>
                </w:pPr>
                <w:proofErr w:type="spellStart"/>
                <w:r>
                  <w:rPr>
                    <w:i/>
                    <w:iCs/>
                    <w:color w:val="404040"/>
                    <w:sz w:val="20"/>
                    <w:szCs w:val="20"/>
                  </w:rPr>
                  <w:t>Catalaphyllia</w:t>
                </w:r>
                <w:proofErr w:type="spellEnd"/>
                <w:r>
                  <w:rPr>
                    <w:i/>
                    <w:iCs/>
                    <w:color w:val="404040"/>
                    <w:sz w:val="20"/>
                    <w:szCs w:val="20"/>
                  </w:rPr>
                  <w:t xml:space="preserve"> </w:t>
                </w:r>
                <w:proofErr w:type="spellStart"/>
                <w:r>
                  <w:rPr>
                    <w:i/>
                    <w:iCs/>
                    <w:color w:val="404040"/>
                    <w:sz w:val="20"/>
                    <w:szCs w:val="20"/>
                  </w:rPr>
                  <w:t>jardinei</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2DE774F6" w14:textId="77777777" w:rsidR="009F6F2F" w:rsidRDefault="009F6F2F">
                <w:pPr>
                  <w:spacing w:line="252" w:lineRule="auto"/>
                  <w:jc w:val="center"/>
                  <w:rPr>
                    <w:color w:val="404040"/>
                    <w:sz w:val="20"/>
                    <w:szCs w:val="20"/>
                  </w:rPr>
                </w:pPr>
                <w:r>
                  <w:rPr>
                    <w:color w:val="404040"/>
                    <w:sz w:val="20"/>
                    <w:szCs w:val="20"/>
                  </w:rPr>
                  <w:t>530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237ECC13" w14:textId="77777777" w:rsidR="009F6F2F" w:rsidRDefault="009F6F2F">
                <w:pPr>
                  <w:spacing w:line="252" w:lineRule="auto"/>
                  <w:jc w:val="center"/>
                  <w:rPr>
                    <w:color w:val="404040"/>
                    <w:sz w:val="20"/>
                    <w:szCs w:val="20"/>
                  </w:rPr>
                </w:pPr>
                <w:r>
                  <w:rPr>
                    <w:color w:val="404040"/>
                    <w:sz w:val="20"/>
                    <w:szCs w:val="20"/>
                  </w:rPr>
                  <w:t>522.20 kg</w:t>
                </w:r>
              </w:p>
            </w:tc>
            <w:tc>
              <w:tcPr>
                <w:tcW w:w="1871" w:type="dxa"/>
                <w:tcBorders>
                  <w:top w:val="nil"/>
                  <w:left w:val="nil"/>
                  <w:bottom w:val="single" w:sz="8" w:space="0" w:color="007D57"/>
                  <w:right w:val="single" w:sz="8" w:space="0" w:color="007D57"/>
                </w:tcBorders>
                <w:shd w:val="clear" w:color="auto" w:fill="FBE4D5"/>
                <w:tcMar>
                  <w:top w:w="0" w:type="dxa"/>
                  <w:left w:w="108" w:type="dxa"/>
                  <w:bottom w:w="0" w:type="dxa"/>
                  <w:right w:w="108" w:type="dxa"/>
                </w:tcMar>
                <w:vAlign w:val="center"/>
                <w:hideMark/>
              </w:tcPr>
              <w:p w14:paraId="5267AC0C" w14:textId="7637C292" w:rsidR="009F6F2F" w:rsidRDefault="009F6F2F">
                <w:pPr>
                  <w:spacing w:line="252" w:lineRule="auto"/>
                  <w:jc w:val="center"/>
                  <w:rPr>
                    <w:color w:val="404040"/>
                    <w:sz w:val="20"/>
                    <w:szCs w:val="20"/>
                  </w:rPr>
                </w:pPr>
                <w:r>
                  <w:rPr>
                    <w:color w:val="404040"/>
                    <w:sz w:val="20"/>
                    <w:szCs w:val="20"/>
                  </w:rPr>
                  <w:t>703</w:t>
                </w:r>
                <w:r w:rsidR="00196A25">
                  <w:rPr>
                    <w:color w:val="404040"/>
                    <w:sz w:val="20"/>
                    <w:szCs w:val="20"/>
                  </w:rPr>
                  <w:t>.30</w:t>
                </w:r>
                <w:r>
                  <w:rPr>
                    <w:color w:val="404040"/>
                    <w:sz w:val="20"/>
                    <w:szCs w:val="20"/>
                  </w:rPr>
                  <w:t xml:space="preserve"> kg</w:t>
                </w:r>
              </w:p>
            </w:tc>
          </w:tr>
          <w:tr w:rsidR="009F6F2F" w14:paraId="3E28B455"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3160A2AD"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634DA794" w14:textId="77777777" w:rsidR="009F6F2F" w:rsidRDefault="009F6F2F">
                <w:pPr>
                  <w:spacing w:line="252" w:lineRule="auto"/>
                  <w:rPr>
                    <w:i/>
                    <w:iCs/>
                    <w:color w:val="404040"/>
                    <w:sz w:val="20"/>
                    <w:szCs w:val="20"/>
                  </w:rPr>
                </w:pPr>
                <w:proofErr w:type="spellStart"/>
                <w:r>
                  <w:rPr>
                    <w:i/>
                    <w:iCs/>
                    <w:color w:val="404040"/>
                    <w:sz w:val="20"/>
                    <w:szCs w:val="20"/>
                  </w:rPr>
                  <w:t>Duncanopsammia</w:t>
                </w:r>
                <w:proofErr w:type="spellEnd"/>
                <w:r>
                  <w:rPr>
                    <w:i/>
                    <w:iCs/>
                    <w:color w:val="404040"/>
                    <w:sz w:val="20"/>
                    <w:szCs w:val="20"/>
                  </w:rPr>
                  <w:t xml:space="preserve"> </w:t>
                </w:r>
                <w:proofErr w:type="spellStart"/>
                <w:r>
                  <w:rPr>
                    <w:i/>
                    <w:iCs/>
                    <w:color w:val="404040"/>
                    <w:sz w:val="20"/>
                    <w:szCs w:val="20"/>
                  </w:rPr>
                  <w:t>axifuga</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3522C5B6" w14:textId="77777777" w:rsidR="009F6F2F" w:rsidRDefault="009F6F2F">
                <w:pPr>
                  <w:spacing w:line="252" w:lineRule="auto"/>
                  <w:jc w:val="center"/>
                  <w:rPr>
                    <w:color w:val="404040"/>
                    <w:sz w:val="20"/>
                    <w:szCs w:val="20"/>
                  </w:rPr>
                </w:pPr>
                <w:r>
                  <w:rPr>
                    <w:color w:val="404040"/>
                    <w:sz w:val="20"/>
                    <w:szCs w:val="20"/>
                  </w:rPr>
                  <w:t>1,555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1207B501" w14:textId="77777777" w:rsidR="009F6F2F" w:rsidRDefault="009F6F2F">
                <w:pPr>
                  <w:spacing w:line="252" w:lineRule="auto"/>
                  <w:jc w:val="center"/>
                  <w:rPr>
                    <w:color w:val="404040"/>
                    <w:sz w:val="20"/>
                    <w:szCs w:val="20"/>
                  </w:rPr>
                </w:pPr>
                <w:r>
                  <w:rPr>
                    <w:color w:val="404040"/>
                    <w:sz w:val="20"/>
                    <w:szCs w:val="20"/>
                  </w:rPr>
                  <w:t>423.20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4CB7B1B1" w14:textId="46E85929" w:rsidR="009F6F2F" w:rsidRDefault="009F6F2F">
                <w:pPr>
                  <w:spacing w:line="252" w:lineRule="auto"/>
                  <w:jc w:val="center"/>
                  <w:rPr>
                    <w:color w:val="404040"/>
                    <w:sz w:val="20"/>
                    <w:szCs w:val="20"/>
                  </w:rPr>
                </w:pPr>
                <w:r>
                  <w:rPr>
                    <w:color w:val="404040"/>
                    <w:sz w:val="20"/>
                    <w:szCs w:val="20"/>
                  </w:rPr>
                  <w:t>538</w:t>
                </w:r>
                <w:r w:rsidR="00196A25">
                  <w:rPr>
                    <w:color w:val="404040"/>
                    <w:sz w:val="20"/>
                    <w:szCs w:val="20"/>
                  </w:rPr>
                  <w:t>.40</w:t>
                </w:r>
                <w:r>
                  <w:rPr>
                    <w:color w:val="404040"/>
                    <w:sz w:val="20"/>
                    <w:szCs w:val="20"/>
                  </w:rPr>
                  <w:t xml:space="preserve"> kg</w:t>
                </w:r>
              </w:p>
            </w:tc>
          </w:tr>
          <w:tr w:rsidR="009F6F2F" w14:paraId="15F81F76"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3A9B0356"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67DBC7A4" w14:textId="77777777" w:rsidR="009F6F2F" w:rsidRDefault="009F6F2F">
                <w:pPr>
                  <w:spacing w:line="252" w:lineRule="auto"/>
                  <w:rPr>
                    <w:i/>
                    <w:iCs/>
                    <w:color w:val="FF0000"/>
                    <w:sz w:val="20"/>
                    <w:szCs w:val="20"/>
                  </w:rPr>
                </w:pPr>
                <w:proofErr w:type="spellStart"/>
                <w:r>
                  <w:rPr>
                    <w:i/>
                    <w:iCs/>
                    <w:color w:val="404040"/>
                    <w:sz w:val="20"/>
                    <w:szCs w:val="20"/>
                  </w:rPr>
                  <w:t>Fimbriaphyllia</w:t>
                </w:r>
                <w:proofErr w:type="spellEnd"/>
                <w:r>
                  <w:rPr>
                    <w:i/>
                    <w:iCs/>
                    <w:color w:val="404040"/>
                    <w:sz w:val="20"/>
                    <w:szCs w:val="20"/>
                  </w:rPr>
                  <w:t xml:space="preserve"> </w:t>
                </w:r>
                <w:proofErr w:type="spellStart"/>
                <w:r>
                  <w:rPr>
                    <w:i/>
                    <w:iCs/>
                    <w:color w:val="404040"/>
                    <w:sz w:val="20"/>
                    <w:szCs w:val="20"/>
                  </w:rPr>
                  <w:t>ancora</w:t>
                </w:r>
                <w:proofErr w:type="spellEnd"/>
                <w:r>
                  <w:rPr>
                    <w:i/>
                    <w:iCs/>
                    <w:color w:val="404040"/>
                    <w:sz w:val="20"/>
                    <w:szCs w:val="20"/>
                  </w:rPr>
                  <w:t xml:space="preserve"> </w:t>
                </w:r>
                <w:r w:rsidRPr="009F6F2F">
                  <w:rPr>
                    <w:i/>
                    <w:iCs/>
                    <w:color w:val="auto"/>
                    <w:sz w:val="20"/>
                    <w:szCs w:val="20"/>
                  </w:rPr>
                  <w:t>(</w:t>
                </w:r>
                <w:proofErr w:type="spellStart"/>
                <w:r w:rsidRPr="009F6F2F">
                  <w:rPr>
                    <w:i/>
                    <w:iCs/>
                    <w:color w:val="auto"/>
                    <w:sz w:val="20"/>
                    <w:szCs w:val="20"/>
                  </w:rPr>
                  <w:t>Euphyllia</w:t>
                </w:r>
                <w:proofErr w:type="spellEnd"/>
                <w:r w:rsidRPr="009F6F2F">
                  <w:rPr>
                    <w:i/>
                    <w:iCs/>
                    <w:color w:val="auto"/>
                    <w:sz w:val="20"/>
                    <w:szCs w:val="20"/>
                  </w:rPr>
                  <w:t xml:space="preserve"> </w:t>
                </w:r>
                <w:proofErr w:type="spellStart"/>
                <w:r w:rsidRPr="009F6F2F">
                  <w:rPr>
                    <w:i/>
                    <w:iCs/>
                    <w:color w:val="auto"/>
                    <w:sz w:val="20"/>
                    <w:szCs w:val="20"/>
                  </w:rPr>
                  <w:t>ancora</w:t>
                </w:r>
                <w:proofErr w:type="spellEnd"/>
                <w:r w:rsidRPr="009F6F2F">
                  <w:rPr>
                    <w:i/>
                    <w:iCs/>
                    <w:color w:val="auto"/>
                    <w:sz w:val="20"/>
                    <w:szCs w:val="20"/>
                  </w:rPr>
                  <w:t>)</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7586D0C4" w14:textId="77777777" w:rsidR="009F6F2F" w:rsidRDefault="009F6F2F">
                <w:pPr>
                  <w:spacing w:line="252" w:lineRule="auto"/>
                  <w:jc w:val="center"/>
                  <w:rPr>
                    <w:color w:val="404040"/>
                    <w:sz w:val="20"/>
                    <w:szCs w:val="20"/>
                  </w:rPr>
                </w:pPr>
                <w:r>
                  <w:rPr>
                    <w:color w:val="404040"/>
                    <w:sz w:val="20"/>
                    <w:szCs w:val="20"/>
                  </w:rPr>
                  <w:t>1,211 kg</w:t>
                </w:r>
              </w:p>
            </w:tc>
            <w:tc>
              <w:tcPr>
                <w:tcW w:w="1871" w:type="dxa"/>
                <w:tcBorders>
                  <w:top w:val="nil"/>
                  <w:left w:val="nil"/>
                  <w:bottom w:val="single" w:sz="8" w:space="0" w:color="007D57"/>
                  <w:right w:val="single" w:sz="8" w:space="0" w:color="007D57"/>
                </w:tcBorders>
                <w:shd w:val="clear" w:color="auto" w:fill="FBE4D5"/>
                <w:tcMar>
                  <w:top w:w="0" w:type="dxa"/>
                  <w:left w:w="108" w:type="dxa"/>
                  <w:bottom w:w="0" w:type="dxa"/>
                  <w:right w:w="108" w:type="dxa"/>
                </w:tcMar>
                <w:vAlign w:val="center"/>
                <w:hideMark/>
              </w:tcPr>
              <w:p w14:paraId="5003E883" w14:textId="77777777" w:rsidR="009F6F2F" w:rsidRDefault="009F6F2F">
                <w:pPr>
                  <w:spacing w:line="252" w:lineRule="auto"/>
                  <w:jc w:val="center"/>
                  <w:rPr>
                    <w:color w:val="404040"/>
                    <w:sz w:val="20"/>
                    <w:szCs w:val="20"/>
                  </w:rPr>
                </w:pPr>
                <w:r>
                  <w:rPr>
                    <w:color w:val="404040"/>
                    <w:sz w:val="20"/>
                    <w:szCs w:val="20"/>
                  </w:rPr>
                  <w:t>1,872.10 kg</w:t>
                </w:r>
              </w:p>
            </w:tc>
            <w:tc>
              <w:tcPr>
                <w:tcW w:w="1871" w:type="dxa"/>
                <w:tcBorders>
                  <w:top w:val="nil"/>
                  <w:left w:val="nil"/>
                  <w:bottom w:val="single" w:sz="8" w:space="0" w:color="007D57"/>
                  <w:right w:val="single" w:sz="8" w:space="0" w:color="007D57"/>
                </w:tcBorders>
                <w:shd w:val="clear" w:color="auto" w:fill="FBE4D5"/>
                <w:tcMar>
                  <w:top w:w="0" w:type="dxa"/>
                  <w:left w:w="108" w:type="dxa"/>
                  <w:bottom w:w="0" w:type="dxa"/>
                  <w:right w:w="108" w:type="dxa"/>
                </w:tcMar>
                <w:vAlign w:val="center"/>
                <w:hideMark/>
              </w:tcPr>
              <w:p w14:paraId="40FBC66D" w14:textId="2A284ABC" w:rsidR="009F6F2F" w:rsidRDefault="009F6F2F">
                <w:pPr>
                  <w:spacing w:line="252" w:lineRule="auto"/>
                  <w:jc w:val="center"/>
                  <w:rPr>
                    <w:color w:val="404040"/>
                    <w:sz w:val="20"/>
                    <w:szCs w:val="20"/>
                  </w:rPr>
                </w:pPr>
                <w:r>
                  <w:rPr>
                    <w:color w:val="404040"/>
                    <w:sz w:val="20"/>
                    <w:szCs w:val="20"/>
                  </w:rPr>
                  <w:t>2,364</w:t>
                </w:r>
                <w:r w:rsidR="00196A25">
                  <w:rPr>
                    <w:color w:val="404040"/>
                    <w:sz w:val="20"/>
                    <w:szCs w:val="20"/>
                  </w:rPr>
                  <w:t>.40</w:t>
                </w:r>
                <w:r>
                  <w:rPr>
                    <w:color w:val="404040"/>
                    <w:sz w:val="20"/>
                    <w:szCs w:val="20"/>
                  </w:rPr>
                  <w:t xml:space="preserve"> kg</w:t>
                </w:r>
              </w:p>
            </w:tc>
          </w:tr>
          <w:tr w:rsidR="009F6F2F" w14:paraId="6F5EEC2B"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6ADBBFDE"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0B5C84DD" w14:textId="77777777" w:rsidR="009F6F2F" w:rsidRDefault="009F6F2F">
                <w:pPr>
                  <w:spacing w:line="252" w:lineRule="auto"/>
                  <w:rPr>
                    <w:i/>
                    <w:iCs/>
                    <w:color w:val="404040"/>
                    <w:sz w:val="20"/>
                    <w:szCs w:val="20"/>
                  </w:rPr>
                </w:pPr>
                <w:proofErr w:type="spellStart"/>
                <w:r>
                  <w:rPr>
                    <w:i/>
                    <w:iCs/>
                    <w:color w:val="404040"/>
                    <w:sz w:val="20"/>
                    <w:szCs w:val="20"/>
                  </w:rPr>
                  <w:t>Euphyllia</w:t>
                </w:r>
                <w:proofErr w:type="spellEnd"/>
                <w:r>
                  <w:rPr>
                    <w:i/>
                    <w:iCs/>
                    <w:color w:val="404040"/>
                    <w:sz w:val="20"/>
                    <w:szCs w:val="20"/>
                  </w:rPr>
                  <w:t xml:space="preserve"> </w:t>
                </w:r>
                <w:proofErr w:type="spellStart"/>
                <w:r>
                  <w:rPr>
                    <w:i/>
                    <w:iCs/>
                    <w:color w:val="404040"/>
                    <w:sz w:val="20"/>
                    <w:szCs w:val="20"/>
                  </w:rPr>
                  <w:t>glabrescens</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7761C442" w14:textId="77777777" w:rsidR="009F6F2F" w:rsidRDefault="009F6F2F">
                <w:pPr>
                  <w:spacing w:line="252" w:lineRule="auto"/>
                  <w:jc w:val="center"/>
                  <w:rPr>
                    <w:color w:val="404040"/>
                    <w:sz w:val="20"/>
                    <w:szCs w:val="20"/>
                  </w:rPr>
                </w:pPr>
                <w:r>
                  <w:rPr>
                    <w:color w:val="404040"/>
                    <w:sz w:val="20"/>
                    <w:szCs w:val="20"/>
                  </w:rPr>
                  <w:t>1,009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7CB31E18" w14:textId="77777777" w:rsidR="009F6F2F" w:rsidRDefault="009F6F2F">
                <w:pPr>
                  <w:spacing w:line="252" w:lineRule="auto"/>
                  <w:jc w:val="center"/>
                  <w:rPr>
                    <w:color w:val="404040"/>
                    <w:sz w:val="20"/>
                    <w:szCs w:val="20"/>
                  </w:rPr>
                </w:pPr>
                <w:r>
                  <w:rPr>
                    <w:color w:val="404040"/>
                    <w:sz w:val="20"/>
                    <w:szCs w:val="20"/>
                  </w:rPr>
                  <w:t>801.60 kg</w:t>
                </w:r>
              </w:p>
            </w:tc>
            <w:tc>
              <w:tcPr>
                <w:tcW w:w="1871" w:type="dxa"/>
                <w:tcBorders>
                  <w:top w:val="nil"/>
                  <w:left w:val="nil"/>
                  <w:bottom w:val="single" w:sz="8" w:space="0" w:color="007D57"/>
                  <w:right w:val="single" w:sz="8" w:space="0" w:color="007D57"/>
                </w:tcBorders>
                <w:shd w:val="clear" w:color="auto" w:fill="FBE4D5"/>
                <w:tcMar>
                  <w:top w:w="0" w:type="dxa"/>
                  <w:left w:w="108" w:type="dxa"/>
                  <w:bottom w:w="0" w:type="dxa"/>
                  <w:right w:w="108" w:type="dxa"/>
                </w:tcMar>
                <w:vAlign w:val="center"/>
                <w:hideMark/>
              </w:tcPr>
              <w:p w14:paraId="7E968450" w14:textId="689A2047" w:rsidR="009F6F2F" w:rsidRDefault="009F6F2F">
                <w:pPr>
                  <w:spacing w:line="252" w:lineRule="auto"/>
                  <w:jc w:val="center"/>
                  <w:rPr>
                    <w:color w:val="404040"/>
                    <w:sz w:val="20"/>
                    <w:szCs w:val="20"/>
                  </w:rPr>
                </w:pPr>
                <w:r>
                  <w:rPr>
                    <w:color w:val="404040"/>
                    <w:sz w:val="20"/>
                    <w:szCs w:val="20"/>
                  </w:rPr>
                  <w:t>1,49</w:t>
                </w:r>
                <w:r w:rsidR="00196A25">
                  <w:rPr>
                    <w:color w:val="404040"/>
                    <w:sz w:val="20"/>
                    <w:szCs w:val="20"/>
                  </w:rPr>
                  <w:t>6.50</w:t>
                </w:r>
                <w:r>
                  <w:rPr>
                    <w:color w:val="404040"/>
                    <w:sz w:val="20"/>
                    <w:szCs w:val="20"/>
                  </w:rPr>
                  <w:t xml:space="preserve"> kg</w:t>
                </w:r>
              </w:p>
            </w:tc>
          </w:tr>
          <w:tr w:rsidR="009F6F2F" w14:paraId="55F7E7A8"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2797183F"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6A89EEA5" w14:textId="77777777" w:rsidR="009F6F2F" w:rsidRDefault="009F6F2F">
                <w:pPr>
                  <w:spacing w:line="252" w:lineRule="auto"/>
                  <w:rPr>
                    <w:i/>
                    <w:iCs/>
                    <w:color w:val="404040"/>
                    <w:sz w:val="20"/>
                    <w:szCs w:val="20"/>
                  </w:rPr>
                </w:pPr>
                <w:proofErr w:type="spellStart"/>
                <w:r>
                  <w:rPr>
                    <w:i/>
                    <w:iCs/>
                    <w:color w:val="404040"/>
                    <w:sz w:val="20"/>
                    <w:szCs w:val="20"/>
                  </w:rPr>
                  <w:t>Moseleya</w:t>
                </w:r>
                <w:proofErr w:type="spellEnd"/>
                <w:r>
                  <w:rPr>
                    <w:i/>
                    <w:iCs/>
                    <w:color w:val="404040"/>
                    <w:sz w:val="20"/>
                    <w:szCs w:val="20"/>
                  </w:rPr>
                  <w:t xml:space="preserve"> </w:t>
                </w:r>
                <w:proofErr w:type="spellStart"/>
                <w:r>
                  <w:rPr>
                    <w:i/>
                    <w:iCs/>
                    <w:color w:val="404040"/>
                    <w:sz w:val="20"/>
                    <w:szCs w:val="20"/>
                  </w:rPr>
                  <w:t>latistellata</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48950DE7" w14:textId="77777777" w:rsidR="009F6F2F" w:rsidRDefault="009F6F2F">
                <w:pPr>
                  <w:spacing w:line="252" w:lineRule="auto"/>
                  <w:jc w:val="center"/>
                  <w:rPr>
                    <w:color w:val="404040"/>
                    <w:sz w:val="20"/>
                    <w:szCs w:val="20"/>
                  </w:rPr>
                </w:pPr>
                <w:r>
                  <w:rPr>
                    <w:color w:val="404040"/>
                    <w:sz w:val="20"/>
                    <w:szCs w:val="20"/>
                  </w:rPr>
                  <w:t>588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19432838" w14:textId="7BD53741" w:rsidR="009F6F2F" w:rsidRDefault="00196A25">
                <w:pPr>
                  <w:spacing w:line="252" w:lineRule="auto"/>
                  <w:jc w:val="center"/>
                  <w:rPr>
                    <w:color w:val="404040"/>
                    <w:sz w:val="20"/>
                    <w:szCs w:val="20"/>
                  </w:rPr>
                </w:pPr>
                <w:r>
                  <w:rPr>
                    <w:color w:val="404040"/>
                    <w:sz w:val="20"/>
                    <w:szCs w:val="20"/>
                  </w:rPr>
                  <w:t>&lt;30</w:t>
                </w:r>
                <w:r w:rsidR="00991C06">
                  <w:rPr>
                    <w:color w:val="404040"/>
                    <w:sz w:val="20"/>
                    <w:szCs w:val="20"/>
                  </w:rPr>
                  <w:t>*</w:t>
                </w:r>
                <w:r w:rsidR="009F6F2F">
                  <w:rPr>
                    <w:color w:val="404040"/>
                    <w:sz w:val="20"/>
                    <w:szCs w:val="20"/>
                  </w:rPr>
                  <w:t xml:space="preserve">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406AA2E4" w14:textId="12FFA543" w:rsidR="009F6F2F" w:rsidRDefault="009F6F2F">
                <w:pPr>
                  <w:spacing w:line="252" w:lineRule="auto"/>
                  <w:jc w:val="center"/>
                  <w:rPr>
                    <w:color w:val="404040"/>
                    <w:sz w:val="20"/>
                    <w:szCs w:val="20"/>
                  </w:rPr>
                </w:pPr>
                <w:r>
                  <w:rPr>
                    <w:color w:val="404040"/>
                    <w:sz w:val="20"/>
                    <w:szCs w:val="20"/>
                  </w:rPr>
                  <w:t>17</w:t>
                </w:r>
                <w:r w:rsidR="00196A25">
                  <w:rPr>
                    <w:color w:val="404040"/>
                    <w:sz w:val="20"/>
                    <w:szCs w:val="20"/>
                  </w:rPr>
                  <w:t>.20</w:t>
                </w:r>
                <w:r>
                  <w:rPr>
                    <w:color w:val="404040"/>
                    <w:sz w:val="20"/>
                    <w:szCs w:val="20"/>
                  </w:rPr>
                  <w:t xml:space="preserve"> kg</w:t>
                </w:r>
              </w:p>
            </w:tc>
          </w:tr>
          <w:tr w:rsidR="009F6F2F" w14:paraId="1A83C97B"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227F0847"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7E6D4303" w14:textId="77777777" w:rsidR="009F6F2F" w:rsidRDefault="009F6F2F">
                <w:pPr>
                  <w:spacing w:line="252" w:lineRule="auto"/>
                  <w:rPr>
                    <w:i/>
                    <w:iCs/>
                    <w:color w:val="FF0000"/>
                    <w:sz w:val="20"/>
                    <w:szCs w:val="20"/>
                  </w:rPr>
                </w:pPr>
                <w:proofErr w:type="spellStart"/>
                <w:r>
                  <w:rPr>
                    <w:i/>
                    <w:iCs/>
                    <w:color w:val="404040"/>
                    <w:sz w:val="20"/>
                    <w:szCs w:val="20"/>
                  </w:rPr>
                  <w:t>Trachyphyllia</w:t>
                </w:r>
                <w:proofErr w:type="spellEnd"/>
                <w:r>
                  <w:rPr>
                    <w:i/>
                    <w:iCs/>
                    <w:color w:val="404040"/>
                    <w:sz w:val="20"/>
                    <w:szCs w:val="20"/>
                  </w:rPr>
                  <w:t xml:space="preserve"> geoffroyi</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40B0C546" w14:textId="77777777" w:rsidR="009F6F2F" w:rsidRDefault="009F6F2F">
                <w:pPr>
                  <w:spacing w:line="252" w:lineRule="auto"/>
                  <w:jc w:val="center"/>
                  <w:rPr>
                    <w:color w:val="404040"/>
                    <w:sz w:val="20"/>
                    <w:szCs w:val="20"/>
                  </w:rPr>
                </w:pPr>
                <w:r>
                  <w:rPr>
                    <w:color w:val="404040"/>
                    <w:sz w:val="20"/>
                    <w:szCs w:val="20"/>
                  </w:rPr>
                  <w:t>1,281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588CD995" w14:textId="77777777" w:rsidR="009F6F2F" w:rsidRDefault="009F6F2F">
                <w:pPr>
                  <w:spacing w:line="252" w:lineRule="auto"/>
                  <w:jc w:val="center"/>
                  <w:rPr>
                    <w:color w:val="404040"/>
                    <w:sz w:val="20"/>
                    <w:szCs w:val="20"/>
                  </w:rPr>
                </w:pPr>
                <w:r>
                  <w:rPr>
                    <w:color w:val="404040"/>
                    <w:sz w:val="20"/>
                    <w:szCs w:val="20"/>
                  </w:rPr>
                  <w:t>328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2E840A16" w14:textId="070F0108" w:rsidR="009F6F2F" w:rsidRDefault="009F6F2F">
                <w:pPr>
                  <w:spacing w:line="252" w:lineRule="auto"/>
                  <w:jc w:val="center"/>
                  <w:rPr>
                    <w:color w:val="404040"/>
                    <w:sz w:val="20"/>
                    <w:szCs w:val="20"/>
                  </w:rPr>
                </w:pPr>
                <w:r>
                  <w:rPr>
                    <w:color w:val="404040"/>
                    <w:sz w:val="20"/>
                    <w:szCs w:val="20"/>
                  </w:rPr>
                  <w:t>683</w:t>
                </w:r>
                <w:r w:rsidR="00196A25">
                  <w:rPr>
                    <w:color w:val="404040"/>
                    <w:sz w:val="20"/>
                    <w:szCs w:val="20"/>
                  </w:rPr>
                  <w:t>.30</w:t>
                </w:r>
                <w:r>
                  <w:rPr>
                    <w:color w:val="404040"/>
                    <w:sz w:val="20"/>
                    <w:szCs w:val="20"/>
                  </w:rPr>
                  <w:t xml:space="preserve"> kg</w:t>
                </w:r>
              </w:p>
            </w:tc>
          </w:tr>
          <w:tr w:rsidR="009F6F2F" w14:paraId="76801F71"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4CD54535"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2CCCCDB5" w14:textId="77777777" w:rsidR="009F6F2F" w:rsidRDefault="009F6F2F">
                <w:pPr>
                  <w:spacing w:line="252" w:lineRule="auto"/>
                  <w:rPr>
                    <w:i/>
                    <w:iCs/>
                    <w:color w:val="FF0000"/>
                    <w:sz w:val="20"/>
                    <w:szCs w:val="20"/>
                  </w:rPr>
                </w:pPr>
                <w:proofErr w:type="spellStart"/>
                <w:r w:rsidRPr="00177567">
                  <w:rPr>
                    <w:i/>
                    <w:iCs/>
                    <w:color w:val="auto"/>
                    <w:sz w:val="20"/>
                    <w:szCs w:val="20"/>
                  </w:rPr>
                  <w:t>Corallimorphidae</w:t>
                </w:r>
                <w:proofErr w:type="spellEnd"/>
                <w:r w:rsidRPr="00177567">
                  <w:rPr>
                    <w:i/>
                    <w:iCs/>
                    <w:color w:val="auto"/>
                    <w:sz w:val="20"/>
                    <w:szCs w:val="20"/>
                  </w:rPr>
                  <w:t xml:space="preserve"> - undifferentiated</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47FC6F39" w14:textId="77777777" w:rsidR="009F6F2F" w:rsidRDefault="009F6F2F">
                <w:pPr>
                  <w:spacing w:line="252" w:lineRule="auto"/>
                  <w:jc w:val="center"/>
                  <w:rPr>
                    <w:color w:val="404040"/>
                    <w:sz w:val="20"/>
                    <w:szCs w:val="20"/>
                  </w:rPr>
                </w:pPr>
                <w:r>
                  <w:rPr>
                    <w:color w:val="404040"/>
                    <w:sz w:val="20"/>
                    <w:szCs w:val="20"/>
                  </w:rPr>
                  <w:t>-</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3A43A8B6" w14:textId="44C1D96B" w:rsidR="009F6F2F" w:rsidRDefault="009D36B1">
                <w:pPr>
                  <w:spacing w:line="252" w:lineRule="auto"/>
                  <w:jc w:val="center"/>
                  <w:rPr>
                    <w:color w:val="404040"/>
                    <w:sz w:val="20"/>
                    <w:szCs w:val="20"/>
                  </w:rPr>
                </w:pPr>
                <w:r>
                  <w:rPr>
                    <w:color w:val="404040"/>
                    <w:sz w:val="20"/>
                    <w:szCs w:val="20"/>
                  </w:rPr>
                  <w:t>1673</w:t>
                </w:r>
                <w:r w:rsidR="009F6F2F">
                  <w:rPr>
                    <w:color w:val="404040"/>
                    <w:sz w:val="20"/>
                    <w:szCs w:val="20"/>
                  </w:rPr>
                  <w:t xml:space="preserve">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50AC2123" w14:textId="55AD1478" w:rsidR="009F6F2F" w:rsidRDefault="009D36B1">
                <w:pPr>
                  <w:spacing w:line="252" w:lineRule="auto"/>
                  <w:jc w:val="center"/>
                  <w:rPr>
                    <w:color w:val="404040"/>
                    <w:sz w:val="20"/>
                    <w:szCs w:val="20"/>
                  </w:rPr>
                </w:pPr>
                <w:r>
                  <w:rPr>
                    <w:color w:val="404040"/>
                    <w:sz w:val="20"/>
                    <w:szCs w:val="20"/>
                  </w:rPr>
                  <w:t>2936 kg</w:t>
                </w:r>
              </w:p>
            </w:tc>
          </w:tr>
          <w:tr w:rsidR="009F6F2F" w14:paraId="2E93463E"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2C432930"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278FE916" w14:textId="77777777" w:rsidR="009F6F2F" w:rsidRDefault="009F6F2F">
                <w:pPr>
                  <w:spacing w:line="252" w:lineRule="auto"/>
                  <w:rPr>
                    <w:i/>
                    <w:iCs/>
                    <w:color w:val="FF0000"/>
                    <w:sz w:val="20"/>
                    <w:szCs w:val="20"/>
                  </w:rPr>
                </w:pPr>
                <w:r w:rsidRPr="00177567">
                  <w:rPr>
                    <w:i/>
                    <w:iCs/>
                    <w:color w:val="auto"/>
                    <w:sz w:val="20"/>
                    <w:szCs w:val="20"/>
                  </w:rPr>
                  <w:t xml:space="preserve">Order </w:t>
                </w:r>
                <w:proofErr w:type="spellStart"/>
                <w:r w:rsidRPr="00177567">
                  <w:rPr>
                    <w:i/>
                    <w:iCs/>
                    <w:color w:val="auto"/>
                    <w:sz w:val="20"/>
                    <w:szCs w:val="20"/>
                  </w:rPr>
                  <w:t>Zoantharia</w:t>
                </w:r>
                <w:proofErr w:type="spellEnd"/>
                <w:r w:rsidRPr="00177567">
                  <w:rPr>
                    <w:i/>
                    <w:iCs/>
                    <w:color w:val="auto"/>
                    <w:sz w:val="20"/>
                    <w:szCs w:val="20"/>
                  </w:rPr>
                  <w:t xml:space="preserve"> – undifferentiated</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56EDB1E1" w14:textId="77777777" w:rsidR="009F6F2F" w:rsidRDefault="009F6F2F">
                <w:pPr>
                  <w:spacing w:line="252" w:lineRule="auto"/>
                  <w:jc w:val="center"/>
                  <w:rPr>
                    <w:color w:val="404040"/>
                    <w:sz w:val="20"/>
                    <w:szCs w:val="20"/>
                  </w:rPr>
                </w:pPr>
                <w:r>
                  <w:rPr>
                    <w:color w:val="404040"/>
                    <w:sz w:val="20"/>
                    <w:szCs w:val="20"/>
                  </w:rPr>
                  <w:t>-</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77CDEA1D" w14:textId="65F6061E" w:rsidR="009F6F2F" w:rsidRDefault="00445CFA">
                <w:pPr>
                  <w:spacing w:line="252" w:lineRule="auto"/>
                  <w:jc w:val="center"/>
                  <w:rPr>
                    <w:color w:val="404040"/>
                    <w:sz w:val="20"/>
                    <w:szCs w:val="20"/>
                  </w:rPr>
                </w:pPr>
                <w:r>
                  <w:rPr>
                    <w:color w:val="404040"/>
                    <w:sz w:val="20"/>
                    <w:szCs w:val="20"/>
                  </w:rPr>
                  <w:t>971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319B5186" w14:textId="15AC504E" w:rsidR="009F6F2F" w:rsidRDefault="00F7015D">
                <w:pPr>
                  <w:spacing w:line="252" w:lineRule="auto"/>
                  <w:jc w:val="center"/>
                  <w:rPr>
                    <w:color w:val="404040"/>
                    <w:sz w:val="20"/>
                    <w:szCs w:val="20"/>
                  </w:rPr>
                </w:pPr>
                <w:r>
                  <w:rPr>
                    <w:color w:val="404040"/>
                    <w:sz w:val="20"/>
                    <w:szCs w:val="20"/>
                  </w:rPr>
                  <w:t>1194 kg</w:t>
                </w:r>
              </w:p>
            </w:tc>
          </w:tr>
          <w:tr w:rsidR="009F6F2F" w14:paraId="6FA6DC5E"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62FA73B7"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3D36205A" w14:textId="77777777" w:rsidR="009F6F2F" w:rsidRDefault="009F6F2F">
                <w:pPr>
                  <w:spacing w:line="252" w:lineRule="auto"/>
                  <w:rPr>
                    <w:i/>
                    <w:iCs/>
                    <w:color w:val="FF0000"/>
                    <w:sz w:val="20"/>
                    <w:szCs w:val="20"/>
                  </w:rPr>
                </w:pPr>
                <w:proofErr w:type="spellStart"/>
                <w:r w:rsidRPr="00177567">
                  <w:rPr>
                    <w:i/>
                    <w:iCs/>
                    <w:color w:val="auto"/>
                    <w:sz w:val="20"/>
                    <w:szCs w:val="20"/>
                  </w:rPr>
                  <w:t>Goniopora</w:t>
                </w:r>
                <w:proofErr w:type="spellEnd"/>
                <w:r w:rsidRPr="00177567">
                  <w:rPr>
                    <w:i/>
                    <w:iCs/>
                    <w:color w:val="auto"/>
                    <w:sz w:val="20"/>
                    <w:szCs w:val="20"/>
                  </w:rPr>
                  <w:t xml:space="preserve"> spp.</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6083F39C" w14:textId="77777777" w:rsidR="009F6F2F" w:rsidRDefault="009F6F2F">
                <w:pPr>
                  <w:spacing w:line="252" w:lineRule="auto"/>
                  <w:jc w:val="center"/>
                  <w:rPr>
                    <w:color w:val="404040"/>
                    <w:sz w:val="20"/>
                    <w:szCs w:val="20"/>
                  </w:rPr>
                </w:pPr>
                <w:r>
                  <w:rPr>
                    <w:color w:val="404040"/>
                    <w:sz w:val="20"/>
                    <w:szCs w:val="20"/>
                  </w:rPr>
                  <w:t>530</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41259C7C" w14:textId="65648E35" w:rsidR="009F6F2F" w:rsidRDefault="00445CFA">
                <w:pPr>
                  <w:spacing w:line="252" w:lineRule="auto"/>
                  <w:jc w:val="center"/>
                  <w:rPr>
                    <w:color w:val="404040"/>
                    <w:sz w:val="20"/>
                    <w:szCs w:val="20"/>
                  </w:rPr>
                </w:pPr>
                <w:r>
                  <w:rPr>
                    <w:color w:val="404040"/>
                    <w:sz w:val="20"/>
                    <w:szCs w:val="20"/>
                  </w:rPr>
                  <w:t>337.20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5AF121B4" w14:textId="308AD63A" w:rsidR="009F6F2F" w:rsidRDefault="00F7015D">
                <w:pPr>
                  <w:spacing w:line="252" w:lineRule="auto"/>
                  <w:jc w:val="center"/>
                  <w:rPr>
                    <w:color w:val="404040"/>
                    <w:sz w:val="20"/>
                    <w:szCs w:val="20"/>
                  </w:rPr>
                </w:pPr>
                <w:r>
                  <w:rPr>
                    <w:color w:val="404040"/>
                    <w:sz w:val="20"/>
                    <w:szCs w:val="20"/>
                  </w:rPr>
                  <w:t>836.70 kg</w:t>
                </w:r>
              </w:p>
            </w:tc>
          </w:tr>
          <w:tr w:rsidR="009F6F2F" w14:paraId="23A8A120"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6F60E427"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731D9C7C" w14:textId="77777777" w:rsidR="009F6F2F" w:rsidRDefault="009F6F2F">
                <w:pPr>
                  <w:spacing w:line="252" w:lineRule="auto"/>
                  <w:rPr>
                    <w:i/>
                    <w:iCs/>
                    <w:color w:val="FF0000"/>
                    <w:sz w:val="20"/>
                    <w:szCs w:val="20"/>
                  </w:rPr>
                </w:pPr>
                <w:proofErr w:type="spellStart"/>
                <w:r w:rsidRPr="00177567">
                  <w:rPr>
                    <w:i/>
                    <w:iCs/>
                    <w:color w:val="auto"/>
                    <w:sz w:val="20"/>
                    <w:szCs w:val="20"/>
                  </w:rPr>
                  <w:t>Euphyllia</w:t>
                </w:r>
                <w:proofErr w:type="spellEnd"/>
                <w:r w:rsidRPr="00177567">
                  <w:rPr>
                    <w:i/>
                    <w:iCs/>
                    <w:color w:val="auto"/>
                    <w:sz w:val="20"/>
                    <w:szCs w:val="20"/>
                  </w:rPr>
                  <w:t xml:space="preserve"> </w:t>
                </w:r>
                <w:proofErr w:type="spellStart"/>
                <w:r w:rsidRPr="00177567">
                  <w:rPr>
                    <w:i/>
                    <w:iCs/>
                    <w:color w:val="auto"/>
                    <w:sz w:val="20"/>
                    <w:szCs w:val="20"/>
                  </w:rPr>
                  <w:t>paraancora</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520925AD" w14:textId="77777777" w:rsidR="009F6F2F" w:rsidRDefault="009F6F2F">
                <w:pPr>
                  <w:spacing w:line="252" w:lineRule="auto"/>
                  <w:jc w:val="center"/>
                  <w:rPr>
                    <w:color w:val="404040"/>
                    <w:sz w:val="20"/>
                    <w:szCs w:val="20"/>
                  </w:rPr>
                </w:pPr>
                <w:r>
                  <w:rPr>
                    <w:color w:val="404040"/>
                    <w:sz w:val="20"/>
                    <w:szCs w:val="20"/>
                  </w:rPr>
                  <w:t>538</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43F73597" w14:textId="23AA4010" w:rsidR="009F6F2F" w:rsidRDefault="00F7015D">
                <w:pPr>
                  <w:spacing w:line="252" w:lineRule="auto"/>
                  <w:jc w:val="center"/>
                  <w:rPr>
                    <w:color w:val="404040"/>
                    <w:sz w:val="20"/>
                    <w:szCs w:val="20"/>
                  </w:rPr>
                </w:pPr>
                <w:r>
                  <w:rPr>
                    <w:color w:val="404040"/>
                    <w:sz w:val="20"/>
                    <w:szCs w:val="20"/>
                  </w:rPr>
                  <w:t>&lt;200*</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7DCFB03A" w14:textId="4B0ECF16" w:rsidR="009F6F2F" w:rsidRDefault="00F7015D">
                <w:pPr>
                  <w:spacing w:line="252" w:lineRule="auto"/>
                  <w:jc w:val="center"/>
                  <w:rPr>
                    <w:color w:val="404040"/>
                    <w:sz w:val="20"/>
                    <w:szCs w:val="20"/>
                  </w:rPr>
                </w:pPr>
                <w:r>
                  <w:rPr>
                    <w:color w:val="404040"/>
                    <w:sz w:val="20"/>
                    <w:szCs w:val="20"/>
                  </w:rPr>
                  <w:t>714 kg</w:t>
                </w:r>
              </w:p>
            </w:tc>
          </w:tr>
          <w:tr w:rsidR="009F6F2F" w14:paraId="0DEE6AAF" w14:textId="77777777" w:rsidTr="003748D8">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173A0C70"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28FBE6ED" w14:textId="77777777" w:rsidR="009F6F2F" w:rsidRPr="00177567" w:rsidRDefault="009F6F2F">
                <w:pPr>
                  <w:spacing w:line="252" w:lineRule="auto"/>
                  <w:rPr>
                    <w:i/>
                    <w:iCs/>
                    <w:color w:val="auto"/>
                    <w:sz w:val="20"/>
                    <w:szCs w:val="20"/>
                  </w:rPr>
                </w:pPr>
                <w:proofErr w:type="spellStart"/>
                <w:r w:rsidRPr="00177567">
                  <w:rPr>
                    <w:i/>
                    <w:iCs/>
                    <w:color w:val="auto"/>
                    <w:sz w:val="20"/>
                    <w:szCs w:val="20"/>
                  </w:rPr>
                  <w:t>Lobophyllia</w:t>
                </w:r>
                <w:proofErr w:type="spellEnd"/>
                <w:r w:rsidRPr="00177567">
                  <w:rPr>
                    <w:i/>
                    <w:iCs/>
                    <w:color w:val="auto"/>
                    <w:sz w:val="20"/>
                    <w:szCs w:val="20"/>
                  </w:rPr>
                  <w:t xml:space="preserve"> </w:t>
                </w:r>
                <w:proofErr w:type="spellStart"/>
                <w:r w:rsidRPr="00177567">
                  <w:rPr>
                    <w:i/>
                    <w:iCs/>
                    <w:color w:val="auto"/>
                    <w:sz w:val="20"/>
                    <w:szCs w:val="20"/>
                  </w:rPr>
                  <w:t>hemprichii</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62D6DB73" w14:textId="77777777" w:rsidR="009F6F2F" w:rsidRDefault="009F6F2F">
                <w:pPr>
                  <w:spacing w:line="252" w:lineRule="auto"/>
                  <w:jc w:val="center"/>
                  <w:rPr>
                    <w:color w:val="404040"/>
                    <w:sz w:val="20"/>
                    <w:szCs w:val="20"/>
                  </w:rPr>
                </w:pPr>
                <w:r>
                  <w:rPr>
                    <w:color w:val="404040"/>
                    <w:sz w:val="20"/>
                    <w:szCs w:val="20"/>
                  </w:rPr>
                  <w:t>176</w:t>
                </w:r>
              </w:p>
            </w:tc>
            <w:tc>
              <w:tcPr>
                <w:tcW w:w="1871" w:type="dxa"/>
                <w:tcBorders>
                  <w:top w:val="nil"/>
                  <w:left w:val="nil"/>
                  <w:bottom w:val="single" w:sz="8" w:space="0" w:color="007D57"/>
                  <w:right w:val="single" w:sz="8" w:space="0" w:color="007D57"/>
                </w:tcBorders>
                <w:shd w:val="clear" w:color="auto" w:fill="FBE4D5" w:themeFill="accent2" w:themeFillTint="33"/>
                <w:tcMar>
                  <w:top w:w="0" w:type="dxa"/>
                  <w:left w:w="108" w:type="dxa"/>
                  <w:bottom w:w="0" w:type="dxa"/>
                  <w:right w:w="108" w:type="dxa"/>
                </w:tcMar>
                <w:vAlign w:val="center"/>
              </w:tcPr>
              <w:p w14:paraId="67ADC44F" w14:textId="6276EED5" w:rsidR="009F6F2F" w:rsidRDefault="00F7015D">
                <w:pPr>
                  <w:spacing w:line="252" w:lineRule="auto"/>
                  <w:jc w:val="center"/>
                  <w:rPr>
                    <w:color w:val="404040"/>
                    <w:sz w:val="20"/>
                    <w:szCs w:val="20"/>
                  </w:rPr>
                </w:pPr>
                <w:r>
                  <w:rPr>
                    <w:color w:val="404040"/>
                    <w:sz w:val="20"/>
                    <w:szCs w:val="20"/>
                  </w:rPr>
                  <w:t>&lt;200*</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1050FC5E" w14:textId="2D5C2FC5" w:rsidR="009F6F2F" w:rsidRDefault="00F7015D">
                <w:pPr>
                  <w:spacing w:line="252" w:lineRule="auto"/>
                  <w:jc w:val="center"/>
                  <w:rPr>
                    <w:color w:val="404040"/>
                    <w:sz w:val="20"/>
                    <w:szCs w:val="20"/>
                  </w:rPr>
                </w:pPr>
                <w:r>
                  <w:rPr>
                    <w:color w:val="404040"/>
                    <w:sz w:val="20"/>
                    <w:szCs w:val="20"/>
                  </w:rPr>
                  <w:t>478 kg</w:t>
                </w:r>
              </w:p>
            </w:tc>
          </w:tr>
          <w:tr w:rsidR="009F6F2F" w14:paraId="43925EA9"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0E7F6876"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48D722C6" w14:textId="77777777" w:rsidR="009F6F2F" w:rsidRPr="00177567" w:rsidRDefault="009F6F2F">
                <w:pPr>
                  <w:spacing w:line="252" w:lineRule="auto"/>
                  <w:rPr>
                    <w:i/>
                    <w:iCs/>
                    <w:color w:val="auto"/>
                    <w:sz w:val="20"/>
                    <w:szCs w:val="20"/>
                  </w:rPr>
                </w:pPr>
                <w:proofErr w:type="spellStart"/>
                <w:r w:rsidRPr="00177567">
                  <w:rPr>
                    <w:i/>
                    <w:iCs/>
                    <w:color w:val="auto"/>
                    <w:sz w:val="20"/>
                    <w:szCs w:val="20"/>
                  </w:rPr>
                  <w:t>Trachyphyllia</w:t>
                </w:r>
                <w:proofErr w:type="spellEnd"/>
                <w:r w:rsidRPr="00177567">
                  <w:rPr>
                    <w:i/>
                    <w:iCs/>
                    <w:color w:val="auto"/>
                    <w:sz w:val="20"/>
                    <w:szCs w:val="20"/>
                  </w:rPr>
                  <w:t xml:space="preserve"> geoffroyi</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005DF0B5" w14:textId="77777777" w:rsidR="009F6F2F" w:rsidRDefault="009F6F2F">
                <w:pPr>
                  <w:spacing w:line="252" w:lineRule="auto"/>
                  <w:jc w:val="center"/>
                  <w:rPr>
                    <w:color w:val="404040"/>
                    <w:sz w:val="20"/>
                    <w:szCs w:val="20"/>
                  </w:rPr>
                </w:pPr>
                <w:r>
                  <w:rPr>
                    <w:color w:val="404040"/>
                    <w:sz w:val="20"/>
                    <w:szCs w:val="20"/>
                  </w:rPr>
                  <w:t>1281</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2EE7FD03" w14:textId="49F54562" w:rsidR="009F6F2F" w:rsidRDefault="00445CFA">
                <w:pPr>
                  <w:spacing w:line="252" w:lineRule="auto"/>
                  <w:jc w:val="center"/>
                  <w:rPr>
                    <w:color w:val="404040"/>
                    <w:sz w:val="20"/>
                    <w:szCs w:val="20"/>
                  </w:rPr>
                </w:pPr>
                <w:r>
                  <w:rPr>
                    <w:color w:val="404040"/>
                    <w:sz w:val="20"/>
                    <w:szCs w:val="20"/>
                  </w:rPr>
                  <w:t>328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14E22AD8" w14:textId="0105E274" w:rsidR="009F6F2F" w:rsidRDefault="00F7015D">
                <w:pPr>
                  <w:spacing w:line="252" w:lineRule="auto"/>
                  <w:jc w:val="center"/>
                  <w:rPr>
                    <w:color w:val="404040"/>
                    <w:sz w:val="20"/>
                    <w:szCs w:val="20"/>
                  </w:rPr>
                </w:pPr>
                <w:r>
                  <w:rPr>
                    <w:color w:val="404040"/>
                    <w:sz w:val="20"/>
                    <w:szCs w:val="20"/>
                  </w:rPr>
                  <w:t>683.30 kg</w:t>
                </w:r>
              </w:p>
            </w:tc>
          </w:tr>
          <w:tr w:rsidR="009F6F2F" w14:paraId="5EA330F7"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61464A17"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6095463F" w14:textId="77777777" w:rsidR="009F6F2F" w:rsidRPr="00177567" w:rsidRDefault="009F6F2F">
                <w:pPr>
                  <w:spacing w:line="252" w:lineRule="auto"/>
                  <w:rPr>
                    <w:i/>
                    <w:iCs/>
                    <w:color w:val="auto"/>
                    <w:sz w:val="20"/>
                    <w:szCs w:val="20"/>
                  </w:rPr>
                </w:pPr>
                <w:proofErr w:type="spellStart"/>
                <w:r w:rsidRPr="00177567">
                  <w:rPr>
                    <w:i/>
                    <w:iCs/>
                    <w:color w:val="auto"/>
                    <w:sz w:val="20"/>
                    <w:szCs w:val="20"/>
                  </w:rPr>
                  <w:t>Dipastraea</w:t>
                </w:r>
                <w:proofErr w:type="spellEnd"/>
                <w:r w:rsidRPr="00177567">
                  <w:rPr>
                    <w:i/>
                    <w:iCs/>
                    <w:color w:val="auto"/>
                    <w:sz w:val="20"/>
                    <w:szCs w:val="20"/>
                  </w:rPr>
                  <w:t xml:space="preserve"> spp.</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59B4BC52" w14:textId="77777777" w:rsidR="009F6F2F" w:rsidRDefault="009F6F2F">
                <w:pPr>
                  <w:spacing w:line="252" w:lineRule="auto"/>
                  <w:jc w:val="center"/>
                  <w:rPr>
                    <w:color w:val="404040"/>
                    <w:sz w:val="20"/>
                    <w:szCs w:val="20"/>
                  </w:rPr>
                </w:pPr>
                <w:r>
                  <w:rPr>
                    <w:color w:val="404040"/>
                    <w:sz w:val="20"/>
                    <w:szCs w:val="20"/>
                  </w:rPr>
                  <w:t>962</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05A9830A" w14:textId="577B2918" w:rsidR="009F6F2F" w:rsidRDefault="00445CFA">
                <w:pPr>
                  <w:spacing w:line="252" w:lineRule="auto"/>
                  <w:jc w:val="center"/>
                  <w:rPr>
                    <w:color w:val="404040"/>
                    <w:sz w:val="20"/>
                    <w:szCs w:val="20"/>
                  </w:rPr>
                </w:pPr>
                <w:r>
                  <w:rPr>
                    <w:color w:val="404040"/>
                    <w:sz w:val="20"/>
                    <w:szCs w:val="20"/>
                  </w:rPr>
                  <w:t>650.80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5314C3AA" w14:textId="10532951" w:rsidR="009F6F2F" w:rsidRDefault="00F7015D">
                <w:pPr>
                  <w:spacing w:line="252" w:lineRule="auto"/>
                  <w:jc w:val="center"/>
                  <w:rPr>
                    <w:color w:val="404040"/>
                    <w:sz w:val="20"/>
                    <w:szCs w:val="20"/>
                  </w:rPr>
                </w:pPr>
                <w:r>
                  <w:rPr>
                    <w:color w:val="404040"/>
                    <w:sz w:val="20"/>
                    <w:szCs w:val="20"/>
                  </w:rPr>
                  <w:t>294.20 kg</w:t>
                </w:r>
              </w:p>
            </w:tc>
          </w:tr>
          <w:tr w:rsidR="009F6F2F" w14:paraId="5605B835"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359A5643"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7CEC1CB5" w14:textId="77777777" w:rsidR="009F6F2F" w:rsidRPr="00177567" w:rsidRDefault="009F6F2F">
                <w:pPr>
                  <w:spacing w:line="252" w:lineRule="auto"/>
                  <w:rPr>
                    <w:i/>
                    <w:iCs/>
                    <w:color w:val="auto"/>
                    <w:sz w:val="20"/>
                    <w:szCs w:val="20"/>
                  </w:rPr>
                </w:pPr>
                <w:r w:rsidRPr="00177567">
                  <w:rPr>
                    <w:i/>
                    <w:iCs/>
                    <w:color w:val="auto"/>
                    <w:sz w:val="20"/>
                    <w:szCs w:val="20"/>
                  </w:rPr>
                  <w:t>Acropora spp.</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091639D4" w14:textId="77777777" w:rsidR="009F6F2F" w:rsidRDefault="009F6F2F">
                <w:pPr>
                  <w:spacing w:line="252" w:lineRule="auto"/>
                  <w:jc w:val="center"/>
                  <w:rPr>
                    <w:color w:val="404040"/>
                    <w:sz w:val="20"/>
                    <w:szCs w:val="20"/>
                  </w:rPr>
                </w:pPr>
                <w:r>
                  <w:rPr>
                    <w:color w:val="404040"/>
                    <w:sz w:val="20"/>
                    <w:szCs w:val="20"/>
                  </w:rPr>
                  <w:t>673</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34B5270C" w14:textId="299C96C0" w:rsidR="009F6F2F" w:rsidRDefault="00445CFA">
                <w:pPr>
                  <w:spacing w:line="252" w:lineRule="auto"/>
                  <w:jc w:val="center"/>
                  <w:rPr>
                    <w:color w:val="404040"/>
                    <w:sz w:val="20"/>
                    <w:szCs w:val="20"/>
                  </w:rPr>
                </w:pPr>
                <w:r>
                  <w:rPr>
                    <w:color w:val="404040"/>
                    <w:sz w:val="20"/>
                    <w:szCs w:val="20"/>
                  </w:rPr>
                  <w:t>275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24A7D792" w14:textId="75E411BF" w:rsidR="009F6F2F" w:rsidRDefault="00F7015D">
                <w:pPr>
                  <w:spacing w:line="252" w:lineRule="auto"/>
                  <w:jc w:val="center"/>
                  <w:rPr>
                    <w:color w:val="404040"/>
                    <w:sz w:val="20"/>
                    <w:szCs w:val="20"/>
                  </w:rPr>
                </w:pPr>
                <w:r>
                  <w:rPr>
                    <w:color w:val="404040"/>
                    <w:sz w:val="20"/>
                    <w:szCs w:val="20"/>
                  </w:rPr>
                  <w:t>426 kg</w:t>
                </w:r>
              </w:p>
            </w:tc>
          </w:tr>
          <w:tr w:rsidR="009F6F2F" w14:paraId="55F77E0D"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34789DA0"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1243CAD6" w14:textId="77777777" w:rsidR="009F6F2F" w:rsidRPr="00177567" w:rsidRDefault="009F6F2F">
                <w:pPr>
                  <w:spacing w:line="252" w:lineRule="auto"/>
                  <w:rPr>
                    <w:i/>
                    <w:iCs/>
                    <w:color w:val="auto"/>
                    <w:sz w:val="20"/>
                    <w:szCs w:val="20"/>
                  </w:rPr>
                </w:pPr>
                <w:proofErr w:type="spellStart"/>
                <w:r w:rsidRPr="00177567">
                  <w:rPr>
                    <w:i/>
                    <w:iCs/>
                    <w:color w:val="auto"/>
                    <w:sz w:val="20"/>
                    <w:szCs w:val="20"/>
                  </w:rPr>
                  <w:t>Lobophyllia</w:t>
                </w:r>
                <w:proofErr w:type="spellEnd"/>
                <w:r w:rsidRPr="00177567">
                  <w:rPr>
                    <w:i/>
                    <w:iCs/>
                    <w:color w:val="auto"/>
                    <w:sz w:val="20"/>
                    <w:szCs w:val="20"/>
                  </w:rPr>
                  <w:t xml:space="preserve"> spp. </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4DC920B3" w14:textId="77777777" w:rsidR="009F6F2F" w:rsidRDefault="009F6F2F">
                <w:pPr>
                  <w:spacing w:line="252" w:lineRule="auto"/>
                  <w:jc w:val="center"/>
                  <w:rPr>
                    <w:color w:val="404040"/>
                    <w:sz w:val="20"/>
                    <w:szCs w:val="20"/>
                  </w:rPr>
                </w:pPr>
                <w:r>
                  <w:rPr>
                    <w:color w:val="404040"/>
                    <w:sz w:val="20"/>
                    <w:szCs w:val="20"/>
                  </w:rPr>
                  <w:t>1112</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37F84C45" w14:textId="26D02EA0" w:rsidR="009F6F2F" w:rsidRDefault="00445CFA">
                <w:pPr>
                  <w:spacing w:line="252" w:lineRule="auto"/>
                  <w:jc w:val="center"/>
                  <w:rPr>
                    <w:color w:val="404040"/>
                    <w:sz w:val="20"/>
                    <w:szCs w:val="20"/>
                  </w:rPr>
                </w:pPr>
                <w:r>
                  <w:rPr>
                    <w:color w:val="404040"/>
                    <w:sz w:val="20"/>
                    <w:szCs w:val="20"/>
                  </w:rPr>
                  <w:t>315.40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4B92B35B" w14:textId="1D38752D" w:rsidR="009F6F2F" w:rsidRDefault="00F7015D">
                <w:pPr>
                  <w:spacing w:line="252" w:lineRule="auto"/>
                  <w:jc w:val="center"/>
                  <w:rPr>
                    <w:color w:val="404040"/>
                    <w:sz w:val="20"/>
                    <w:szCs w:val="20"/>
                  </w:rPr>
                </w:pPr>
                <w:r>
                  <w:rPr>
                    <w:color w:val="404040"/>
                    <w:sz w:val="20"/>
                    <w:szCs w:val="20"/>
                  </w:rPr>
                  <w:t>313 kg</w:t>
                </w:r>
              </w:p>
            </w:tc>
          </w:tr>
          <w:tr w:rsidR="009F6F2F" w14:paraId="7A553DA8"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12ABAA51"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5EB1A6FD" w14:textId="77777777" w:rsidR="009F6F2F" w:rsidRPr="00177567" w:rsidRDefault="009F6F2F">
                <w:pPr>
                  <w:spacing w:line="252" w:lineRule="auto"/>
                  <w:rPr>
                    <w:i/>
                    <w:iCs/>
                    <w:color w:val="auto"/>
                    <w:sz w:val="20"/>
                    <w:szCs w:val="20"/>
                  </w:rPr>
                </w:pPr>
                <w:proofErr w:type="spellStart"/>
                <w:r w:rsidRPr="00177567">
                  <w:rPr>
                    <w:i/>
                    <w:iCs/>
                    <w:color w:val="auto"/>
                    <w:sz w:val="20"/>
                    <w:szCs w:val="20"/>
                  </w:rPr>
                  <w:t>Symphyllia</w:t>
                </w:r>
                <w:proofErr w:type="spellEnd"/>
                <w:r w:rsidRPr="00177567">
                  <w:rPr>
                    <w:i/>
                    <w:iCs/>
                    <w:color w:val="auto"/>
                    <w:sz w:val="20"/>
                    <w:szCs w:val="20"/>
                  </w:rPr>
                  <w:t xml:space="preserve"> </w:t>
                </w:r>
                <w:proofErr w:type="spellStart"/>
                <w:r w:rsidRPr="00177567">
                  <w:rPr>
                    <w:i/>
                    <w:iCs/>
                    <w:color w:val="auto"/>
                    <w:sz w:val="20"/>
                    <w:szCs w:val="20"/>
                  </w:rPr>
                  <w:t>wilsoni</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60600F46" w14:textId="77777777" w:rsidR="009F6F2F" w:rsidRDefault="009F6F2F">
                <w:pPr>
                  <w:spacing w:line="252" w:lineRule="auto"/>
                  <w:jc w:val="center"/>
                  <w:rPr>
                    <w:color w:val="404040"/>
                    <w:sz w:val="20"/>
                    <w:szCs w:val="20"/>
                  </w:rPr>
                </w:pPr>
                <w:r>
                  <w:rPr>
                    <w:color w:val="404040"/>
                    <w:sz w:val="20"/>
                    <w:szCs w:val="20"/>
                  </w:rPr>
                  <w:t>1112</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6036E8B0" w14:textId="674D0DF7" w:rsidR="009F6F2F" w:rsidRDefault="00445CFA">
                <w:pPr>
                  <w:spacing w:line="252" w:lineRule="auto"/>
                  <w:jc w:val="center"/>
                  <w:rPr>
                    <w:color w:val="404040"/>
                    <w:sz w:val="20"/>
                    <w:szCs w:val="20"/>
                  </w:rPr>
                </w:pPr>
                <w:r>
                  <w:rPr>
                    <w:color w:val="404040"/>
                    <w:sz w:val="20"/>
                    <w:szCs w:val="20"/>
                  </w:rPr>
                  <w:t>735.10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3589963C" w14:textId="54E4754A" w:rsidR="009F6F2F" w:rsidRDefault="00F7015D">
                <w:pPr>
                  <w:spacing w:line="252" w:lineRule="auto"/>
                  <w:jc w:val="center"/>
                  <w:rPr>
                    <w:color w:val="404040"/>
                    <w:sz w:val="20"/>
                    <w:szCs w:val="20"/>
                  </w:rPr>
                </w:pPr>
                <w:r>
                  <w:rPr>
                    <w:color w:val="404040"/>
                    <w:sz w:val="20"/>
                    <w:szCs w:val="20"/>
                  </w:rPr>
                  <w:t>566.20 kg</w:t>
                </w:r>
              </w:p>
            </w:tc>
          </w:tr>
          <w:tr w:rsidR="009F6F2F" w14:paraId="08C0325A"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332B4946"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1EA6C3FF" w14:textId="77777777" w:rsidR="009F6F2F" w:rsidRPr="00177567" w:rsidRDefault="009F6F2F">
                <w:pPr>
                  <w:spacing w:line="252" w:lineRule="auto"/>
                  <w:rPr>
                    <w:i/>
                    <w:iCs/>
                    <w:color w:val="auto"/>
                    <w:sz w:val="20"/>
                    <w:szCs w:val="20"/>
                  </w:rPr>
                </w:pPr>
                <w:proofErr w:type="spellStart"/>
                <w:r w:rsidRPr="00177567">
                  <w:rPr>
                    <w:i/>
                    <w:iCs/>
                    <w:color w:val="auto"/>
                    <w:sz w:val="20"/>
                    <w:szCs w:val="20"/>
                  </w:rPr>
                  <w:t>Alveopora</w:t>
                </w:r>
                <w:proofErr w:type="spellEnd"/>
                <w:r w:rsidRPr="00177567">
                  <w:rPr>
                    <w:i/>
                    <w:iCs/>
                    <w:color w:val="auto"/>
                    <w:sz w:val="20"/>
                    <w:szCs w:val="20"/>
                  </w:rPr>
                  <w:t xml:space="preserve"> spp.</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7EB9BEA3" w14:textId="77777777" w:rsidR="009F6F2F" w:rsidRDefault="009F6F2F">
                <w:pPr>
                  <w:spacing w:line="252" w:lineRule="auto"/>
                  <w:jc w:val="center"/>
                  <w:rPr>
                    <w:color w:val="404040"/>
                    <w:sz w:val="20"/>
                    <w:szCs w:val="20"/>
                  </w:rPr>
                </w:pPr>
                <w:r>
                  <w:rPr>
                    <w:color w:val="404040"/>
                    <w:sz w:val="20"/>
                    <w:szCs w:val="20"/>
                  </w:rPr>
                  <w:t>-</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36D36B7A" w14:textId="52C8803F" w:rsidR="009F6F2F" w:rsidRDefault="00445CFA">
                <w:pPr>
                  <w:spacing w:line="252" w:lineRule="auto"/>
                  <w:jc w:val="center"/>
                  <w:rPr>
                    <w:color w:val="404040"/>
                    <w:sz w:val="20"/>
                    <w:szCs w:val="20"/>
                  </w:rPr>
                </w:pPr>
                <w:r>
                  <w:rPr>
                    <w:color w:val="404040"/>
                    <w:sz w:val="20"/>
                    <w:szCs w:val="20"/>
                  </w:rPr>
                  <w:t>47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67CEEF53" w14:textId="44D2BF1E" w:rsidR="009F6F2F" w:rsidRDefault="00F7015D">
                <w:pPr>
                  <w:spacing w:line="252" w:lineRule="auto"/>
                  <w:jc w:val="center"/>
                  <w:rPr>
                    <w:color w:val="404040"/>
                    <w:sz w:val="20"/>
                    <w:szCs w:val="20"/>
                  </w:rPr>
                </w:pPr>
                <w:r>
                  <w:rPr>
                    <w:color w:val="404040"/>
                    <w:sz w:val="20"/>
                    <w:szCs w:val="20"/>
                  </w:rPr>
                  <w:t>423 kg</w:t>
                </w:r>
              </w:p>
            </w:tc>
          </w:tr>
          <w:tr w:rsidR="009F6F2F" w14:paraId="1C342913"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50584916"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65F8B924" w14:textId="77777777" w:rsidR="009F6F2F" w:rsidRPr="00177567" w:rsidRDefault="009F6F2F">
                <w:pPr>
                  <w:spacing w:line="252" w:lineRule="auto"/>
                  <w:rPr>
                    <w:i/>
                    <w:iCs/>
                    <w:color w:val="auto"/>
                    <w:sz w:val="20"/>
                    <w:szCs w:val="20"/>
                  </w:rPr>
                </w:pPr>
                <w:proofErr w:type="spellStart"/>
                <w:r w:rsidRPr="00177567">
                  <w:rPr>
                    <w:i/>
                    <w:iCs/>
                    <w:color w:val="auto"/>
                    <w:sz w:val="20"/>
                    <w:szCs w:val="20"/>
                  </w:rPr>
                  <w:t>Acanthastrea</w:t>
                </w:r>
                <w:proofErr w:type="spellEnd"/>
                <w:r w:rsidRPr="00177567">
                  <w:rPr>
                    <w:i/>
                    <w:iCs/>
                    <w:color w:val="auto"/>
                    <w:sz w:val="20"/>
                    <w:szCs w:val="20"/>
                  </w:rPr>
                  <w:t xml:space="preserve"> </w:t>
                </w:r>
                <w:proofErr w:type="spellStart"/>
                <w:r w:rsidRPr="00177567">
                  <w:rPr>
                    <w:i/>
                    <w:iCs/>
                    <w:color w:val="auto"/>
                    <w:sz w:val="20"/>
                    <w:szCs w:val="20"/>
                  </w:rPr>
                  <w:t>lordhowensis</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11E3865A" w14:textId="77777777" w:rsidR="009F6F2F" w:rsidRDefault="009F6F2F">
                <w:pPr>
                  <w:spacing w:line="252" w:lineRule="auto"/>
                  <w:jc w:val="center"/>
                  <w:rPr>
                    <w:color w:val="404040"/>
                    <w:sz w:val="20"/>
                    <w:szCs w:val="20"/>
                  </w:rPr>
                </w:pPr>
                <w:r>
                  <w:rPr>
                    <w:color w:val="404040"/>
                    <w:sz w:val="20"/>
                    <w:szCs w:val="20"/>
                  </w:rPr>
                  <w:t>-</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60A5F03A" w14:textId="16DB9D85" w:rsidR="009F6F2F" w:rsidRDefault="00445CFA">
                <w:pPr>
                  <w:spacing w:line="252" w:lineRule="auto"/>
                  <w:jc w:val="center"/>
                  <w:rPr>
                    <w:color w:val="404040"/>
                    <w:sz w:val="20"/>
                    <w:szCs w:val="20"/>
                  </w:rPr>
                </w:pPr>
                <w:r>
                  <w:rPr>
                    <w:color w:val="404040"/>
                    <w:sz w:val="20"/>
                    <w:szCs w:val="20"/>
                  </w:rPr>
                  <w:t>158.4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58FDD07D" w14:textId="0D4DB6C7" w:rsidR="009F6F2F" w:rsidRDefault="00F7015D">
                <w:pPr>
                  <w:spacing w:line="252" w:lineRule="auto"/>
                  <w:jc w:val="center"/>
                  <w:rPr>
                    <w:color w:val="404040"/>
                    <w:sz w:val="20"/>
                    <w:szCs w:val="20"/>
                  </w:rPr>
                </w:pPr>
                <w:r>
                  <w:rPr>
                    <w:color w:val="404040"/>
                    <w:sz w:val="20"/>
                    <w:szCs w:val="20"/>
                  </w:rPr>
                  <w:t>182.90 kg</w:t>
                </w:r>
              </w:p>
            </w:tc>
          </w:tr>
          <w:tr w:rsidR="009F6F2F" w14:paraId="18DA3D23"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18187354"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7D0D248B" w14:textId="77777777" w:rsidR="009F6F2F" w:rsidRPr="00177567" w:rsidRDefault="009F6F2F">
                <w:pPr>
                  <w:spacing w:line="252" w:lineRule="auto"/>
                  <w:rPr>
                    <w:i/>
                    <w:iCs/>
                    <w:color w:val="auto"/>
                    <w:sz w:val="20"/>
                    <w:szCs w:val="20"/>
                  </w:rPr>
                </w:pPr>
                <w:proofErr w:type="spellStart"/>
                <w:r w:rsidRPr="00177567">
                  <w:rPr>
                    <w:i/>
                    <w:iCs/>
                    <w:color w:val="auto"/>
                    <w:sz w:val="20"/>
                    <w:szCs w:val="20"/>
                  </w:rPr>
                  <w:t>Acanthastrea</w:t>
                </w:r>
                <w:proofErr w:type="spellEnd"/>
                <w:r w:rsidRPr="00177567">
                  <w:rPr>
                    <w:i/>
                    <w:iCs/>
                    <w:color w:val="auto"/>
                    <w:sz w:val="20"/>
                    <w:szCs w:val="20"/>
                  </w:rPr>
                  <w:t xml:space="preserve"> </w:t>
                </w:r>
                <w:proofErr w:type="spellStart"/>
                <w:r w:rsidRPr="00177567">
                  <w:rPr>
                    <w:i/>
                    <w:iCs/>
                    <w:color w:val="auto"/>
                    <w:sz w:val="20"/>
                    <w:szCs w:val="20"/>
                  </w:rPr>
                  <w:t>echinata</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7C3FF030" w14:textId="77777777" w:rsidR="009F6F2F" w:rsidRDefault="009F6F2F">
                <w:pPr>
                  <w:spacing w:line="252" w:lineRule="auto"/>
                  <w:jc w:val="center"/>
                  <w:rPr>
                    <w:color w:val="404040"/>
                    <w:sz w:val="20"/>
                    <w:szCs w:val="20"/>
                  </w:rPr>
                </w:pPr>
                <w:r>
                  <w:rPr>
                    <w:color w:val="404040"/>
                    <w:sz w:val="20"/>
                    <w:szCs w:val="20"/>
                  </w:rPr>
                  <w:t>186</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3BEE5FD8" w14:textId="026BF254" w:rsidR="009F6F2F" w:rsidRDefault="00445CFA">
                <w:pPr>
                  <w:spacing w:line="252" w:lineRule="auto"/>
                  <w:jc w:val="center"/>
                  <w:rPr>
                    <w:color w:val="404040"/>
                    <w:sz w:val="20"/>
                    <w:szCs w:val="20"/>
                  </w:rPr>
                </w:pPr>
                <w:r>
                  <w:rPr>
                    <w:color w:val="404040"/>
                    <w:sz w:val="20"/>
                    <w:szCs w:val="20"/>
                  </w:rPr>
                  <w:t>135.40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42DFA56E" w14:textId="08D2BC62" w:rsidR="009F6F2F" w:rsidRDefault="00F7015D">
                <w:pPr>
                  <w:spacing w:line="252" w:lineRule="auto"/>
                  <w:jc w:val="center"/>
                  <w:rPr>
                    <w:color w:val="404040"/>
                    <w:sz w:val="20"/>
                    <w:szCs w:val="20"/>
                  </w:rPr>
                </w:pPr>
                <w:r>
                  <w:rPr>
                    <w:color w:val="404040"/>
                    <w:sz w:val="20"/>
                    <w:szCs w:val="20"/>
                  </w:rPr>
                  <w:t>122 kg</w:t>
                </w:r>
              </w:p>
            </w:tc>
          </w:tr>
          <w:tr w:rsidR="009F6F2F" w14:paraId="11B6AE58" w14:textId="77777777" w:rsidTr="009F6F2F">
            <w:trPr>
              <w:cantSplit/>
              <w:trHeight w:val="323"/>
            </w:trPr>
            <w:tc>
              <w:tcPr>
                <w:tcW w:w="0" w:type="auto"/>
                <w:vMerge w:val="restart"/>
                <w:tcBorders>
                  <w:top w:val="nil"/>
                  <w:left w:val="single" w:sz="8" w:space="0" w:color="007D57"/>
                  <w:bottom w:val="nil"/>
                  <w:right w:val="single" w:sz="8" w:space="0" w:color="007D57"/>
                </w:tcBorders>
                <w:textDirection w:val="btLr"/>
                <w:vAlign w:val="center"/>
                <w:hideMark/>
              </w:tcPr>
              <w:p w14:paraId="076828D5" w14:textId="77777777" w:rsidR="009F6F2F" w:rsidRDefault="009F6F2F">
                <w:pPr>
                  <w:spacing w:line="252" w:lineRule="auto"/>
                  <w:ind w:left="113" w:right="113"/>
                  <w:rPr>
                    <w:color w:val="404040"/>
                    <w:sz w:val="18"/>
                    <w:szCs w:val="18"/>
                  </w:rPr>
                </w:pPr>
                <w:r>
                  <w:rPr>
                    <w:color w:val="404040"/>
                    <w:sz w:val="18"/>
                    <w:szCs w:val="18"/>
                  </w:rPr>
                  <w:t>Soft Corals</w:t>
                </w: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41F320EF" w14:textId="77777777" w:rsidR="009F6F2F" w:rsidRPr="00177567" w:rsidRDefault="009F6F2F">
                <w:pPr>
                  <w:spacing w:line="252" w:lineRule="auto"/>
                  <w:rPr>
                    <w:i/>
                    <w:iCs/>
                    <w:color w:val="auto"/>
                    <w:sz w:val="20"/>
                    <w:szCs w:val="20"/>
                  </w:rPr>
                </w:pPr>
                <w:proofErr w:type="spellStart"/>
                <w:r w:rsidRPr="00177567">
                  <w:rPr>
                    <w:i/>
                    <w:iCs/>
                    <w:color w:val="auto"/>
                    <w:sz w:val="20"/>
                    <w:szCs w:val="20"/>
                  </w:rPr>
                  <w:t>Sarcophyton</w:t>
                </w:r>
                <w:proofErr w:type="spellEnd"/>
                <w:r w:rsidRPr="00177567">
                  <w:rPr>
                    <w:i/>
                    <w:iCs/>
                    <w:color w:val="auto"/>
                    <w:sz w:val="20"/>
                    <w:szCs w:val="20"/>
                  </w:rPr>
                  <w:t xml:space="preserve"> spp. </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27435B73" w14:textId="77777777" w:rsidR="009F6F2F" w:rsidRDefault="009F6F2F">
                <w:pPr>
                  <w:spacing w:line="252" w:lineRule="auto"/>
                  <w:jc w:val="center"/>
                  <w:rPr>
                    <w:color w:val="404040"/>
                    <w:sz w:val="20"/>
                    <w:szCs w:val="20"/>
                  </w:rPr>
                </w:pPr>
                <w:r>
                  <w:rPr>
                    <w:color w:val="404040"/>
                    <w:sz w:val="20"/>
                    <w:szCs w:val="20"/>
                  </w:rPr>
                  <w:t>629</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5E181076" w14:textId="243A284D" w:rsidR="009F6F2F" w:rsidRDefault="00445CFA">
                <w:pPr>
                  <w:spacing w:line="252" w:lineRule="auto"/>
                  <w:jc w:val="center"/>
                  <w:rPr>
                    <w:color w:val="404040"/>
                    <w:sz w:val="20"/>
                    <w:szCs w:val="20"/>
                  </w:rPr>
                </w:pPr>
                <w:r>
                  <w:rPr>
                    <w:color w:val="404040"/>
                    <w:sz w:val="20"/>
                    <w:szCs w:val="20"/>
                  </w:rPr>
                  <w:t>345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5C3C55DC" w14:textId="789F40F0" w:rsidR="009F6F2F" w:rsidRDefault="00177567">
                <w:pPr>
                  <w:spacing w:line="252" w:lineRule="auto"/>
                  <w:jc w:val="center"/>
                  <w:rPr>
                    <w:color w:val="404040"/>
                    <w:sz w:val="20"/>
                    <w:szCs w:val="20"/>
                  </w:rPr>
                </w:pPr>
                <w:r>
                  <w:rPr>
                    <w:color w:val="404040"/>
                    <w:sz w:val="20"/>
                    <w:szCs w:val="20"/>
                  </w:rPr>
                  <w:t>261.1 kg</w:t>
                </w:r>
              </w:p>
            </w:tc>
          </w:tr>
          <w:tr w:rsidR="009F6F2F" w14:paraId="3D6FA42D" w14:textId="77777777" w:rsidTr="009F6F2F">
            <w:trPr>
              <w:cantSplit/>
              <w:trHeight w:val="297"/>
            </w:trPr>
            <w:tc>
              <w:tcPr>
                <w:tcW w:w="0" w:type="auto"/>
                <w:vMerge/>
                <w:tcBorders>
                  <w:top w:val="nil"/>
                  <w:left w:val="single" w:sz="8" w:space="0" w:color="007D57"/>
                  <w:bottom w:val="nil"/>
                  <w:right w:val="single" w:sz="8" w:space="0" w:color="007D57"/>
                </w:tcBorders>
                <w:vAlign w:val="center"/>
                <w:hideMark/>
              </w:tcPr>
              <w:p w14:paraId="284B1C25"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6483776E" w14:textId="77777777" w:rsidR="009F6F2F" w:rsidRPr="00177567" w:rsidRDefault="009F6F2F">
                <w:pPr>
                  <w:spacing w:line="252" w:lineRule="auto"/>
                  <w:rPr>
                    <w:i/>
                    <w:iCs/>
                    <w:color w:val="auto"/>
                    <w:sz w:val="20"/>
                    <w:szCs w:val="20"/>
                  </w:rPr>
                </w:pPr>
                <w:proofErr w:type="spellStart"/>
                <w:r w:rsidRPr="00177567">
                  <w:rPr>
                    <w:i/>
                    <w:iCs/>
                    <w:color w:val="auto"/>
                    <w:sz w:val="20"/>
                    <w:szCs w:val="20"/>
                  </w:rPr>
                  <w:t>Sinularia</w:t>
                </w:r>
                <w:proofErr w:type="spellEnd"/>
                <w:r w:rsidRPr="00177567">
                  <w:rPr>
                    <w:i/>
                    <w:iCs/>
                    <w:color w:val="auto"/>
                    <w:sz w:val="20"/>
                    <w:szCs w:val="20"/>
                  </w:rPr>
                  <w:t xml:space="preserve"> spp. </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22899573" w14:textId="77777777" w:rsidR="009F6F2F" w:rsidRDefault="009F6F2F">
                <w:pPr>
                  <w:spacing w:line="252" w:lineRule="auto"/>
                  <w:jc w:val="center"/>
                  <w:rPr>
                    <w:color w:val="404040"/>
                    <w:sz w:val="20"/>
                    <w:szCs w:val="20"/>
                  </w:rPr>
                </w:pPr>
                <w:r>
                  <w:rPr>
                    <w:color w:val="404040"/>
                    <w:sz w:val="20"/>
                    <w:szCs w:val="20"/>
                  </w:rPr>
                  <w:t>331</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13371221" w14:textId="7187EF4D" w:rsidR="009F6F2F" w:rsidRDefault="00445CFA">
                <w:pPr>
                  <w:spacing w:line="252" w:lineRule="auto"/>
                  <w:jc w:val="center"/>
                  <w:rPr>
                    <w:color w:val="404040"/>
                    <w:sz w:val="20"/>
                    <w:szCs w:val="20"/>
                  </w:rPr>
                </w:pPr>
                <w:r>
                  <w:rPr>
                    <w:color w:val="404040"/>
                    <w:sz w:val="20"/>
                    <w:szCs w:val="20"/>
                  </w:rPr>
                  <w:t>57.50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42BF3C0D" w14:textId="55A6C220" w:rsidR="009F6F2F" w:rsidRDefault="00177567">
                <w:pPr>
                  <w:spacing w:line="252" w:lineRule="auto"/>
                  <w:jc w:val="center"/>
                  <w:rPr>
                    <w:color w:val="404040"/>
                    <w:sz w:val="20"/>
                    <w:szCs w:val="20"/>
                  </w:rPr>
                </w:pPr>
                <w:r>
                  <w:rPr>
                    <w:color w:val="404040"/>
                    <w:sz w:val="20"/>
                    <w:szCs w:val="20"/>
                  </w:rPr>
                  <w:t>122.50 kg</w:t>
                </w:r>
              </w:p>
            </w:tc>
          </w:tr>
          <w:tr w:rsidR="009F6F2F" w14:paraId="600E463F" w14:textId="77777777" w:rsidTr="009F6F2F">
            <w:trPr>
              <w:cantSplit/>
              <w:trHeight w:val="297"/>
            </w:trPr>
            <w:tc>
              <w:tcPr>
                <w:tcW w:w="0" w:type="auto"/>
                <w:vMerge/>
                <w:tcBorders>
                  <w:top w:val="nil"/>
                  <w:left w:val="single" w:sz="8" w:space="0" w:color="007D57"/>
                  <w:bottom w:val="nil"/>
                  <w:right w:val="single" w:sz="8" w:space="0" w:color="007D57"/>
                </w:tcBorders>
                <w:vAlign w:val="center"/>
                <w:hideMark/>
              </w:tcPr>
              <w:p w14:paraId="7EFA29EF"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5E27C2FD" w14:textId="77777777" w:rsidR="009F6F2F" w:rsidRPr="00177567" w:rsidRDefault="009F6F2F">
                <w:pPr>
                  <w:spacing w:line="252" w:lineRule="auto"/>
                  <w:rPr>
                    <w:i/>
                    <w:iCs/>
                    <w:color w:val="auto"/>
                    <w:sz w:val="20"/>
                    <w:szCs w:val="20"/>
                  </w:rPr>
                </w:pPr>
                <w:r w:rsidRPr="00177567">
                  <w:rPr>
                    <w:i/>
                    <w:iCs/>
                    <w:color w:val="auto"/>
                    <w:sz w:val="20"/>
                    <w:szCs w:val="20"/>
                  </w:rPr>
                  <w:t xml:space="preserve">Order </w:t>
                </w:r>
                <w:proofErr w:type="spellStart"/>
                <w:r w:rsidRPr="00177567">
                  <w:rPr>
                    <w:i/>
                    <w:iCs/>
                    <w:color w:val="auto"/>
                    <w:sz w:val="20"/>
                    <w:szCs w:val="20"/>
                  </w:rPr>
                  <w:t>Corallimorpharia</w:t>
                </w:r>
                <w:proofErr w:type="spellEnd"/>
                <w:r w:rsidRPr="00177567">
                  <w:rPr>
                    <w:i/>
                    <w:iCs/>
                    <w:color w:val="auto"/>
                    <w:sz w:val="20"/>
                    <w:szCs w:val="20"/>
                  </w:rPr>
                  <w:t xml:space="preserve"> – undifferentiated </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367045D8" w14:textId="77777777" w:rsidR="009F6F2F" w:rsidRDefault="009F6F2F">
                <w:pPr>
                  <w:spacing w:line="252" w:lineRule="auto"/>
                  <w:jc w:val="center"/>
                  <w:rPr>
                    <w:color w:val="404040"/>
                    <w:sz w:val="20"/>
                    <w:szCs w:val="20"/>
                  </w:rPr>
                </w:pPr>
                <w:r>
                  <w:rPr>
                    <w:color w:val="404040"/>
                    <w:sz w:val="20"/>
                    <w:szCs w:val="20"/>
                  </w:rPr>
                  <w:t>7630</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0C343275" w14:textId="366ABBDB" w:rsidR="009F6F2F" w:rsidRDefault="00445CFA">
                <w:pPr>
                  <w:spacing w:line="252" w:lineRule="auto"/>
                  <w:jc w:val="center"/>
                  <w:rPr>
                    <w:color w:val="404040"/>
                    <w:sz w:val="20"/>
                    <w:szCs w:val="20"/>
                  </w:rPr>
                </w:pPr>
                <w:r>
                  <w:rPr>
                    <w:color w:val="404040"/>
                    <w:sz w:val="20"/>
                    <w:szCs w:val="20"/>
                  </w:rPr>
                  <w:t>249 kg</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tcPr>
              <w:p w14:paraId="498074D1" w14:textId="61F23198" w:rsidR="009F6F2F" w:rsidRDefault="00177567">
                <w:pPr>
                  <w:spacing w:line="252" w:lineRule="auto"/>
                  <w:jc w:val="center"/>
                  <w:rPr>
                    <w:color w:val="404040"/>
                    <w:sz w:val="20"/>
                    <w:szCs w:val="20"/>
                  </w:rPr>
                </w:pPr>
                <w:r>
                  <w:rPr>
                    <w:color w:val="404040"/>
                    <w:sz w:val="20"/>
                    <w:szCs w:val="20"/>
                  </w:rPr>
                  <w:t>326 kg</w:t>
                </w:r>
              </w:p>
            </w:tc>
          </w:tr>
          <w:tr w:rsidR="009F6F2F" w14:paraId="2DD728AA" w14:textId="77777777" w:rsidTr="009F6F2F">
            <w:trPr>
              <w:cantSplit/>
              <w:trHeight w:val="397"/>
            </w:trPr>
            <w:tc>
              <w:tcPr>
                <w:tcW w:w="454" w:type="dxa"/>
                <w:vMerge w:val="restart"/>
                <w:tcBorders>
                  <w:top w:val="nil"/>
                  <w:left w:val="single" w:sz="8" w:space="0" w:color="007D57"/>
                  <w:bottom w:val="single" w:sz="8" w:space="0" w:color="007D57"/>
                  <w:right w:val="single" w:sz="8" w:space="0" w:color="007D57"/>
                </w:tcBorders>
                <w:tcMar>
                  <w:top w:w="0" w:type="dxa"/>
                  <w:left w:w="108" w:type="dxa"/>
                  <w:bottom w:w="0" w:type="dxa"/>
                  <w:right w:w="108" w:type="dxa"/>
                </w:tcMar>
                <w:textDirection w:val="btLr"/>
                <w:vAlign w:val="center"/>
                <w:hideMark/>
              </w:tcPr>
              <w:p w14:paraId="1EA9D44D" w14:textId="77777777" w:rsidR="009F6F2F" w:rsidRDefault="009F6F2F">
                <w:pPr>
                  <w:spacing w:line="252" w:lineRule="auto"/>
                  <w:ind w:left="113" w:right="113"/>
                  <w:jc w:val="right"/>
                  <w:rPr>
                    <w:color w:val="404040"/>
                    <w:sz w:val="18"/>
                    <w:szCs w:val="18"/>
                  </w:rPr>
                </w:pPr>
                <w:r>
                  <w:rPr>
                    <w:color w:val="404040"/>
                    <w:sz w:val="18"/>
                    <w:szCs w:val="18"/>
                  </w:rPr>
                  <w:t>Seahorses</w:t>
                </w: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744259A6" w14:textId="77777777" w:rsidR="009F6F2F" w:rsidRPr="00177567" w:rsidRDefault="009F6F2F">
                <w:pPr>
                  <w:spacing w:line="252" w:lineRule="auto"/>
                  <w:rPr>
                    <w:i/>
                    <w:iCs/>
                    <w:color w:val="auto"/>
                    <w:sz w:val="20"/>
                    <w:szCs w:val="20"/>
                  </w:rPr>
                </w:pPr>
                <w:r w:rsidRPr="00177567">
                  <w:rPr>
                    <w:i/>
                    <w:iCs/>
                    <w:color w:val="auto"/>
                    <w:sz w:val="20"/>
                    <w:szCs w:val="20"/>
                  </w:rPr>
                  <w:t xml:space="preserve">Hippocampus </w:t>
                </w:r>
                <w:proofErr w:type="spellStart"/>
                <w:r w:rsidRPr="00177567">
                  <w:rPr>
                    <w:i/>
                    <w:iCs/>
                    <w:color w:val="auto"/>
                    <w:sz w:val="20"/>
                    <w:szCs w:val="20"/>
                  </w:rPr>
                  <w:t>angustus</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307620AE" w14:textId="77777777" w:rsidR="009F6F2F" w:rsidRDefault="009F6F2F">
                <w:pPr>
                  <w:spacing w:line="252" w:lineRule="auto"/>
                  <w:jc w:val="center"/>
                  <w:rPr>
                    <w:color w:val="404040"/>
                    <w:sz w:val="20"/>
                    <w:szCs w:val="20"/>
                  </w:rPr>
                </w:pPr>
                <w:r>
                  <w:rPr>
                    <w:color w:val="404040"/>
                    <w:sz w:val="20"/>
                    <w:szCs w:val="20"/>
                  </w:rPr>
                  <w:t>328 ind.</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3ED071ED" w14:textId="77777777" w:rsidR="009F6F2F" w:rsidRDefault="009F6F2F">
                <w:pPr>
                  <w:spacing w:line="252" w:lineRule="auto"/>
                  <w:jc w:val="center"/>
                  <w:rPr>
                    <w:color w:val="404040"/>
                    <w:sz w:val="20"/>
                    <w:szCs w:val="20"/>
                  </w:rPr>
                </w:pPr>
                <w:r>
                  <w:rPr>
                    <w:color w:val="404040"/>
                    <w:sz w:val="20"/>
                    <w:szCs w:val="20"/>
                  </w:rPr>
                  <w:t>18 ind.</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5DAF6C35" w14:textId="3C13938D" w:rsidR="009F6F2F" w:rsidRDefault="00196A25">
                <w:pPr>
                  <w:spacing w:line="252" w:lineRule="auto"/>
                  <w:jc w:val="center"/>
                  <w:rPr>
                    <w:color w:val="404040"/>
                    <w:sz w:val="20"/>
                    <w:szCs w:val="20"/>
                  </w:rPr>
                </w:pPr>
                <w:r>
                  <w:rPr>
                    <w:color w:val="404040"/>
                    <w:sz w:val="20"/>
                    <w:szCs w:val="20"/>
                  </w:rPr>
                  <w:t>45</w:t>
                </w:r>
                <w:r w:rsidR="009F6F2F">
                  <w:rPr>
                    <w:color w:val="404040"/>
                    <w:sz w:val="20"/>
                    <w:szCs w:val="20"/>
                  </w:rPr>
                  <w:t xml:space="preserve"> ind.</w:t>
                </w:r>
              </w:p>
            </w:tc>
          </w:tr>
          <w:tr w:rsidR="009F6F2F" w14:paraId="0F615EA9"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323FBB74"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520725BC" w14:textId="77777777" w:rsidR="009F6F2F" w:rsidRPr="00177567" w:rsidRDefault="009F6F2F">
                <w:pPr>
                  <w:spacing w:line="252" w:lineRule="auto"/>
                  <w:rPr>
                    <w:i/>
                    <w:iCs/>
                    <w:color w:val="auto"/>
                    <w:sz w:val="20"/>
                    <w:szCs w:val="20"/>
                  </w:rPr>
                </w:pPr>
                <w:r w:rsidRPr="00177567">
                  <w:rPr>
                    <w:i/>
                    <w:iCs/>
                    <w:color w:val="auto"/>
                    <w:sz w:val="20"/>
                    <w:szCs w:val="20"/>
                  </w:rPr>
                  <w:t xml:space="preserve">Hippocampus </w:t>
                </w:r>
                <w:proofErr w:type="spellStart"/>
                <w:r w:rsidRPr="00177567">
                  <w:rPr>
                    <w:i/>
                    <w:iCs/>
                    <w:color w:val="auto"/>
                    <w:sz w:val="20"/>
                    <w:szCs w:val="20"/>
                  </w:rPr>
                  <w:t>subelongatus</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773F79E8" w14:textId="77777777" w:rsidR="009F6F2F" w:rsidRDefault="009F6F2F">
                <w:pPr>
                  <w:spacing w:line="252" w:lineRule="auto"/>
                  <w:jc w:val="center"/>
                  <w:rPr>
                    <w:color w:val="404040"/>
                    <w:sz w:val="20"/>
                    <w:szCs w:val="20"/>
                  </w:rPr>
                </w:pPr>
                <w:r>
                  <w:rPr>
                    <w:color w:val="404040"/>
                    <w:sz w:val="20"/>
                    <w:szCs w:val="20"/>
                  </w:rPr>
                  <w:t>2,000 ind.</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5934A69A" w14:textId="77777777" w:rsidR="009F6F2F" w:rsidRDefault="009F6F2F">
                <w:pPr>
                  <w:spacing w:line="252" w:lineRule="auto"/>
                  <w:jc w:val="center"/>
                  <w:rPr>
                    <w:color w:val="404040"/>
                    <w:sz w:val="20"/>
                    <w:szCs w:val="20"/>
                  </w:rPr>
                </w:pPr>
                <w:r>
                  <w:rPr>
                    <w:color w:val="404040"/>
                    <w:sz w:val="20"/>
                    <w:szCs w:val="20"/>
                  </w:rPr>
                  <w:t>16 ind.</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53E83C62" w14:textId="51EAE9AE" w:rsidR="009F6F2F" w:rsidRDefault="00196A25">
                <w:pPr>
                  <w:spacing w:line="252" w:lineRule="auto"/>
                  <w:jc w:val="center"/>
                  <w:rPr>
                    <w:color w:val="404040"/>
                    <w:sz w:val="20"/>
                    <w:szCs w:val="20"/>
                  </w:rPr>
                </w:pPr>
                <w:r>
                  <w:rPr>
                    <w:color w:val="404040"/>
                    <w:sz w:val="20"/>
                    <w:szCs w:val="20"/>
                  </w:rPr>
                  <w:t>186</w:t>
                </w:r>
                <w:r w:rsidR="009F6F2F">
                  <w:rPr>
                    <w:color w:val="404040"/>
                    <w:sz w:val="20"/>
                    <w:szCs w:val="20"/>
                  </w:rPr>
                  <w:t xml:space="preserve"> ind.</w:t>
                </w:r>
              </w:p>
            </w:tc>
          </w:tr>
          <w:tr w:rsidR="009F6F2F" w14:paraId="54734305" w14:textId="77777777" w:rsidTr="009F6F2F">
            <w:trPr>
              <w:cantSplit/>
              <w:trHeight w:val="397"/>
            </w:trPr>
            <w:tc>
              <w:tcPr>
                <w:tcW w:w="0" w:type="auto"/>
                <w:vMerge/>
                <w:tcBorders>
                  <w:top w:val="nil"/>
                  <w:left w:val="single" w:sz="8" w:space="0" w:color="007D57"/>
                  <w:bottom w:val="single" w:sz="8" w:space="0" w:color="007D57"/>
                  <w:right w:val="single" w:sz="8" w:space="0" w:color="007D57"/>
                </w:tcBorders>
                <w:vAlign w:val="center"/>
                <w:hideMark/>
              </w:tcPr>
              <w:p w14:paraId="257931D1"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3578F026" w14:textId="77777777" w:rsidR="009F6F2F" w:rsidRPr="00177567" w:rsidRDefault="009F6F2F">
                <w:pPr>
                  <w:spacing w:line="252" w:lineRule="auto"/>
                  <w:rPr>
                    <w:i/>
                    <w:iCs/>
                    <w:color w:val="auto"/>
                    <w:sz w:val="20"/>
                    <w:szCs w:val="20"/>
                  </w:rPr>
                </w:pPr>
                <w:r w:rsidRPr="00177567">
                  <w:rPr>
                    <w:i/>
                    <w:iCs/>
                    <w:color w:val="auto"/>
                    <w:sz w:val="20"/>
                    <w:szCs w:val="20"/>
                  </w:rPr>
                  <w:t xml:space="preserve">Hippocampus </w:t>
                </w:r>
                <w:proofErr w:type="spellStart"/>
                <w:r w:rsidRPr="00177567">
                  <w:rPr>
                    <w:i/>
                    <w:iCs/>
                    <w:color w:val="auto"/>
                    <w:sz w:val="20"/>
                    <w:szCs w:val="20"/>
                  </w:rPr>
                  <w:t>tuberculatus</w:t>
                </w:r>
                <w:proofErr w:type="spellEnd"/>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7BA1B7BE" w14:textId="77777777" w:rsidR="009F6F2F" w:rsidRDefault="009F6F2F">
                <w:pPr>
                  <w:spacing w:line="252" w:lineRule="auto"/>
                  <w:jc w:val="center"/>
                  <w:rPr>
                    <w:color w:val="404040"/>
                    <w:sz w:val="20"/>
                    <w:szCs w:val="20"/>
                  </w:rPr>
                </w:pPr>
                <w:r>
                  <w:rPr>
                    <w:color w:val="404040"/>
                    <w:sz w:val="20"/>
                    <w:szCs w:val="20"/>
                  </w:rPr>
                  <w:t>100 ind.</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06130158" w14:textId="77777777" w:rsidR="009F6F2F" w:rsidRDefault="009F6F2F">
                <w:pPr>
                  <w:spacing w:line="252" w:lineRule="auto"/>
                  <w:jc w:val="center"/>
                  <w:rPr>
                    <w:color w:val="404040"/>
                    <w:sz w:val="20"/>
                    <w:szCs w:val="20"/>
                  </w:rPr>
                </w:pPr>
                <w:r>
                  <w:rPr>
                    <w:color w:val="404040"/>
                    <w:sz w:val="20"/>
                    <w:szCs w:val="20"/>
                  </w:rPr>
                  <w:t>1 ind.</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22273043" w14:textId="77777777" w:rsidR="009F6F2F" w:rsidRDefault="009F6F2F">
                <w:pPr>
                  <w:spacing w:line="252" w:lineRule="auto"/>
                  <w:jc w:val="center"/>
                  <w:rPr>
                    <w:color w:val="404040"/>
                    <w:sz w:val="20"/>
                    <w:szCs w:val="20"/>
                  </w:rPr>
                </w:pPr>
                <w:r>
                  <w:rPr>
                    <w:color w:val="404040"/>
                    <w:sz w:val="20"/>
                    <w:szCs w:val="20"/>
                  </w:rPr>
                  <w:t>13 ind.</w:t>
                </w:r>
              </w:p>
            </w:tc>
          </w:tr>
          <w:tr w:rsidR="009F6F2F" w14:paraId="69D1BD71" w14:textId="77777777" w:rsidTr="009F6F2F">
            <w:trPr>
              <w:cantSplit/>
              <w:trHeight w:val="567"/>
            </w:trPr>
            <w:tc>
              <w:tcPr>
                <w:tcW w:w="454" w:type="dxa"/>
                <w:vMerge w:val="restart"/>
                <w:tcBorders>
                  <w:top w:val="nil"/>
                  <w:left w:val="single" w:sz="8" w:space="0" w:color="007D57"/>
                  <w:bottom w:val="single" w:sz="8" w:space="0" w:color="007D57"/>
                  <w:right w:val="single" w:sz="8" w:space="0" w:color="007D57"/>
                </w:tcBorders>
                <w:tcMar>
                  <w:top w:w="0" w:type="dxa"/>
                  <w:left w:w="108" w:type="dxa"/>
                  <w:bottom w:w="0" w:type="dxa"/>
                  <w:right w:w="108" w:type="dxa"/>
                </w:tcMar>
                <w:textDirection w:val="btLr"/>
                <w:vAlign w:val="center"/>
                <w:hideMark/>
              </w:tcPr>
              <w:p w14:paraId="64DEF7FF" w14:textId="77777777" w:rsidR="009F6F2F" w:rsidRDefault="009F6F2F">
                <w:pPr>
                  <w:spacing w:line="252" w:lineRule="auto"/>
                  <w:ind w:left="113" w:right="113"/>
                  <w:jc w:val="right"/>
                  <w:rPr>
                    <w:color w:val="404040"/>
                    <w:sz w:val="18"/>
                    <w:szCs w:val="18"/>
                  </w:rPr>
                </w:pPr>
                <w:r>
                  <w:rPr>
                    <w:color w:val="404040"/>
                    <w:sz w:val="16"/>
                    <w:szCs w:val="16"/>
                  </w:rPr>
                  <w:t xml:space="preserve">Giant Clams </w:t>
                </w: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58DCE207" w14:textId="77777777" w:rsidR="009F6F2F" w:rsidRPr="00177567" w:rsidRDefault="009F6F2F">
                <w:pPr>
                  <w:spacing w:line="252" w:lineRule="auto"/>
                  <w:rPr>
                    <w:i/>
                    <w:iCs/>
                    <w:color w:val="auto"/>
                    <w:sz w:val="20"/>
                    <w:szCs w:val="20"/>
                  </w:rPr>
                </w:pPr>
                <w:r w:rsidRPr="00177567">
                  <w:rPr>
                    <w:i/>
                    <w:iCs/>
                    <w:color w:val="auto"/>
                    <w:sz w:val="20"/>
                    <w:szCs w:val="20"/>
                  </w:rPr>
                  <w:t>Tridacna maxima</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2CD81211" w14:textId="77777777" w:rsidR="009F6F2F" w:rsidRDefault="009F6F2F">
                <w:pPr>
                  <w:spacing w:line="252" w:lineRule="auto"/>
                  <w:jc w:val="center"/>
                  <w:rPr>
                    <w:color w:val="404040"/>
                    <w:sz w:val="20"/>
                    <w:szCs w:val="20"/>
                  </w:rPr>
                </w:pPr>
                <w:r>
                  <w:rPr>
                    <w:color w:val="404040"/>
                    <w:sz w:val="20"/>
                    <w:szCs w:val="20"/>
                  </w:rPr>
                  <w:t>2,360 ind.</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7839E2C0" w14:textId="77777777" w:rsidR="009F6F2F" w:rsidRDefault="009F6F2F">
                <w:pPr>
                  <w:spacing w:line="252" w:lineRule="auto"/>
                  <w:jc w:val="center"/>
                  <w:rPr>
                    <w:color w:val="404040"/>
                    <w:sz w:val="20"/>
                    <w:szCs w:val="20"/>
                  </w:rPr>
                </w:pPr>
                <w:r>
                  <w:rPr>
                    <w:color w:val="404040"/>
                    <w:sz w:val="20"/>
                    <w:szCs w:val="20"/>
                  </w:rPr>
                  <w:t>250 ind.</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5FBCD204" w14:textId="77777777" w:rsidR="009F6F2F" w:rsidRDefault="009F6F2F">
                <w:pPr>
                  <w:spacing w:line="252" w:lineRule="auto"/>
                  <w:jc w:val="center"/>
                  <w:rPr>
                    <w:color w:val="404040"/>
                    <w:sz w:val="20"/>
                    <w:szCs w:val="20"/>
                  </w:rPr>
                </w:pPr>
                <w:r>
                  <w:rPr>
                    <w:color w:val="404040"/>
                    <w:sz w:val="20"/>
                    <w:szCs w:val="20"/>
                  </w:rPr>
                  <w:t>405 ind.</w:t>
                </w:r>
              </w:p>
            </w:tc>
          </w:tr>
          <w:tr w:rsidR="009F6F2F" w14:paraId="7D3BF4E0" w14:textId="77777777" w:rsidTr="009F6F2F">
            <w:trPr>
              <w:cantSplit/>
              <w:trHeight w:val="567"/>
            </w:trPr>
            <w:tc>
              <w:tcPr>
                <w:tcW w:w="0" w:type="auto"/>
                <w:vMerge/>
                <w:tcBorders>
                  <w:top w:val="nil"/>
                  <w:left w:val="single" w:sz="8" w:space="0" w:color="007D57"/>
                  <w:bottom w:val="single" w:sz="8" w:space="0" w:color="007D57"/>
                  <w:right w:val="single" w:sz="8" w:space="0" w:color="007D57"/>
                </w:tcBorders>
                <w:vAlign w:val="center"/>
                <w:hideMark/>
              </w:tcPr>
              <w:p w14:paraId="2E5D77A9" w14:textId="77777777" w:rsidR="009F6F2F" w:rsidRDefault="009F6F2F">
                <w:pPr>
                  <w:rPr>
                    <w:rFonts w:ascii="Calibri" w:hAnsi="Calibri" w:cs="Calibri"/>
                    <w:color w:val="404040"/>
                    <w:sz w:val="18"/>
                    <w:szCs w:val="18"/>
                  </w:rPr>
                </w:pPr>
              </w:p>
            </w:tc>
            <w:tc>
              <w:tcPr>
                <w:tcW w:w="3092"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52C45F8B" w14:textId="77777777" w:rsidR="009F6F2F" w:rsidRPr="00177567" w:rsidRDefault="009F6F2F">
                <w:pPr>
                  <w:spacing w:line="252" w:lineRule="auto"/>
                  <w:rPr>
                    <w:i/>
                    <w:iCs/>
                    <w:color w:val="auto"/>
                    <w:sz w:val="20"/>
                    <w:szCs w:val="20"/>
                  </w:rPr>
                </w:pPr>
                <w:r w:rsidRPr="00177567">
                  <w:rPr>
                    <w:i/>
                    <w:iCs/>
                    <w:color w:val="auto"/>
                    <w:sz w:val="20"/>
                    <w:szCs w:val="20"/>
                  </w:rPr>
                  <w:t>Tridacna squamosa</w:t>
                </w:r>
              </w:p>
            </w:tc>
            <w:tc>
              <w:tcPr>
                <w:tcW w:w="1871" w:type="dxa"/>
                <w:tcBorders>
                  <w:top w:val="nil"/>
                  <w:left w:val="nil"/>
                  <w:bottom w:val="single" w:sz="8" w:space="0" w:color="007D57"/>
                  <w:right w:val="single" w:sz="8" w:space="0" w:color="007D57"/>
                </w:tcBorders>
                <w:tcMar>
                  <w:top w:w="0" w:type="dxa"/>
                  <w:left w:w="108" w:type="dxa"/>
                  <w:bottom w:w="0" w:type="dxa"/>
                  <w:right w:w="108" w:type="dxa"/>
                </w:tcMar>
                <w:vAlign w:val="center"/>
                <w:hideMark/>
              </w:tcPr>
              <w:p w14:paraId="52922678" w14:textId="77777777" w:rsidR="009F6F2F" w:rsidRDefault="009F6F2F">
                <w:pPr>
                  <w:spacing w:line="252" w:lineRule="auto"/>
                  <w:jc w:val="center"/>
                  <w:rPr>
                    <w:color w:val="404040"/>
                    <w:sz w:val="20"/>
                    <w:szCs w:val="20"/>
                  </w:rPr>
                </w:pPr>
                <w:r>
                  <w:rPr>
                    <w:color w:val="404040"/>
                    <w:sz w:val="20"/>
                    <w:szCs w:val="20"/>
                  </w:rPr>
                  <w:t>578 ind.</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4BDAB4AA" w14:textId="77777777" w:rsidR="009F6F2F" w:rsidRDefault="009F6F2F">
                <w:pPr>
                  <w:spacing w:line="252" w:lineRule="auto"/>
                  <w:jc w:val="center"/>
                  <w:rPr>
                    <w:color w:val="404040"/>
                    <w:sz w:val="20"/>
                    <w:szCs w:val="20"/>
                  </w:rPr>
                </w:pPr>
                <w:r>
                  <w:rPr>
                    <w:color w:val="404040"/>
                    <w:sz w:val="20"/>
                    <w:szCs w:val="20"/>
                  </w:rPr>
                  <w:t>–</w:t>
                </w:r>
              </w:p>
            </w:tc>
            <w:tc>
              <w:tcPr>
                <w:tcW w:w="1871" w:type="dxa"/>
                <w:tcBorders>
                  <w:top w:val="nil"/>
                  <w:left w:val="nil"/>
                  <w:bottom w:val="single" w:sz="8" w:space="0" w:color="007D57"/>
                  <w:right w:val="single" w:sz="8" w:space="0" w:color="007D57"/>
                </w:tcBorders>
                <w:shd w:val="clear" w:color="auto" w:fill="EDEDED"/>
                <w:tcMar>
                  <w:top w:w="0" w:type="dxa"/>
                  <w:left w:w="108" w:type="dxa"/>
                  <w:bottom w:w="0" w:type="dxa"/>
                  <w:right w:w="108" w:type="dxa"/>
                </w:tcMar>
                <w:vAlign w:val="center"/>
                <w:hideMark/>
              </w:tcPr>
              <w:p w14:paraId="2051CD41" w14:textId="77777777" w:rsidR="009F6F2F" w:rsidRDefault="009F6F2F">
                <w:pPr>
                  <w:spacing w:line="252" w:lineRule="auto"/>
                  <w:jc w:val="center"/>
                  <w:rPr>
                    <w:color w:val="404040"/>
                    <w:sz w:val="20"/>
                    <w:szCs w:val="20"/>
                  </w:rPr>
                </w:pPr>
                <w:r>
                  <w:rPr>
                    <w:color w:val="404040"/>
                    <w:sz w:val="20"/>
                    <w:szCs w:val="20"/>
                  </w:rPr>
                  <w:t>65 ind.</w:t>
                </w:r>
              </w:p>
            </w:tc>
          </w:tr>
        </w:tbl>
        <w:p w14:paraId="0A21E033" w14:textId="77777777" w:rsidR="00676566" w:rsidRDefault="00177567" w:rsidP="005D31D9">
          <w:pPr>
            <w:spacing w:after="0"/>
            <w:jc w:val="both"/>
            <w:rPr>
              <w:sz w:val="20"/>
              <w:szCs w:val="20"/>
            </w:rPr>
          </w:pPr>
          <w:r w:rsidRPr="00177567">
            <w:rPr>
              <w:sz w:val="20"/>
              <w:szCs w:val="20"/>
            </w:rPr>
            <w:t>* Confidential information – exact quantity cannot be shown</w:t>
          </w:r>
          <w:r w:rsidR="00676566">
            <w:rPr>
              <w:sz w:val="20"/>
              <w:szCs w:val="20"/>
            </w:rPr>
            <w:t xml:space="preserve"> </w:t>
          </w:r>
        </w:p>
        <w:p w14:paraId="6FF2A574" w14:textId="07AB4B9E" w:rsidR="00F66EA6" w:rsidRPr="00177567" w:rsidRDefault="00676566" w:rsidP="005D31D9">
          <w:pPr>
            <w:spacing w:after="0"/>
            <w:jc w:val="both"/>
            <w:rPr>
              <w:sz w:val="20"/>
              <w:szCs w:val="20"/>
            </w:rPr>
          </w:pPr>
          <w:r>
            <w:rPr>
              <w:sz w:val="20"/>
              <w:szCs w:val="20"/>
            </w:rPr>
            <w:t>Note: the truncated 2018 – 2019 data period is due to the implementation of the Management Plan</w:t>
          </w:r>
          <w:r w:rsidR="005D31D9">
            <w:rPr>
              <w:sz w:val="20"/>
              <w:szCs w:val="20"/>
            </w:rPr>
            <w:t>.</w:t>
          </w:r>
        </w:p>
        <w:p w14:paraId="3CBFCC33" w14:textId="77777777" w:rsidR="00177567" w:rsidRDefault="00177567" w:rsidP="003861BC">
          <w:pPr>
            <w:spacing w:after="0"/>
          </w:pPr>
        </w:p>
        <w:p w14:paraId="5FAAF5C4" w14:textId="6696A834" w:rsidR="00F85D96" w:rsidRPr="00F85D96" w:rsidRDefault="003861BC" w:rsidP="003861BC">
          <w:pPr>
            <w:spacing w:after="0"/>
          </w:pPr>
          <w:r>
            <w:t xml:space="preserve">The Department of Primary Industries and Regional Development (DPIRD) recently conducted an Ecological Risk Assessment of the </w:t>
          </w:r>
          <w:r w:rsidR="00F85D96">
            <w:t xml:space="preserve">MAFMF. As part of this process a wide range of species were individually assessed, including those listed above. Despite the high catches, no risk ratings </w:t>
          </w:r>
          <w:r w:rsidR="00CD1084">
            <w:t xml:space="preserve">were </w:t>
          </w:r>
          <w:r w:rsidR="00F85D96">
            <w:t xml:space="preserve">identified as higher than a Medium </w:t>
          </w:r>
          <w:r w:rsidR="00A8295F">
            <w:t>r</w:t>
          </w:r>
          <w:r w:rsidR="00F85D96">
            <w:t xml:space="preserve">isk, including for </w:t>
          </w:r>
          <w:r w:rsidR="00F85D96">
            <w:rPr>
              <w:i/>
              <w:iCs/>
            </w:rPr>
            <w:t xml:space="preserve">Fimbriaphyllia ancora. </w:t>
          </w:r>
          <w:r w:rsidR="00F85D96">
            <w:t>A risk rating of Medium indicates that management arrangements are considered adequate</w:t>
          </w:r>
          <w:r w:rsidR="003F4B07">
            <w:t>,</w:t>
          </w:r>
          <w:r w:rsidR="00F85D96">
            <w:t xml:space="preserve"> and no immediate management action is required. </w:t>
          </w:r>
        </w:p>
        <w:p w14:paraId="26A25494" w14:textId="77777777" w:rsidR="003861BC" w:rsidRDefault="003861BC" w:rsidP="00F66EA6">
          <w:pPr>
            <w:spacing w:after="0"/>
          </w:pPr>
        </w:p>
        <w:p w14:paraId="1EC3387A" w14:textId="79328FE8" w:rsidR="007B0524" w:rsidRDefault="000162C2" w:rsidP="00F66EA6">
          <w:pPr>
            <w:spacing w:after="0"/>
          </w:pPr>
          <w:r>
            <w:t xml:space="preserve">When </w:t>
          </w:r>
          <w:r w:rsidR="00A4089E">
            <w:t>assessing</w:t>
          </w:r>
          <w:r>
            <w:t xml:space="preserve"> the catch of species subject to the NDF</w:t>
          </w:r>
          <w:r w:rsidR="00A4089E">
            <w:t>, as above</w:t>
          </w:r>
          <w:r>
            <w:t>, the Department of</w:t>
          </w:r>
          <w:r w:rsidR="00A4089E">
            <w:t xml:space="preserve"> Primary Industries and Regional Development (DPIRD) uses the licensing period, which runs from 1 July to 30 June. </w:t>
          </w:r>
          <w:r w:rsidR="007B0524">
            <w:t>This is because the</w:t>
          </w:r>
          <w:r w:rsidR="003F4B07">
            <w:t xml:space="preserve"> </w:t>
          </w:r>
          <w:r w:rsidR="007B0524">
            <w:t xml:space="preserve">thresholds </w:t>
          </w:r>
          <w:r w:rsidR="003F4B07">
            <w:t>relate to the licensing period, as</w:t>
          </w:r>
          <w:r w:rsidR="009B56D7">
            <w:t xml:space="preserve"> do</w:t>
          </w:r>
          <w:r w:rsidR="003F4B07">
            <w:t xml:space="preserve"> the quota levels which </w:t>
          </w:r>
          <w:r w:rsidR="007B0524">
            <w:t>apply for</w:t>
          </w:r>
          <w:r w:rsidR="003861BC">
            <w:t xml:space="preserve"> species groups</w:t>
          </w:r>
          <w:r w:rsidR="007B0524">
            <w:t xml:space="preserve"> </w:t>
          </w:r>
          <w:r w:rsidR="003861BC">
            <w:t>(</w:t>
          </w:r>
          <w:r w:rsidR="007B0524">
            <w:t>coral, giant clams, live rock and syngnathiformes</w:t>
          </w:r>
          <w:r w:rsidR="003861BC">
            <w:t>)</w:t>
          </w:r>
          <w:r w:rsidR="007B0524">
            <w:t xml:space="preserve">. </w:t>
          </w:r>
        </w:p>
        <w:p w14:paraId="1F058282" w14:textId="77777777" w:rsidR="007B0524" w:rsidRDefault="007B0524" w:rsidP="00F66EA6">
          <w:pPr>
            <w:spacing w:after="0"/>
          </w:pPr>
        </w:p>
        <w:p w14:paraId="29407588" w14:textId="7E012723" w:rsidR="007D58E9" w:rsidRDefault="00B21CC4" w:rsidP="00F66EA6">
          <w:pPr>
            <w:spacing w:after="0"/>
          </w:pPr>
          <w:r>
            <w:t xml:space="preserve">Within documents such as </w:t>
          </w:r>
          <w:r w:rsidR="007B0524">
            <w:t xml:space="preserve">the </w:t>
          </w:r>
          <w:r w:rsidR="007B0524">
            <w:rPr>
              <w:i/>
              <w:iCs/>
            </w:rPr>
            <w:t xml:space="preserve">Status reports of the fisheries and aquatic resources of Western Australia </w:t>
          </w:r>
          <w:r w:rsidR="007B0524">
            <w:t>(</w:t>
          </w:r>
          <w:r w:rsidR="00E45538">
            <w:t>SRFAR</w:t>
          </w:r>
          <w:r w:rsidR="007B0524">
            <w:t>) or the recent</w:t>
          </w:r>
          <w:r w:rsidR="007D58E9">
            <w:t>ly published</w:t>
          </w:r>
          <w:r w:rsidR="009B56D7">
            <w:t xml:space="preserve"> </w:t>
          </w:r>
          <w:r w:rsidR="00B21C37">
            <w:t>Fisheries Research Report 323,</w:t>
          </w:r>
          <w:r w:rsidR="00F66EA6">
            <w:t xml:space="preserve"> </w:t>
          </w:r>
          <w:r w:rsidR="00F66EA6">
            <w:rPr>
              <w:i/>
              <w:iCs/>
            </w:rPr>
            <w:t xml:space="preserve">Ecological Risk Assessment for the Marine Aquarium Fish Resource </w:t>
          </w:r>
          <w:r w:rsidR="00F66EA6">
            <w:t>(ERA)</w:t>
          </w:r>
          <w:r>
            <w:t xml:space="preserve">, reporting </w:t>
          </w:r>
          <w:r w:rsidR="009B56D7">
            <w:t>occurs by</w:t>
          </w:r>
          <w:r>
            <w:t xml:space="preserve"> calendar year.</w:t>
          </w:r>
          <w:r w:rsidR="009B56D7">
            <w:t xml:space="preserve"> Information from the recent </w:t>
          </w:r>
          <w:r w:rsidR="00E45538">
            <w:t>SRFAR</w:t>
          </w:r>
          <w:r w:rsidR="009B56D7">
            <w:t xml:space="preserve">, showing the reported catch (kg) of the main coral species landed in the MAFMF for the years 2016 to 2020, </w:t>
          </w:r>
          <w:r w:rsidR="001D3AF9">
            <w:t xml:space="preserve">is </w:t>
          </w:r>
          <w:r w:rsidR="009B56D7">
            <w:t xml:space="preserve">below. </w:t>
          </w:r>
          <w:r w:rsidR="00C224CF">
            <w:t>This information is also reported by calendar year.</w:t>
          </w:r>
        </w:p>
        <w:p w14:paraId="166ECB71" w14:textId="6E4B9CC8" w:rsidR="000162C2" w:rsidRDefault="000162C2" w:rsidP="00F66EA6">
          <w:pPr>
            <w:spacing w:after="0"/>
          </w:pPr>
        </w:p>
        <w:p w14:paraId="65CA968C" w14:textId="4862DC06" w:rsidR="009B56D7" w:rsidRPr="0073189C" w:rsidRDefault="009B56D7" w:rsidP="00F66EA6">
          <w:pPr>
            <w:spacing w:after="0"/>
          </w:pPr>
          <w:r>
            <w:rPr>
              <w:noProof/>
              <w:lang w:eastAsia="en-AU"/>
            </w:rPr>
            <w:lastRenderedPageBreak/>
            <w:drawing>
              <wp:inline distT="0" distB="0" distL="0" distR="0" wp14:anchorId="139FA487" wp14:editId="3D6F572A">
                <wp:extent cx="5923280" cy="5266055"/>
                <wp:effectExtent l="0" t="0" r="1270" b="0"/>
                <wp:docPr id="1"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low confidence"/>
                        <pic:cNvPicPr/>
                      </pic:nvPicPr>
                      <pic:blipFill>
                        <a:blip r:embed="rId11"/>
                        <a:stretch>
                          <a:fillRect/>
                        </a:stretch>
                      </pic:blipFill>
                      <pic:spPr>
                        <a:xfrm>
                          <a:off x="0" y="0"/>
                          <a:ext cx="5923280" cy="5266055"/>
                        </a:xfrm>
                        <a:prstGeom prst="rect">
                          <a:avLst/>
                        </a:prstGeom>
                      </pic:spPr>
                    </pic:pic>
                  </a:graphicData>
                </a:graphic>
              </wp:inline>
            </w:drawing>
          </w:r>
        </w:p>
        <w:p w14:paraId="1289F848" w14:textId="77777777" w:rsidR="00553907" w:rsidRDefault="00695F98" w:rsidP="00694EBD">
          <w:pPr>
            <w:pStyle w:val="Heading1"/>
            <w:tabs>
              <w:tab w:val="left" w:pos="5103"/>
            </w:tabs>
            <w:ind w:right="3799"/>
          </w:pPr>
          <w:r>
            <w:t>Performance against</w:t>
          </w:r>
          <w:r w:rsidR="00A07D55">
            <w:t xml:space="preserve"> </w:t>
          </w:r>
          <w:r>
            <w:t xml:space="preserve">conditions </w:t>
          </w:r>
        </w:p>
        <w:p w14:paraId="7FF4CE36" w14:textId="1EA26664" w:rsidR="00AB6B4E" w:rsidRDefault="00E96616" w:rsidP="00AB6B4E">
          <w:pPr>
            <w:spacing w:after="0"/>
            <w:jc w:val="both"/>
          </w:pPr>
          <w:r>
            <w:t xml:space="preserve">Each of the conditions from the </w:t>
          </w:r>
          <w:r w:rsidR="00100F9F">
            <w:t xml:space="preserve">2019 </w:t>
          </w:r>
          <w:r>
            <w:t xml:space="preserve">certification of the </w:t>
          </w:r>
          <w:r w:rsidR="0030123E">
            <w:t>MAFMF</w:t>
          </w:r>
          <w:r w:rsidR="005067F7">
            <w:t xml:space="preserve"> </w:t>
          </w:r>
          <w:r>
            <w:t>as a Wildlife Trade Operation are reported on below</w:t>
          </w:r>
          <w:r w:rsidR="00EB570E">
            <w:t>.</w:t>
          </w:r>
          <w:r>
            <w:t xml:space="preserve"> </w:t>
          </w:r>
        </w:p>
        <w:p w14:paraId="4E0FF16A" w14:textId="77777777" w:rsidR="005067F7" w:rsidRDefault="005067F7" w:rsidP="00AB6B4E">
          <w:pPr>
            <w:spacing w:after="0"/>
            <w:jc w:val="both"/>
          </w:pPr>
        </w:p>
        <w:p w14:paraId="3B84E7B4" w14:textId="14C08453" w:rsidR="005067F7" w:rsidRDefault="005067F7" w:rsidP="00A43E5E">
          <w:pPr>
            <w:spacing w:after="0"/>
            <w:rPr>
              <w:b/>
            </w:rPr>
          </w:pPr>
          <w:r w:rsidRPr="006F7E0C">
            <w:rPr>
              <w:b/>
            </w:rPr>
            <w:t xml:space="preserve">Condition </w:t>
          </w:r>
          <w:r>
            <w:rPr>
              <w:b/>
            </w:rPr>
            <w:t>1</w:t>
          </w:r>
          <w:r w:rsidRPr="006F7E0C">
            <w:rPr>
              <w:b/>
            </w:rPr>
            <w:t xml:space="preserve">:  </w:t>
          </w:r>
          <w:r>
            <w:rPr>
              <w:b/>
            </w:rPr>
            <w:t xml:space="preserve">Operation of the WA Marine Aquarium Fish Managed Fishery will be carried out in accordance with the management regime under the </w:t>
          </w:r>
          <w:r w:rsidRPr="00EB570E">
            <w:rPr>
              <w:b/>
              <w:i/>
              <w:iCs/>
            </w:rPr>
            <w:t>Fish Resources Management Act 1994</w:t>
          </w:r>
          <w:r>
            <w:rPr>
              <w:b/>
            </w:rPr>
            <w:t xml:space="preserve"> (Western Australia) and the </w:t>
          </w:r>
          <w:r>
            <w:rPr>
              <w:b/>
              <w:i/>
              <w:iCs/>
            </w:rPr>
            <w:t xml:space="preserve">Fish Resources Management Regulations 1995 </w:t>
          </w:r>
          <w:r>
            <w:rPr>
              <w:b/>
            </w:rPr>
            <w:t xml:space="preserve">(Western Australia). </w:t>
          </w:r>
        </w:p>
        <w:p w14:paraId="38A12B1C" w14:textId="77777777" w:rsidR="00EB570E" w:rsidRDefault="00EB570E" w:rsidP="00A43E5E">
          <w:pPr>
            <w:spacing w:after="0"/>
            <w:rPr>
              <w:b/>
            </w:rPr>
          </w:pPr>
        </w:p>
        <w:p w14:paraId="6F351D8D" w14:textId="384649C7" w:rsidR="00A43E5E" w:rsidRDefault="00A43E5E" w:rsidP="00A43E5E">
          <w:pPr>
            <w:spacing w:after="0"/>
            <w:rPr>
              <w:lang w:eastAsia="en-AU"/>
            </w:rPr>
          </w:pPr>
          <w:r w:rsidRPr="003A046C">
            <w:rPr>
              <w:lang w:eastAsia="en-AU"/>
            </w:rPr>
            <w:t>The</w:t>
          </w:r>
          <w:r>
            <w:rPr>
              <w:lang w:eastAsia="en-AU"/>
            </w:rPr>
            <w:t xml:space="preserve"> MAFMF has and will continue to operate in accordance with the </w:t>
          </w:r>
          <w:r>
            <w:rPr>
              <w:i/>
              <w:iCs/>
              <w:lang w:eastAsia="en-AU"/>
            </w:rPr>
            <w:t xml:space="preserve">Marine Aquarium Fish Managed Fishery Management Plan 2018 </w:t>
          </w:r>
          <w:r>
            <w:rPr>
              <w:lang w:eastAsia="en-AU"/>
            </w:rPr>
            <w:t>(management plan).</w:t>
          </w:r>
        </w:p>
        <w:p w14:paraId="2132BD4C" w14:textId="77777777" w:rsidR="00A43E5E" w:rsidRDefault="00A43E5E" w:rsidP="00A43E5E">
          <w:pPr>
            <w:spacing w:after="0"/>
            <w:rPr>
              <w:b/>
            </w:rPr>
          </w:pPr>
        </w:p>
        <w:p w14:paraId="7176412C" w14:textId="1BF416B7" w:rsidR="005067F7" w:rsidRDefault="005067F7" w:rsidP="00A43E5E">
          <w:pPr>
            <w:spacing w:after="0"/>
            <w:rPr>
              <w:b/>
            </w:rPr>
          </w:pPr>
          <w:r>
            <w:rPr>
              <w:b/>
            </w:rPr>
            <w:t xml:space="preserve">Condition 2: The Western Australian Department of Primary Industries and Regional Development to inform the Department of Environment and Energy of any intended material changes to the Western Australian Marine Aquarium Fish Managed Fishery management arrangements that may affect the assessment against which </w:t>
          </w:r>
          <w:r>
            <w:rPr>
              <w:b/>
              <w:i/>
              <w:iCs/>
            </w:rPr>
            <w:t xml:space="preserve">Environment </w:t>
          </w:r>
          <w:r w:rsidR="00D00D31">
            <w:rPr>
              <w:b/>
              <w:i/>
              <w:iCs/>
            </w:rPr>
            <w:t>Protection</w:t>
          </w:r>
          <w:r>
            <w:rPr>
              <w:b/>
              <w:i/>
              <w:iCs/>
            </w:rPr>
            <w:t xml:space="preserve"> and Biodiversity Conservation Act 1999 </w:t>
          </w:r>
          <w:r>
            <w:rPr>
              <w:b/>
            </w:rPr>
            <w:t xml:space="preserve">decisions are made. </w:t>
          </w:r>
        </w:p>
        <w:p w14:paraId="7E18278B" w14:textId="7FB2011E" w:rsidR="00981588" w:rsidRDefault="00981588" w:rsidP="00A43E5E">
          <w:pPr>
            <w:spacing w:after="0"/>
            <w:rPr>
              <w:b/>
            </w:rPr>
          </w:pPr>
        </w:p>
        <w:p w14:paraId="6AE1E564" w14:textId="29188C6D" w:rsidR="00981588" w:rsidRDefault="00981588" w:rsidP="00A43E5E">
          <w:pPr>
            <w:spacing w:after="0"/>
            <w:rPr>
              <w:b/>
            </w:rPr>
          </w:pPr>
          <w:r>
            <w:lastRenderedPageBreak/>
            <w:t>There have been no material changes to the fishery’s management plan or arrangements that could affect the criteria on which the EPBC Act decisions are based.</w:t>
          </w:r>
        </w:p>
        <w:p w14:paraId="2130922B" w14:textId="5F6447E6" w:rsidR="005067F7" w:rsidRDefault="005067F7" w:rsidP="00A43E5E">
          <w:pPr>
            <w:spacing w:after="0"/>
            <w:rPr>
              <w:b/>
            </w:rPr>
          </w:pPr>
        </w:p>
        <w:p w14:paraId="252718F3" w14:textId="217F00CE" w:rsidR="005067F7" w:rsidRDefault="005067F7" w:rsidP="00A43E5E">
          <w:pPr>
            <w:spacing w:after="0"/>
            <w:rPr>
              <w:b/>
            </w:rPr>
          </w:pPr>
          <w:r>
            <w:rPr>
              <w:b/>
            </w:rPr>
            <w:t xml:space="preserve">Condition 3: The Western Australian Department of Primary Industries and Regional Development to </w:t>
          </w:r>
          <w:r w:rsidR="00D00D31">
            <w:rPr>
              <w:b/>
            </w:rPr>
            <w:t>produce</w:t>
          </w:r>
          <w:r>
            <w:rPr>
              <w:b/>
            </w:rPr>
            <w:t xml:space="preserve"> and present reports to the Department of the Environment and Energy annually as per Appendix B of the ‘Guidelines for the Ecologically Sustainable Management of Fisheries – 2</w:t>
          </w:r>
          <w:r w:rsidRPr="00D00D31">
            <w:rPr>
              <w:b/>
              <w:vertAlign w:val="superscript"/>
            </w:rPr>
            <w:t>nd</w:t>
          </w:r>
          <w:r>
            <w:rPr>
              <w:b/>
            </w:rPr>
            <w:t xml:space="preserve"> Edition’. </w:t>
          </w:r>
        </w:p>
        <w:p w14:paraId="4EDC65D1" w14:textId="71A47081" w:rsidR="005067F7" w:rsidRDefault="005067F7" w:rsidP="00A43E5E">
          <w:pPr>
            <w:spacing w:after="0"/>
            <w:rPr>
              <w:b/>
            </w:rPr>
          </w:pPr>
        </w:p>
        <w:p w14:paraId="4C7CF88D" w14:textId="61375026" w:rsidR="006632E4" w:rsidRDefault="006632E4" w:rsidP="00A43E5E">
          <w:pPr>
            <w:spacing w:after="0"/>
            <w:rPr>
              <w:b/>
            </w:rPr>
          </w:pPr>
          <w:r>
            <w:t>DPIRD produces Status Reports of the Fisheries and Aquatic Resources of Western Australia (</w:t>
          </w:r>
          <w:r>
            <w:rPr>
              <w:lang w:eastAsia="en-AU"/>
            </w:rPr>
            <w:t>SRFAR)</w:t>
          </w:r>
          <w:r>
            <w:t xml:space="preserve"> annually. </w:t>
          </w:r>
          <w:r>
            <w:rPr>
              <w:lang w:eastAsia="en-AU"/>
            </w:rPr>
            <w:t xml:space="preserve">SRFAR </w:t>
          </w:r>
          <w:r>
            <w:t xml:space="preserve">reports for the years 2006/07-2019/20 can be found at </w:t>
          </w:r>
          <w:hyperlink r:id="rId12" w:history="1">
            <w:r>
              <w:rPr>
                <w:rStyle w:val="Hyperlink"/>
              </w:rPr>
              <w:t>http://www.fish.wa.gov.au/About-Us/Publications/Pages/State-of-the-Fisheries-report.aspx</w:t>
            </w:r>
          </w:hyperlink>
        </w:p>
        <w:p w14:paraId="5D7B007B" w14:textId="77777777" w:rsidR="006632E4" w:rsidRDefault="006632E4" w:rsidP="00A43E5E">
          <w:pPr>
            <w:spacing w:after="0"/>
            <w:rPr>
              <w:b/>
            </w:rPr>
          </w:pPr>
        </w:p>
        <w:p w14:paraId="662716F3" w14:textId="77777777" w:rsidR="00D00D31" w:rsidRDefault="005067F7" w:rsidP="00D00D31">
          <w:pPr>
            <w:spacing w:after="0"/>
            <w:rPr>
              <w:b/>
            </w:rPr>
          </w:pPr>
          <w:r>
            <w:rPr>
              <w:b/>
            </w:rPr>
            <w:t xml:space="preserve">Condition 4: </w:t>
          </w:r>
          <w:r w:rsidR="008E10C4">
            <w:rPr>
              <w:b/>
            </w:rPr>
            <w:t xml:space="preserve">The Western Australian Department of Primary Industries and Regional Development to: </w:t>
          </w:r>
        </w:p>
        <w:p w14:paraId="0EAFD3A1" w14:textId="17155989" w:rsidR="00D00D31" w:rsidRPr="00D00D31" w:rsidRDefault="00D00D31" w:rsidP="00D00D31">
          <w:pPr>
            <w:pStyle w:val="ListParagraph"/>
            <w:spacing w:after="0"/>
            <w:rPr>
              <w:b/>
            </w:rPr>
          </w:pPr>
          <w:r w:rsidRPr="00D00D31">
            <w:rPr>
              <w:b/>
            </w:rPr>
            <w:t>continue to limit harvest of CITES listed species, according to current non-detriment findings, for each species or species group,</w:t>
          </w:r>
        </w:p>
        <w:p w14:paraId="0351329B" w14:textId="5EC26D33" w:rsidR="005067F7" w:rsidRPr="00D00D31" w:rsidRDefault="00D00D31" w:rsidP="00D00D31">
          <w:pPr>
            <w:pStyle w:val="ListParagraph"/>
            <w:spacing w:after="0"/>
            <w:rPr>
              <w:b/>
            </w:rPr>
          </w:pPr>
          <w:r>
            <w:rPr>
              <w:b/>
            </w:rPr>
            <w:t>continue to consult with the Department of the Environment and Energy, prior to a change to the management arrangements for a CITES or EPBC Act listed species being implemented.</w:t>
          </w:r>
        </w:p>
        <w:p w14:paraId="58220D72" w14:textId="2D6AA149" w:rsidR="008E10C4" w:rsidRDefault="008E10C4" w:rsidP="00A43E5E">
          <w:pPr>
            <w:spacing w:after="0"/>
            <w:rPr>
              <w:b/>
            </w:rPr>
          </w:pPr>
        </w:p>
        <w:p w14:paraId="76EEAEAB" w14:textId="44238423" w:rsidR="005C6D91" w:rsidRDefault="00DB57C9" w:rsidP="005C6D91">
          <w:pPr>
            <w:spacing w:after="0" w:line="240" w:lineRule="auto"/>
            <w:rPr>
              <w:rFonts w:cs="Arial"/>
              <w:szCs w:val="24"/>
            </w:rPr>
          </w:pPr>
          <w:r>
            <w:t xml:space="preserve">As noted above, </w:t>
          </w:r>
          <w:r w:rsidR="005D31D9">
            <w:t xml:space="preserve">some </w:t>
          </w:r>
          <w:r w:rsidR="003E5CE6">
            <w:t>species</w:t>
          </w:r>
          <w:r w:rsidR="00E45538">
            <w:t xml:space="preserve"> subject to the NDF</w:t>
          </w:r>
          <w:r w:rsidR="003E5CE6">
            <w:t xml:space="preserve"> have exceeded individual threshold levels over the past two seasons, including</w:t>
          </w:r>
          <w:r>
            <w:t xml:space="preserve"> </w:t>
          </w:r>
          <w:r>
            <w:rPr>
              <w:i/>
              <w:iCs/>
            </w:rPr>
            <w:t>Fimbriaphyllia ancora</w:t>
          </w:r>
          <w:r w:rsidR="003E5CE6">
            <w:rPr>
              <w:i/>
              <w:iCs/>
            </w:rPr>
            <w:t xml:space="preserve">, </w:t>
          </w:r>
          <w:r w:rsidR="003E5CE6">
            <w:t xml:space="preserve">for which reported catches were significantly higher than the threshold for both 2018/19 and 2019/20. </w:t>
          </w:r>
          <w:r w:rsidR="005C6D91">
            <w:t xml:space="preserve">Despite catches exceeding the thresholds for </w:t>
          </w:r>
          <w:r w:rsidR="00E45538">
            <w:t xml:space="preserve">this </w:t>
          </w:r>
          <w:r w:rsidR="005C6D91">
            <w:t xml:space="preserve">species, the associated risks </w:t>
          </w:r>
          <w:r w:rsidR="005C6D91">
            <w:rPr>
              <w:rFonts w:cs="Arial"/>
              <w:szCs w:val="24"/>
            </w:rPr>
            <w:t xml:space="preserve">were assessed in the recent ERA as </w:t>
          </w:r>
          <w:r w:rsidR="00E45538">
            <w:rPr>
              <w:rFonts w:cs="Arial"/>
              <w:szCs w:val="24"/>
            </w:rPr>
            <w:t xml:space="preserve">Medium </w:t>
          </w:r>
          <w:r w:rsidR="005C6D91">
            <w:rPr>
              <w:rFonts w:cs="Arial"/>
              <w:szCs w:val="24"/>
            </w:rPr>
            <w:t xml:space="preserve">and deemed acceptable under monitoring and control measures currently in place. </w:t>
          </w:r>
        </w:p>
        <w:p w14:paraId="49120ABC" w14:textId="3DAFBD4C" w:rsidR="006632E4" w:rsidRDefault="006632E4" w:rsidP="00D00D31">
          <w:pPr>
            <w:spacing w:after="0"/>
            <w:rPr>
              <w:b/>
            </w:rPr>
          </w:pPr>
        </w:p>
        <w:p w14:paraId="3688B6F7" w14:textId="77777777" w:rsidR="006632E4" w:rsidRDefault="006632E4" w:rsidP="00D00D31">
          <w:pPr>
            <w:spacing w:after="0"/>
            <w:rPr>
              <w:b/>
            </w:rPr>
          </w:pPr>
        </w:p>
        <w:p w14:paraId="596DF0F3" w14:textId="5432A8F6" w:rsidR="00A43E5E" w:rsidRDefault="008E10C4">
          <w:pPr>
            <w:spacing w:after="0"/>
            <w:rPr>
              <w:b/>
            </w:rPr>
          </w:pPr>
          <w:r>
            <w:rPr>
              <w:b/>
            </w:rPr>
            <w:t xml:space="preserve">Condition 5: </w:t>
          </w:r>
          <w:r w:rsidR="00D00D31">
            <w:rPr>
              <w:b/>
            </w:rPr>
            <w:t xml:space="preserve">The Western Australian Department of Primary Industries and Regional Development to: </w:t>
          </w:r>
          <w:r w:rsidR="00D00D31">
            <w:rPr>
              <w:b/>
            </w:rPr>
            <w:br/>
          </w:r>
          <w:r w:rsidR="00D00D31">
            <w:rPr>
              <w:b/>
            </w:rPr>
            <w:tab/>
          </w:r>
          <w:r w:rsidR="00A43E5E">
            <w:rPr>
              <w:b/>
            </w:rPr>
            <w:t xml:space="preserve">(a) </w:t>
          </w:r>
          <w:r w:rsidR="00D00D31">
            <w:rPr>
              <w:b/>
            </w:rPr>
            <w:t xml:space="preserve">consider conducting a review of the risk assessment for CITES species </w:t>
          </w:r>
          <w:r w:rsidR="00A43E5E">
            <w:rPr>
              <w:b/>
            </w:rPr>
            <w:tab/>
          </w:r>
          <w:r w:rsidR="00D00D31">
            <w:rPr>
              <w:b/>
            </w:rPr>
            <w:t xml:space="preserve">including coral, with consideration given to determining risk over the next </w:t>
          </w:r>
          <w:r w:rsidR="00A43E5E">
            <w:rPr>
              <w:b/>
            </w:rPr>
            <w:tab/>
          </w:r>
          <w:r w:rsidR="00D00D31">
            <w:rPr>
              <w:b/>
            </w:rPr>
            <w:t>five years</w:t>
          </w:r>
          <w:r w:rsidR="00A43E5E">
            <w:rPr>
              <w:b/>
            </w:rPr>
            <w:t>.</w:t>
          </w:r>
        </w:p>
        <w:p w14:paraId="0C824486" w14:textId="2B45232A" w:rsidR="00A43E5E" w:rsidRDefault="00A43E5E" w:rsidP="00DB57C9">
          <w:pPr>
            <w:spacing w:after="0"/>
            <w:rPr>
              <w:b/>
            </w:rPr>
          </w:pPr>
          <w:r>
            <w:rPr>
              <w:b/>
            </w:rPr>
            <w:tab/>
            <w:t>(b)</w:t>
          </w:r>
          <w:r w:rsidRPr="00A43E5E">
            <w:rPr>
              <w:b/>
            </w:rPr>
            <w:t xml:space="preserve"> </w:t>
          </w:r>
          <w:r>
            <w:rPr>
              <w:b/>
            </w:rPr>
            <w:t xml:space="preserve">continue to consider further research into CITES species in the context </w:t>
          </w:r>
          <w:r>
            <w:rPr>
              <w:b/>
            </w:rPr>
            <w:tab/>
            <w:t xml:space="preserve">of the outcomes of the risk assessment, including species distribution </w:t>
          </w:r>
          <w:r>
            <w:rPr>
              <w:b/>
            </w:rPr>
            <w:tab/>
            <w:t>and abundance, in areas of high fishing effort</w:t>
          </w:r>
        </w:p>
        <w:p w14:paraId="03CAB616" w14:textId="68868AA8" w:rsidR="00D00D31" w:rsidRDefault="00A43E5E">
          <w:pPr>
            <w:spacing w:after="0"/>
            <w:ind w:firstLine="720"/>
            <w:rPr>
              <w:b/>
            </w:rPr>
          </w:pPr>
          <w:r>
            <w:rPr>
              <w:b/>
            </w:rPr>
            <w:t>(c)</w:t>
          </w:r>
          <w:r w:rsidR="00D00D31">
            <w:rPr>
              <w:b/>
            </w:rPr>
            <w:t xml:space="preserve"> continue to collaborate with relevant stakeholders, to conduct research </w:t>
          </w:r>
          <w:r>
            <w:rPr>
              <w:b/>
            </w:rPr>
            <w:tab/>
          </w:r>
          <w:r w:rsidR="00D00D31">
            <w:rPr>
              <w:b/>
            </w:rPr>
            <w:t xml:space="preserve">and provide outcomes of research projects, to the Department of the </w:t>
          </w:r>
          <w:r>
            <w:rPr>
              <w:b/>
            </w:rPr>
            <w:tab/>
          </w:r>
          <w:r w:rsidR="00D00D31">
            <w:rPr>
              <w:b/>
            </w:rPr>
            <w:t xml:space="preserve">Environment and Energy, when outcomes are finalised. Outcomes should </w:t>
          </w:r>
          <w:r>
            <w:rPr>
              <w:b/>
            </w:rPr>
            <w:tab/>
          </w:r>
          <w:r w:rsidR="00D00D31">
            <w:rPr>
              <w:b/>
            </w:rPr>
            <w:t>also be made publicly available.</w:t>
          </w:r>
        </w:p>
        <w:p w14:paraId="0459959E" w14:textId="77777777" w:rsidR="00D00D31" w:rsidRPr="005067F7" w:rsidRDefault="00D00D31" w:rsidP="00A43E5E">
          <w:pPr>
            <w:spacing w:after="0"/>
            <w:jc w:val="both"/>
            <w:rPr>
              <w:b/>
            </w:rPr>
          </w:pPr>
        </w:p>
        <w:p w14:paraId="0D5ECDFF" w14:textId="77777777" w:rsidR="003E5CE6" w:rsidRDefault="003E5CE6" w:rsidP="003E5CE6">
          <w:pPr>
            <w:spacing w:after="0" w:line="240" w:lineRule="auto"/>
          </w:pPr>
        </w:p>
        <w:p w14:paraId="4088836B" w14:textId="738A5E47" w:rsidR="003E5CE6" w:rsidRDefault="003E5CE6" w:rsidP="003E5CE6">
          <w:pPr>
            <w:spacing w:after="0" w:line="240" w:lineRule="auto"/>
          </w:pPr>
          <w:r>
            <w:t xml:space="preserve">DPIRD </w:t>
          </w:r>
          <w:r w:rsidR="00CD1084">
            <w:t>has recently finalised</w:t>
          </w:r>
          <w:r>
            <w:t xml:space="preserve"> the </w:t>
          </w:r>
          <w:r>
            <w:rPr>
              <w:i/>
              <w:iCs/>
            </w:rPr>
            <w:t xml:space="preserve">Ecological Risk Assessment for the Marine Aquarium Fish Resource </w:t>
          </w:r>
          <w:r>
            <w:t xml:space="preserve">(ERA). </w:t>
          </w:r>
          <w:r w:rsidR="00E45538">
            <w:t>T</w:t>
          </w:r>
          <w:r>
            <w:t>he ERA will be published to the Department’s website. As part of the ERA, CITES listed species, including hard coral, were considered, with the following risk ratings:</w:t>
          </w:r>
        </w:p>
        <w:p w14:paraId="1F1F5631" w14:textId="77777777" w:rsidR="00E1791B" w:rsidRDefault="00E1791B" w:rsidP="003E5CE6">
          <w:pPr>
            <w:spacing w:after="0"/>
            <w:jc w:val="both"/>
          </w:pPr>
          <w:bookmarkStart w:id="0" w:name="_Hlk103256569"/>
        </w:p>
        <w:tbl>
          <w:tblPr>
            <w:tblW w:w="9328" w:type="dxa"/>
            <w:tblLook w:val="04A0" w:firstRow="1" w:lastRow="0" w:firstColumn="1" w:lastColumn="0" w:noHBand="0" w:noVBand="1"/>
          </w:tblPr>
          <w:tblGrid>
            <w:gridCol w:w="3119"/>
            <w:gridCol w:w="4041"/>
            <w:gridCol w:w="2168"/>
          </w:tblGrid>
          <w:tr w:rsidR="00E1791B" w:rsidRPr="000B5756" w14:paraId="33D11830" w14:textId="77777777" w:rsidTr="007C7D13">
            <w:trPr>
              <w:trHeight w:val="340"/>
            </w:trPr>
            <w:tc>
              <w:tcPr>
                <w:tcW w:w="3119" w:type="dxa"/>
                <w:tcBorders>
                  <w:top w:val="single" w:sz="4" w:space="0" w:color="auto"/>
                  <w:left w:val="nil"/>
                  <w:bottom w:val="single" w:sz="4" w:space="0" w:color="auto"/>
                  <w:right w:val="nil"/>
                </w:tcBorders>
                <w:shd w:val="clear" w:color="000000" w:fill="BFBFBF"/>
              </w:tcPr>
              <w:p w14:paraId="4958A7C1" w14:textId="1570EC69" w:rsidR="00E1791B" w:rsidRPr="000B5756" w:rsidRDefault="00E1791B" w:rsidP="003E1894">
                <w:pPr>
                  <w:spacing w:after="0" w:line="240" w:lineRule="auto"/>
                  <w:rPr>
                    <w:rFonts w:eastAsia="Times New Roman" w:cs="Arial"/>
                    <w:b/>
                    <w:bCs/>
                    <w:sz w:val="20"/>
                    <w:szCs w:val="20"/>
                    <w:lang w:eastAsia="en-AU"/>
                  </w:rPr>
                </w:pPr>
                <w:r>
                  <w:rPr>
                    <w:rFonts w:eastAsia="Times New Roman" w:cs="Arial"/>
                    <w:b/>
                    <w:bCs/>
                    <w:sz w:val="20"/>
                    <w:szCs w:val="20"/>
                    <w:lang w:eastAsia="en-AU"/>
                  </w:rPr>
                  <w:lastRenderedPageBreak/>
                  <w:t>Group</w:t>
                </w:r>
              </w:p>
            </w:tc>
            <w:tc>
              <w:tcPr>
                <w:tcW w:w="4041" w:type="dxa"/>
                <w:tcBorders>
                  <w:top w:val="single" w:sz="4" w:space="0" w:color="auto"/>
                  <w:left w:val="nil"/>
                  <w:bottom w:val="single" w:sz="4" w:space="0" w:color="auto"/>
                  <w:right w:val="nil"/>
                </w:tcBorders>
                <w:shd w:val="clear" w:color="000000" w:fill="BFBFBF"/>
                <w:noWrap/>
                <w:vAlign w:val="center"/>
                <w:hideMark/>
              </w:tcPr>
              <w:p w14:paraId="78DBEAA5" w14:textId="05A08714" w:rsidR="00E1791B" w:rsidRPr="000B5756" w:rsidRDefault="00E1791B" w:rsidP="003E1894">
                <w:pPr>
                  <w:spacing w:after="0" w:line="240" w:lineRule="auto"/>
                  <w:rPr>
                    <w:rFonts w:eastAsia="Times New Roman" w:cs="Arial"/>
                    <w:b/>
                    <w:bCs/>
                    <w:sz w:val="20"/>
                    <w:szCs w:val="20"/>
                    <w:lang w:eastAsia="en-AU"/>
                  </w:rPr>
                </w:pPr>
                <w:r>
                  <w:rPr>
                    <w:rFonts w:eastAsia="Times New Roman" w:cs="Arial"/>
                    <w:b/>
                    <w:bCs/>
                    <w:sz w:val="20"/>
                    <w:szCs w:val="20"/>
                    <w:lang w:eastAsia="en-AU"/>
                  </w:rPr>
                  <w:t>Species</w:t>
                </w:r>
              </w:p>
            </w:tc>
            <w:tc>
              <w:tcPr>
                <w:tcW w:w="2168" w:type="dxa"/>
                <w:tcBorders>
                  <w:top w:val="single" w:sz="4" w:space="0" w:color="auto"/>
                  <w:left w:val="nil"/>
                  <w:bottom w:val="single" w:sz="4" w:space="0" w:color="auto"/>
                  <w:right w:val="nil"/>
                </w:tcBorders>
                <w:shd w:val="clear" w:color="000000" w:fill="BFBFBF"/>
                <w:noWrap/>
                <w:vAlign w:val="center"/>
                <w:hideMark/>
              </w:tcPr>
              <w:p w14:paraId="55DA53E3" w14:textId="77777777" w:rsidR="00E1791B" w:rsidRPr="000B5756" w:rsidRDefault="00E1791B" w:rsidP="003E1894">
                <w:pPr>
                  <w:spacing w:after="0" w:line="240" w:lineRule="auto"/>
                  <w:jc w:val="center"/>
                  <w:rPr>
                    <w:rFonts w:eastAsia="Times New Roman" w:cs="Arial"/>
                    <w:b/>
                    <w:bCs/>
                    <w:sz w:val="20"/>
                    <w:szCs w:val="20"/>
                    <w:lang w:eastAsia="en-AU"/>
                  </w:rPr>
                </w:pPr>
                <w:r w:rsidRPr="000B5756">
                  <w:rPr>
                    <w:rFonts w:eastAsia="Times New Roman" w:cs="Arial"/>
                    <w:b/>
                    <w:bCs/>
                    <w:sz w:val="20"/>
                    <w:szCs w:val="20"/>
                    <w:lang w:eastAsia="en-AU"/>
                  </w:rPr>
                  <w:t>Risk rating</w:t>
                </w:r>
              </w:p>
            </w:tc>
          </w:tr>
          <w:tr w:rsidR="00E1791B" w:rsidRPr="000B5756" w14:paraId="670E0005" w14:textId="77777777" w:rsidTr="007C7D13">
            <w:trPr>
              <w:trHeight w:val="340"/>
            </w:trPr>
            <w:tc>
              <w:tcPr>
                <w:tcW w:w="3119" w:type="dxa"/>
                <w:tcBorders>
                  <w:top w:val="nil"/>
                  <w:left w:val="nil"/>
                  <w:right w:val="nil"/>
                </w:tcBorders>
              </w:tcPr>
              <w:p w14:paraId="52FD17E1" w14:textId="58CCFAEA" w:rsidR="00E1791B" w:rsidRPr="007C7D13" w:rsidRDefault="00E1791B" w:rsidP="003E1894">
                <w:pPr>
                  <w:spacing w:after="0" w:line="240" w:lineRule="auto"/>
                  <w:rPr>
                    <w:rFonts w:eastAsia="Times New Roman" w:cs="Arial"/>
                    <w:sz w:val="20"/>
                    <w:szCs w:val="20"/>
                    <w:lang w:eastAsia="en-AU"/>
                  </w:rPr>
                </w:pPr>
              </w:p>
            </w:tc>
            <w:tc>
              <w:tcPr>
                <w:tcW w:w="4041" w:type="dxa"/>
                <w:tcBorders>
                  <w:top w:val="nil"/>
                  <w:left w:val="nil"/>
                  <w:bottom w:val="single" w:sz="4" w:space="0" w:color="auto"/>
                  <w:right w:val="nil"/>
                </w:tcBorders>
                <w:shd w:val="clear" w:color="auto" w:fill="auto"/>
                <w:noWrap/>
                <w:vAlign w:val="center"/>
                <w:hideMark/>
              </w:tcPr>
              <w:p w14:paraId="7C11FDDE" w14:textId="483C790F" w:rsidR="00E1791B" w:rsidRPr="000B5756" w:rsidRDefault="00E1791B" w:rsidP="003E1894">
                <w:pPr>
                  <w:spacing w:after="0" w:line="240" w:lineRule="auto"/>
                  <w:rPr>
                    <w:rFonts w:eastAsia="Times New Roman" w:cs="Arial"/>
                    <w:sz w:val="20"/>
                    <w:szCs w:val="20"/>
                    <w:lang w:eastAsia="en-AU"/>
                  </w:rPr>
                </w:pPr>
                <w:r w:rsidRPr="000B5756">
                  <w:rPr>
                    <w:rFonts w:eastAsia="Times New Roman" w:cs="Arial"/>
                    <w:i/>
                    <w:iCs/>
                    <w:sz w:val="20"/>
                    <w:szCs w:val="20"/>
                    <w:lang w:eastAsia="en-AU"/>
                  </w:rPr>
                  <w:t>Fimbriaphyllia</w:t>
                </w:r>
                <w:r w:rsidRPr="000B5756">
                  <w:rPr>
                    <w:rFonts w:eastAsia="Times New Roman" w:cs="Arial"/>
                    <w:sz w:val="20"/>
                    <w:szCs w:val="20"/>
                    <w:lang w:eastAsia="en-AU"/>
                  </w:rPr>
                  <w:t xml:space="preserve"> </w:t>
                </w:r>
                <w:r w:rsidRPr="000B5756">
                  <w:rPr>
                    <w:rFonts w:eastAsia="Times New Roman" w:cs="Arial"/>
                    <w:i/>
                    <w:iCs/>
                    <w:sz w:val="20"/>
                    <w:szCs w:val="20"/>
                    <w:lang w:eastAsia="en-AU"/>
                  </w:rPr>
                  <w:t>ancora</w:t>
                </w:r>
              </w:p>
            </w:tc>
            <w:tc>
              <w:tcPr>
                <w:tcW w:w="2168" w:type="dxa"/>
                <w:tcBorders>
                  <w:top w:val="nil"/>
                  <w:left w:val="nil"/>
                  <w:bottom w:val="single" w:sz="4" w:space="0" w:color="auto"/>
                  <w:right w:val="nil"/>
                </w:tcBorders>
                <w:shd w:val="clear" w:color="000000" w:fill="FFFF00"/>
                <w:noWrap/>
                <w:vAlign w:val="center"/>
                <w:hideMark/>
              </w:tcPr>
              <w:p w14:paraId="2ACF2011" w14:textId="77777777" w:rsidR="00E1791B" w:rsidRPr="000B5756" w:rsidRDefault="00E1791B"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MEDIUM</w:t>
                </w:r>
              </w:p>
            </w:tc>
          </w:tr>
          <w:tr w:rsidR="00E1791B" w:rsidRPr="000B5756" w14:paraId="0C858E45" w14:textId="77777777" w:rsidTr="007C7D13">
            <w:trPr>
              <w:trHeight w:val="340"/>
            </w:trPr>
            <w:tc>
              <w:tcPr>
                <w:tcW w:w="3119" w:type="dxa"/>
                <w:tcBorders>
                  <w:top w:val="nil"/>
                  <w:left w:val="nil"/>
                  <w:right w:val="nil"/>
                </w:tcBorders>
              </w:tcPr>
              <w:p w14:paraId="12342532" w14:textId="77777777" w:rsidR="00E1791B" w:rsidRPr="007C7D13" w:rsidRDefault="00E1791B" w:rsidP="003E1894">
                <w:pPr>
                  <w:spacing w:after="0" w:line="240" w:lineRule="auto"/>
                  <w:rPr>
                    <w:rFonts w:eastAsia="Times New Roman" w:cs="Arial"/>
                    <w:sz w:val="20"/>
                    <w:szCs w:val="20"/>
                    <w:lang w:eastAsia="en-AU"/>
                  </w:rPr>
                </w:pPr>
              </w:p>
            </w:tc>
            <w:tc>
              <w:tcPr>
                <w:tcW w:w="4041" w:type="dxa"/>
                <w:tcBorders>
                  <w:top w:val="nil"/>
                  <w:left w:val="nil"/>
                  <w:bottom w:val="single" w:sz="4" w:space="0" w:color="auto"/>
                  <w:right w:val="nil"/>
                </w:tcBorders>
                <w:shd w:val="clear" w:color="auto" w:fill="auto"/>
                <w:noWrap/>
                <w:vAlign w:val="center"/>
                <w:hideMark/>
              </w:tcPr>
              <w:p w14:paraId="1F23A379" w14:textId="5289F977" w:rsidR="00E1791B" w:rsidRPr="000B5756" w:rsidRDefault="00E1791B" w:rsidP="003E1894">
                <w:pPr>
                  <w:spacing w:after="0" w:line="240" w:lineRule="auto"/>
                  <w:rPr>
                    <w:rFonts w:eastAsia="Times New Roman" w:cs="Arial"/>
                    <w:sz w:val="20"/>
                    <w:szCs w:val="20"/>
                    <w:lang w:eastAsia="en-AU"/>
                  </w:rPr>
                </w:pPr>
                <w:proofErr w:type="spellStart"/>
                <w:r w:rsidRPr="000B5756">
                  <w:rPr>
                    <w:rFonts w:eastAsia="Times New Roman" w:cs="Arial"/>
                    <w:i/>
                    <w:iCs/>
                    <w:sz w:val="20"/>
                    <w:szCs w:val="20"/>
                    <w:lang w:eastAsia="en-AU"/>
                  </w:rPr>
                  <w:t>Fimbriaphyllia</w:t>
                </w:r>
                <w:proofErr w:type="spellEnd"/>
                <w:r w:rsidRPr="000B5756">
                  <w:rPr>
                    <w:rFonts w:eastAsia="Times New Roman" w:cs="Arial"/>
                    <w:sz w:val="20"/>
                    <w:szCs w:val="20"/>
                    <w:lang w:eastAsia="en-AU"/>
                  </w:rPr>
                  <w:t xml:space="preserve"> </w:t>
                </w:r>
                <w:proofErr w:type="spellStart"/>
                <w:r w:rsidRPr="000B5756">
                  <w:rPr>
                    <w:rFonts w:eastAsia="Times New Roman" w:cs="Arial"/>
                    <w:i/>
                    <w:iCs/>
                    <w:sz w:val="20"/>
                    <w:szCs w:val="20"/>
                    <w:lang w:eastAsia="en-AU"/>
                  </w:rPr>
                  <w:t>paraancora</w:t>
                </w:r>
                <w:proofErr w:type="spellEnd"/>
              </w:p>
            </w:tc>
            <w:tc>
              <w:tcPr>
                <w:tcW w:w="2168" w:type="dxa"/>
                <w:tcBorders>
                  <w:top w:val="nil"/>
                  <w:left w:val="nil"/>
                  <w:bottom w:val="single" w:sz="4" w:space="0" w:color="auto"/>
                  <w:right w:val="nil"/>
                </w:tcBorders>
                <w:shd w:val="clear" w:color="000000" w:fill="FFFF00"/>
                <w:noWrap/>
                <w:vAlign w:val="center"/>
                <w:hideMark/>
              </w:tcPr>
              <w:p w14:paraId="776F8671" w14:textId="77777777" w:rsidR="00E1791B" w:rsidRPr="000B5756" w:rsidRDefault="00E1791B"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MEDIUM</w:t>
                </w:r>
              </w:p>
            </w:tc>
          </w:tr>
          <w:tr w:rsidR="00E1791B" w:rsidRPr="000B5756" w14:paraId="4B01AC31" w14:textId="77777777" w:rsidTr="007C7D13">
            <w:trPr>
              <w:trHeight w:val="340"/>
            </w:trPr>
            <w:tc>
              <w:tcPr>
                <w:tcW w:w="3119" w:type="dxa"/>
                <w:tcBorders>
                  <w:top w:val="nil"/>
                  <w:left w:val="nil"/>
                  <w:right w:val="nil"/>
                </w:tcBorders>
              </w:tcPr>
              <w:p w14:paraId="58F45D5E" w14:textId="77777777" w:rsidR="00E1791B" w:rsidRPr="007C7D13" w:rsidRDefault="00E1791B" w:rsidP="003E1894">
                <w:pPr>
                  <w:spacing w:after="0" w:line="240" w:lineRule="auto"/>
                  <w:rPr>
                    <w:rFonts w:eastAsia="Times New Roman" w:cs="Arial"/>
                    <w:sz w:val="20"/>
                    <w:szCs w:val="20"/>
                    <w:lang w:eastAsia="en-AU"/>
                  </w:rPr>
                </w:pPr>
              </w:p>
            </w:tc>
            <w:tc>
              <w:tcPr>
                <w:tcW w:w="4041" w:type="dxa"/>
                <w:tcBorders>
                  <w:top w:val="nil"/>
                  <w:left w:val="nil"/>
                  <w:bottom w:val="single" w:sz="4" w:space="0" w:color="auto"/>
                  <w:right w:val="nil"/>
                </w:tcBorders>
                <w:shd w:val="clear" w:color="auto" w:fill="auto"/>
                <w:noWrap/>
                <w:vAlign w:val="center"/>
                <w:hideMark/>
              </w:tcPr>
              <w:p w14:paraId="7AAFB239" w14:textId="7583B645" w:rsidR="00E1791B" w:rsidRPr="000B5756" w:rsidRDefault="00E1791B" w:rsidP="003E1894">
                <w:pPr>
                  <w:spacing w:after="0" w:line="240" w:lineRule="auto"/>
                  <w:rPr>
                    <w:rFonts w:eastAsia="Times New Roman" w:cs="Arial"/>
                    <w:i/>
                    <w:iCs/>
                    <w:sz w:val="20"/>
                    <w:szCs w:val="20"/>
                    <w:lang w:eastAsia="en-AU"/>
                  </w:rPr>
                </w:pPr>
                <w:proofErr w:type="spellStart"/>
                <w:r w:rsidRPr="000B5756">
                  <w:rPr>
                    <w:rFonts w:eastAsia="Times New Roman" w:cs="Arial"/>
                    <w:i/>
                    <w:iCs/>
                    <w:sz w:val="20"/>
                    <w:szCs w:val="20"/>
                    <w:lang w:eastAsia="en-AU"/>
                  </w:rPr>
                  <w:t>Euphyllia</w:t>
                </w:r>
                <w:proofErr w:type="spellEnd"/>
                <w:r w:rsidRPr="000B5756">
                  <w:rPr>
                    <w:rFonts w:eastAsia="Times New Roman" w:cs="Arial"/>
                    <w:i/>
                    <w:iCs/>
                    <w:sz w:val="20"/>
                    <w:szCs w:val="20"/>
                    <w:lang w:eastAsia="en-AU"/>
                  </w:rPr>
                  <w:t xml:space="preserve"> </w:t>
                </w:r>
                <w:proofErr w:type="spellStart"/>
                <w:r w:rsidRPr="000B5756">
                  <w:rPr>
                    <w:rFonts w:eastAsia="Times New Roman" w:cs="Arial"/>
                    <w:i/>
                    <w:iCs/>
                    <w:sz w:val="20"/>
                    <w:szCs w:val="20"/>
                    <w:lang w:eastAsia="en-AU"/>
                  </w:rPr>
                  <w:t>glabrescens</w:t>
                </w:r>
                <w:proofErr w:type="spellEnd"/>
              </w:p>
            </w:tc>
            <w:tc>
              <w:tcPr>
                <w:tcW w:w="2168" w:type="dxa"/>
                <w:tcBorders>
                  <w:top w:val="nil"/>
                  <w:left w:val="nil"/>
                  <w:bottom w:val="single" w:sz="4" w:space="0" w:color="auto"/>
                  <w:right w:val="nil"/>
                </w:tcBorders>
                <w:shd w:val="clear" w:color="000000" w:fill="C2D69B"/>
                <w:noWrap/>
                <w:vAlign w:val="center"/>
                <w:hideMark/>
              </w:tcPr>
              <w:p w14:paraId="51F8A5E9" w14:textId="77777777" w:rsidR="00E1791B" w:rsidRPr="000B5756" w:rsidRDefault="00E1791B"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LOW</w:t>
                </w:r>
              </w:p>
            </w:tc>
          </w:tr>
          <w:tr w:rsidR="00E1791B" w:rsidRPr="000B5756" w14:paraId="53F7A07A" w14:textId="77777777" w:rsidTr="007C7D13">
            <w:trPr>
              <w:trHeight w:val="340"/>
            </w:trPr>
            <w:tc>
              <w:tcPr>
                <w:tcW w:w="3119" w:type="dxa"/>
                <w:tcBorders>
                  <w:top w:val="nil"/>
                  <w:left w:val="nil"/>
                  <w:right w:val="nil"/>
                </w:tcBorders>
              </w:tcPr>
              <w:p w14:paraId="16159DEE" w14:textId="77777777" w:rsidR="00E1791B" w:rsidRPr="007C7D13" w:rsidRDefault="00E1791B" w:rsidP="003E1894">
                <w:pPr>
                  <w:spacing w:after="0" w:line="240" w:lineRule="auto"/>
                  <w:rPr>
                    <w:rFonts w:eastAsia="Times New Roman" w:cs="Arial"/>
                    <w:sz w:val="20"/>
                    <w:szCs w:val="20"/>
                    <w:lang w:eastAsia="en-AU"/>
                  </w:rPr>
                </w:pPr>
              </w:p>
            </w:tc>
            <w:tc>
              <w:tcPr>
                <w:tcW w:w="4041" w:type="dxa"/>
                <w:tcBorders>
                  <w:top w:val="nil"/>
                  <w:left w:val="nil"/>
                  <w:bottom w:val="single" w:sz="4" w:space="0" w:color="auto"/>
                  <w:right w:val="nil"/>
                </w:tcBorders>
                <w:shd w:val="clear" w:color="auto" w:fill="auto"/>
                <w:noWrap/>
                <w:vAlign w:val="center"/>
                <w:hideMark/>
              </w:tcPr>
              <w:p w14:paraId="1A37B7C2" w14:textId="31AEB2FF" w:rsidR="00E1791B" w:rsidRPr="000B5756" w:rsidRDefault="00E1791B" w:rsidP="003E1894">
                <w:pPr>
                  <w:spacing w:after="0" w:line="240" w:lineRule="auto"/>
                  <w:rPr>
                    <w:rFonts w:eastAsia="Times New Roman" w:cs="Arial"/>
                    <w:i/>
                    <w:iCs/>
                    <w:sz w:val="20"/>
                    <w:szCs w:val="20"/>
                    <w:lang w:eastAsia="en-AU"/>
                  </w:rPr>
                </w:pPr>
                <w:proofErr w:type="spellStart"/>
                <w:r w:rsidRPr="000B5756">
                  <w:rPr>
                    <w:rFonts w:eastAsia="Times New Roman" w:cs="Arial"/>
                    <w:i/>
                    <w:iCs/>
                    <w:sz w:val="20"/>
                    <w:szCs w:val="20"/>
                    <w:lang w:eastAsia="en-AU"/>
                  </w:rPr>
                  <w:t>Catalaphyllia</w:t>
                </w:r>
                <w:proofErr w:type="spellEnd"/>
                <w:r w:rsidRPr="000B5756">
                  <w:rPr>
                    <w:rFonts w:eastAsia="Times New Roman" w:cs="Arial"/>
                    <w:i/>
                    <w:iCs/>
                    <w:sz w:val="20"/>
                    <w:szCs w:val="20"/>
                    <w:lang w:eastAsia="en-AU"/>
                  </w:rPr>
                  <w:t xml:space="preserve"> </w:t>
                </w:r>
                <w:proofErr w:type="spellStart"/>
                <w:r w:rsidRPr="000B5756">
                  <w:rPr>
                    <w:rFonts w:eastAsia="Times New Roman" w:cs="Arial"/>
                    <w:i/>
                    <w:iCs/>
                    <w:sz w:val="20"/>
                    <w:szCs w:val="20"/>
                    <w:lang w:eastAsia="en-AU"/>
                  </w:rPr>
                  <w:t>jardinei</w:t>
                </w:r>
                <w:proofErr w:type="spellEnd"/>
              </w:p>
            </w:tc>
            <w:tc>
              <w:tcPr>
                <w:tcW w:w="2168" w:type="dxa"/>
                <w:tcBorders>
                  <w:top w:val="nil"/>
                  <w:left w:val="nil"/>
                  <w:bottom w:val="single" w:sz="4" w:space="0" w:color="auto"/>
                  <w:right w:val="nil"/>
                </w:tcBorders>
                <w:shd w:val="clear" w:color="000000" w:fill="FFFF00"/>
                <w:noWrap/>
                <w:vAlign w:val="center"/>
                <w:hideMark/>
              </w:tcPr>
              <w:p w14:paraId="64560B2D" w14:textId="77777777" w:rsidR="00E1791B" w:rsidRPr="000B5756" w:rsidRDefault="00E1791B"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MEDIUM</w:t>
                </w:r>
              </w:p>
            </w:tc>
          </w:tr>
          <w:tr w:rsidR="00E1791B" w:rsidRPr="000B5756" w14:paraId="70C294D7" w14:textId="77777777" w:rsidTr="007C7D13">
            <w:trPr>
              <w:trHeight w:val="340"/>
            </w:trPr>
            <w:tc>
              <w:tcPr>
                <w:tcW w:w="3119" w:type="dxa"/>
                <w:tcBorders>
                  <w:top w:val="nil"/>
                  <w:left w:val="nil"/>
                  <w:right w:val="nil"/>
                </w:tcBorders>
              </w:tcPr>
              <w:p w14:paraId="1BCA7053" w14:textId="4AC2BBDF" w:rsidR="00E1791B" w:rsidRPr="007C7D13" w:rsidRDefault="007C7D13" w:rsidP="003E1894">
                <w:pPr>
                  <w:spacing w:after="0" w:line="240" w:lineRule="auto"/>
                  <w:rPr>
                    <w:rFonts w:eastAsia="Times New Roman" w:cs="Arial"/>
                    <w:sz w:val="20"/>
                    <w:szCs w:val="20"/>
                    <w:lang w:eastAsia="en-AU"/>
                  </w:rPr>
                </w:pPr>
                <w:r w:rsidRPr="007C7D13">
                  <w:rPr>
                    <w:rFonts w:eastAsia="Times New Roman" w:cs="Arial"/>
                    <w:sz w:val="20"/>
                    <w:szCs w:val="20"/>
                    <w:lang w:eastAsia="en-AU"/>
                  </w:rPr>
                  <w:t>Hard corals</w:t>
                </w:r>
              </w:p>
            </w:tc>
            <w:tc>
              <w:tcPr>
                <w:tcW w:w="4041" w:type="dxa"/>
                <w:tcBorders>
                  <w:top w:val="nil"/>
                  <w:left w:val="nil"/>
                  <w:bottom w:val="single" w:sz="4" w:space="0" w:color="auto"/>
                  <w:right w:val="nil"/>
                </w:tcBorders>
                <w:shd w:val="clear" w:color="auto" w:fill="auto"/>
                <w:noWrap/>
                <w:vAlign w:val="center"/>
                <w:hideMark/>
              </w:tcPr>
              <w:p w14:paraId="5DD44E12" w14:textId="56587D44" w:rsidR="00E1791B" w:rsidRPr="000B5756" w:rsidRDefault="00E1791B" w:rsidP="003E1894">
                <w:pPr>
                  <w:spacing w:after="0" w:line="240" w:lineRule="auto"/>
                  <w:rPr>
                    <w:rFonts w:eastAsia="Times New Roman" w:cs="Arial"/>
                    <w:i/>
                    <w:iCs/>
                    <w:sz w:val="20"/>
                    <w:szCs w:val="20"/>
                    <w:lang w:eastAsia="en-AU"/>
                  </w:rPr>
                </w:pPr>
                <w:proofErr w:type="spellStart"/>
                <w:r w:rsidRPr="000B5756">
                  <w:rPr>
                    <w:rFonts w:eastAsia="Times New Roman" w:cs="Arial"/>
                    <w:i/>
                    <w:iCs/>
                    <w:sz w:val="20"/>
                    <w:szCs w:val="20"/>
                    <w:lang w:eastAsia="en-AU"/>
                  </w:rPr>
                  <w:t>Australophyllia</w:t>
                </w:r>
                <w:proofErr w:type="spellEnd"/>
                <w:r w:rsidRPr="000B5756">
                  <w:rPr>
                    <w:rFonts w:eastAsia="Times New Roman" w:cs="Arial"/>
                    <w:i/>
                    <w:iCs/>
                    <w:sz w:val="20"/>
                    <w:szCs w:val="20"/>
                    <w:lang w:eastAsia="en-AU"/>
                  </w:rPr>
                  <w:t xml:space="preserve"> </w:t>
                </w:r>
                <w:proofErr w:type="spellStart"/>
                <w:r w:rsidRPr="000B5756">
                  <w:rPr>
                    <w:rFonts w:eastAsia="Times New Roman" w:cs="Arial"/>
                    <w:i/>
                    <w:iCs/>
                    <w:sz w:val="20"/>
                    <w:szCs w:val="20"/>
                    <w:lang w:eastAsia="en-AU"/>
                  </w:rPr>
                  <w:t>wilsoni</w:t>
                </w:r>
                <w:proofErr w:type="spellEnd"/>
              </w:p>
            </w:tc>
            <w:tc>
              <w:tcPr>
                <w:tcW w:w="2168" w:type="dxa"/>
                <w:tcBorders>
                  <w:top w:val="nil"/>
                  <w:left w:val="nil"/>
                  <w:bottom w:val="single" w:sz="4" w:space="0" w:color="auto"/>
                  <w:right w:val="nil"/>
                </w:tcBorders>
                <w:shd w:val="clear" w:color="000000" w:fill="FFFF00"/>
                <w:noWrap/>
                <w:vAlign w:val="center"/>
                <w:hideMark/>
              </w:tcPr>
              <w:p w14:paraId="7F335EA3" w14:textId="77777777" w:rsidR="00E1791B" w:rsidRPr="000B5756" w:rsidRDefault="00E1791B"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MEDIUM</w:t>
                </w:r>
              </w:p>
            </w:tc>
          </w:tr>
          <w:tr w:rsidR="00E1791B" w:rsidRPr="000B5756" w14:paraId="61E6631E" w14:textId="77777777" w:rsidTr="007C7D13">
            <w:trPr>
              <w:trHeight w:val="340"/>
            </w:trPr>
            <w:tc>
              <w:tcPr>
                <w:tcW w:w="3119" w:type="dxa"/>
                <w:tcBorders>
                  <w:top w:val="nil"/>
                  <w:left w:val="nil"/>
                  <w:right w:val="nil"/>
                </w:tcBorders>
              </w:tcPr>
              <w:p w14:paraId="04F81AB7" w14:textId="77777777" w:rsidR="00E1791B" w:rsidRPr="007C7D13" w:rsidRDefault="00E1791B" w:rsidP="003E1894">
                <w:pPr>
                  <w:spacing w:after="0" w:line="240" w:lineRule="auto"/>
                  <w:rPr>
                    <w:rFonts w:eastAsia="Times New Roman" w:cs="Arial"/>
                    <w:sz w:val="20"/>
                    <w:szCs w:val="20"/>
                    <w:lang w:eastAsia="en-AU"/>
                  </w:rPr>
                </w:pPr>
              </w:p>
            </w:tc>
            <w:tc>
              <w:tcPr>
                <w:tcW w:w="4041" w:type="dxa"/>
                <w:tcBorders>
                  <w:top w:val="nil"/>
                  <w:left w:val="nil"/>
                  <w:bottom w:val="single" w:sz="4" w:space="0" w:color="auto"/>
                  <w:right w:val="nil"/>
                </w:tcBorders>
                <w:shd w:val="clear" w:color="auto" w:fill="auto"/>
                <w:noWrap/>
                <w:vAlign w:val="center"/>
                <w:hideMark/>
              </w:tcPr>
              <w:p w14:paraId="73D4DF3C" w14:textId="4043D2BB" w:rsidR="00E1791B" w:rsidRPr="000B5756" w:rsidRDefault="00E1791B" w:rsidP="003E1894">
                <w:pPr>
                  <w:spacing w:after="0" w:line="240" w:lineRule="auto"/>
                  <w:rPr>
                    <w:rFonts w:eastAsia="Times New Roman" w:cs="Arial"/>
                    <w:i/>
                    <w:iCs/>
                    <w:sz w:val="20"/>
                    <w:szCs w:val="20"/>
                    <w:lang w:eastAsia="en-AU"/>
                  </w:rPr>
                </w:pPr>
                <w:proofErr w:type="spellStart"/>
                <w:r w:rsidRPr="000B5756">
                  <w:rPr>
                    <w:rFonts w:eastAsia="Times New Roman" w:cs="Arial"/>
                    <w:i/>
                    <w:iCs/>
                    <w:sz w:val="20"/>
                    <w:szCs w:val="20"/>
                    <w:lang w:eastAsia="en-AU"/>
                  </w:rPr>
                  <w:t>Trachyphyllia</w:t>
                </w:r>
                <w:proofErr w:type="spellEnd"/>
                <w:r w:rsidRPr="000B5756">
                  <w:rPr>
                    <w:rFonts w:eastAsia="Times New Roman" w:cs="Arial"/>
                    <w:i/>
                    <w:iCs/>
                    <w:sz w:val="20"/>
                    <w:szCs w:val="20"/>
                    <w:lang w:eastAsia="en-AU"/>
                  </w:rPr>
                  <w:t xml:space="preserve"> geoffroyi</w:t>
                </w:r>
              </w:p>
            </w:tc>
            <w:tc>
              <w:tcPr>
                <w:tcW w:w="2168" w:type="dxa"/>
                <w:tcBorders>
                  <w:top w:val="nil"/>
                  <w:left w:val="nil"/>
                  <w:bottom w:val="single" w:sz="4" w:space="0" w:color="auto"/>
                  <w:right w:val="nil"/>
                </w:tcBorders>
                <w:shd w:val="clear" w:color="000000" w:fill="C2D69B"/>
                <w:noWrap/>
                <w:vAlign w:val="center"/>
                <w:hideMark/>
              </w:tcPr>
              <w:p w14:paraId="16309C3C" w14:textId="77777777" w:rsidR="00E1791B" w:rsidRPr="000B5756" w:rsidRDefault="00E1791B"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LOW</w:t>
                </w:r>
              </w:p>
            </w:tc>
          </w:tr>
          <w:tr w:rsidR="00E1791B" w:rsidRPr="000B5756" w14:paraId="66DC1982" w14:textId="77777777" w:rsidTr="007C7D13">
            <w:trPr>
              <w:trHeight w:val="340"/>
            </w:trPr>
            <w:tc>
              <w:tcPr>
                <w:tcW w:w="3119" w:type="dxa"/>
                <w:tcBorders>
                  <w:top w:val="nil"/>
                  <w:left w:val="nil"/>
                  <w:right w:val="nil"/>
                </w:tcBorders>
              </w:tcPr>
              <w:p w14:paraId="66F5634F" w14:textId="77777777" w:rsidR="00E1791B" w:rsidRPr="007C7D13" w:rsidRDefault="00E1791B" w:rsidP="003E1894">
                <w:pPr>
                  <w:spacing w:after="0" w:line="240" w:lineRule="auto"/>
                  <w:rPr>
                    <w:rFonts w:eastAsia="Times New Roman" w:cs="Arial"/>
                    <w:sz w:val="20"/>
                    <w:szCs w:val="20"/>
                    <w:lang w:eastAsia="en-AU"/>
                  </w:rPr>
                </w:pPr>
              </w:p>
            </w:tc>
            <w:tc>
              <w:tcPr>
                <w:tcW w:w="4041" w:type="dxa"/>
                <w:tcBorders>
                  <w:top w:val="nil"/>
                  <w:left w:val="nil"/>
                  <w:bottom w:val="single" w:sz="4" w:space="0" w:color="auto"/>
                  <w:right w:val="nil"/>
                </w:tcBorders>
                <w:shd w:val="clear" w:color="auto" w:fill="auto"/>
                <w:noWrap/>
                <w:vAlign w:val="center"/>
                <w:hideMark/>
              </w:tcPr>
              <w:p w14:paraId="5E754E03" w14:textId="3D259C99" w:rsidR="00E1791B" w:rsidRPr="000B5756" w:rsidRDefault="00E1791B" w:rsidP="003E1894">
                <w:pPr>
                  <w:spacing w:after="0" w:line="240" w:lineRule="auto"/>
                  <w:rPr>
                    <w:rFonts w:eastAsia="Times New Roman" w:cs="Arial"/>
                    <w:i/>
                    <w:iCs/>
                    <w:sz w:val="20"/>
                    <w:szCs w:val="20"/>
                    <w:lang w:eastAsia="en-AU"/>
                  </w:rPr>
                </w:pPr>
                <w:proofErr w:type="spellStart"/>
                <w:r w:rsidRPr="000B5756">
                  <w:rPr>
                    <w:rFonts w:eastAsia="Times New Roman" w:cs="Arial"/>
                    <w:i/>
                    <w:iCs/>
                    <w:sz w:val="20"/>
                    <w:szCs w:val="20"/>
                    <w:lang w:eastAsia="en-AU"/>
                  </w:rPr>
                  <w:t>Duncanopsammia</w:t>
                </w:r>
                <w:proofErr w:type="spellEnd"/>
                <w:r w:rsidRPr="000B5756">
                  <w:rPr>
                    <w:rFonts w:eastAsia="Times New Roman" w:cs="Arial"/>
                    <w:i/>
                    <w:iCs/>
                    <w:sz w:val="20"/>
                    <w:szCs w:val="20"/>
                    <w:lang w:eastAsia="en-AU"/>
                  </w:rPr>
                  <w:t xml:space="preserve"> </w:t>
                </w:r>
                <w:proofErr w:type="spellStart"/>
                <w:r w:rsidRPr="000B5756">
                  <w:rPr>
                    <w:rFonts w:eastAsia="Times New Roman" w:cs="Arial"/>
                    <w:i/>
                    <w:iCs/>
                    <w:sz w:val="20"/>
                    <w:szCs w:val="20"/>
                    <w:lang w:eastAsia="en-AU"/>
                  </w:rPr>
                  <w:t>axifuga</w:t>
                </w:r>
                <w:proofErr w:type="spellEnd"/>
              </w:p>
            </w:tc>
            <w:tc>
              <w:tcPr>
                <w:tcW w:w="2168" w:type="dxa"/>
                <w:tcBorders>
                  <w:top w:val="nil"/>
                  <w:left w:val="nil"/>
                  <w:bottom w:val="single" w:sz="4" w:space="0" w:color="auto"/>
                  <w:right w:val="nil"/>
                </w:tcBorders>
                <w:shd w:val="clear" w:color="000000" w:fill="B8CCE4"/>
                <w:noWrap/>
                <w:vAlign w:val="center"/>
                <w:hideMark/>
              </w:tcPr>
              <w:p w14:paraId="1DAF3DA1" w14:textId="77777777" w:rsidR="00E1791B" w:rsidRPr="000B5756" w:rsidRDefault="00E1791B"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NEGLIGIBLE</w:t>
                </w:r>
              </w:p>
            </w:tc>
          </w:tr>
          <w:tr w:rsidR="00E1791B" w:rsidRPr="000B5756" w14:paraId="0BDE1D08" w14:textId="77777777" w:rsidTr="007C7D13">
            <w:trPr>
              <w:trHeight w:val="340"/>
            </w:trPr>
            <w:tc>
              <w:tcPr>
                <w:tcW w:w="3119" w:type="dxa"/>
                <w:tcBorders>
                  <w:top w:val="nil"/>
                  <w:left w:val="nil"/>
                  <w:right w:val="nil"/>
                </w:tcBorders>
              </w:tcPr>
              <w:p w14:paraId="7F33FA2D" w14:textId="77777777" w:rsidR="00E1791B" w:rsidRPr="007C7D13" w:rsidRDefault="00E1791B" w:rsidP="003E1894">
                <w:pPr>
                  <w:spacing w:after="0" w:line="240" w:lineRule="auto"/>
                  <w:rPr>
                    <w:rFonts w:eastAsia="Times New Roman" w:cs="Arial"/>
                    <w:sz w:val="20"/>
                    <w:szCs w:val="20"/>
                    <w:lang w:eastAsia="en-AU"/>
                  </w:rPr>
                </w:pPr>
              </w:p>
            </w:tc>
            <w:tc>
              <w:tcPr>
                <w:tcW w:w="4041" w:type="dxa"/>
                <w:tcBorders>
                  <w:top w:val="nil"/>
                  <w:left w:val="nil"/>
                  <w:bottom w:val="single" w:sz="4" w:space="0" w:color="auto"/>
                  <w:right w:val="nil"/>
                </w:tcBorders>
                <w:shd w:val="clear" w:color="auto" w:fill="auto"/>
                <w:noWrap/>
                <w:vAlign w:val="center"/>
                <w:hideMark/>
              </w:tcPr>
              <w:p w14:paraId="24CB9022" w14:textId="6EEFC3B5" w:rsidR="00E1791B" w:rsidRPr="000B5756" w:rsidRDefault="00E1791B" w:rsidP="003E1894">
                <w:pPr>
                  <w:spacing w:after="0" w:line="240" w:lineRule="auto"/>
                  <w:rPr>
                    <w:rFonts w:eastAsia="Times New Roman" w:cs="Arial"/>
                    <w:i/>
                    <w:iCs/>
                    <w:sz w:val="20"/>
                    <w:szCs w:val="20"/>
                    <w:lang w:eastAsia="en-AU"/>
                  </w:rPr>
                </w:pPr>
                <w:proofErr w:type="spellStart"/>
                <w:r w:rsidRPr="000B5756">
                  <w:rPr>
                    <w:rFonts w:eastAsia="Times New Roman" w:cs="Arial"/>
                    <w:i/>
                    <w:iCs/>
                    <w:sz w:val="20"/>
                    <w:szCs w:val="20"/>
                    <w:lang w:eastAsia="en-AU"/>
                  </w:rPr>
                  <w:t>Moseleya</w:t>
                </w:r>
                <w:proofErr w:type="spellEnd"/>
                <w:r w:rsidRPr="000B5756">
                  <w:rPr>
                    <w:rFonts w:eastAsia="Times New Roman" w:cs="Arial"/>
                    <w:i/>
                    <w:iCs/>
                    <w:sz w:val="20"/>
                    <w:szCs w:val="20"/>
                    <w:lang w:eastAsia="en-AU"/>
                  </w:rPr>
                  <w:t xml:space="preserve"> </w:t>
                </w:r>
                <w:proofErr w:type="spellStart"/>
                <w:r w:rsidRPr="000B5756">
                  <w:rPr>
                    <w:rFonts w:eastAsia="Times New Roman" w:cs="Arial"/>
                    <w:i/>
                    <w:iCs/>
                    <w:sz w:val="20"/>
                    <w:szCs w:val="20"/>
                    <w:lang w:eastAsia="en-AU"/>
                  </w:rPr>
                  <w:t>latistellata</w:t>
                </w:r>
                <w:proofErr w:type="spellEnd"/>
              </w:p>
            </w:tc>
            <w:tc>
              <w:tcPr>
                <w:tcW w:w="2168" w:type="dxa"/>
                <w:tcBorders>
                  <w:top w:val="nil"/>
                  <w:left w:val="nil"/>
                  <w:bottom w:val="single" w:sz="4" w:space="0" w:color="auto"/>
                  <w:right w:val="nil"/>
                </w:tcBorders>
                <w:shd w:val="clear" w:color="000000" w:fill="B8CCE4"/>
                <w:noWrap/>
                <w:vAlign w:val="center"/>
                <w:hideMark/>
              </w:tcPr>
              <w:p w14:paraId="3C75BCF0" w14:textId="77777777" w:rsidR="00E1791B" w:rsidRPr="000B5756" w:rsidRDefault="00E1791B"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NEGLIGIBLE</w:t>
                </w:r>
              </w:p>
            </w:tc>
          </w:tr>
          <w:tr w:rsidR="00E1791B" w:rsidRPr="000B5756" w14:paraId="790FF87B" w14:textId="77777777" w:rsidTr="007C7D13">
            <w:trPr>
              <w:trHeight w:val="340"/>
            </w:trPr>
            <w:tc>
              <w:tcPr>
                <w:tcW w:w="3119" w:type="dxa"/>
                <w:tcBorders>
                  <w:top w:val="nil"/>
                  <w:left w:val="nil"/>
                  <w:right w:val="nil"/>
                </w:tcBorders>
              </w:tcPr>
              <w:p w14:paraId="2298DD5B" w14:textId="77777777" w:rsidR="00E1791B" w:rsidRPr="007C7D13" w:rsidRDefault="00E1791B" w:rsidP="003E1894">
                <w:pPr>
                  <w:spacing w:after="0" w:line="240" w:lineRule="auto"/>
                  <w:rPr>
                    <w:rFonts w:eastAsia="Times New Roman" w:cs="Arial"/>
                    <w:sz w:val="20"/>
                    <w:szCs w:val="20"/>
                    <w:lang w:eastAsia="en-AU"/>
                  </w:rPr>
                </w:pPr>
              </w:p>
            </w:tc>
            <w:tc>
              <w:tcPr>
                <w:tcW w:w="4041" w:type="dxa"/>
                <w:tcBorders>
                  <w:top w:val="nil"/>
                  <w:left w:val="nil"/>
                  <w:bottom w:val="single" w:sz="4" w:space="0" w:color="auto"/>
                  <w:right w:val="nil"/>
                </w:tcBorders>
                <w:shd w:val="clear" w:color="auto" w:fill="auto"/>
                <w:noWrap/>
                <w:vAlign w:val="center"/>
                <w:hideMark/>
              </w:tcPr>
              <w:p w14:paraId="630C6737" w14:textId="08118145" w:rsidR="00E1791B" w:rsidRPr="000B5756" w:rsidRDefault="00E1791B" w:rsidP="003E1894">
                <w:pPr>
                  <w:spacing w:after="0" w:line="240" w:lineRule="auto"/>
                  <w:rPr>
                    <w:rFonts w:eastAsia="Times New Roman" w:cs="Arial"/>
                    <w:i/>
                    <w:iCs/>
                    <w:sz w:val="20"/>
                    <w:szCs w:val="20"/>
                    <w:lang w:eastAsia="en-AU"/>
                  </w:rPr>
                </w:pPr>
                <w:proofErr w:type="spellStart"/>
                <w:r w:rsidRPr="000B5756">
                  <w:rPr>
                    <w:rFonts w:eastAsia="Times New Roman" w:cs="Arial"/>
                    <w:i/>
                    <w:iCs/>
                    <w:sz w:val="20"/>
                    <w:szCs w:val="20"/>
                    <w:lang w:eastAsia="en-AU"/>
                  </w:rPr>
                  <w:t>Lobophyllia</w:t>
                </w:r>
                <w:proofErr w:type="spellEnd"/>
                <w:r w:rsidRPr="000B5756">
                  <w:rPr>
                    <w:rFonts w:eastAsia="Times New Roman" w:cs="Arial"/>
                    <w:i/>
                    <w:iCs/>
                    <w:sz w:val="20"/>
                    <w:szCs w:val="20"/>
                    <w:lang w:eastAsia="en-AU"/>
                  </w:rPr>
                  <w:t xml:space="preserve"> </w:t>
                </w:r>
                <w:proofErr w:type="spellStart"/>
                <w:r w:rsidRPr="000B5756">
                  <w:rPr>
                    <w:rFonts w:eastAsia="Times New Roman" w:cs="Arial"/>
                    <w:i/>
                    <w:iCs/>
                    <w:sz w:val="20"/>
                    <w:szCs w:val="20"/>
                    <w:lang w:eastAsia="en-AU"/>
                  </w:rPr>
                  <w:t>hemprichii</w:t>
                </w:r>
                <w:proofErr w:type="spellEnd"/>
              </w:p>
            </w:tc>
            <w:tc>
              <w:tcPr>
                <w:tcW w:w="2168" w:type="dxa"/>
                <w:tcBorders>
                  <w:top w:val="nil"/>
                  <w:left w:val="nil"/>
                  <w:bottom w:val="single" w:sz="4" w:space="0" w:color="auto"/>
                  <w:right w:val="nil"/>
                </w:tcBorders>
                <w:shd w:val="clear" w:color="000000" w:fill="B8CCE4"/>
                <w:noWrap/>
                <w:vAlign w:val="center"/>
                <w:hideMark/>
              </w:tcPr>
              <w:p w14:paraId="7AB7D269" w14:textId="77777777" w:rsidR="00E1791B" w:rsidRPr="000B5756" w:rsidRDefault="00E1791B"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NEGLIGIBLE</w:t>
                </w:r>
              </w:p>
            </w:tc>
          </w:tr>
          <w:tr w:rsidR="00E1791B" w:rsidRPr="000B5756" w14:paraId="4C474C0A" w14:textId="77777777" w:rsidTr="007C7D13">
            <w:trPr>
              <w:trHeight w:val="340"/>
            </w:trPr>
            <w:tc>
              <w:tcPr>
                <w:tcW w:w="3119" w:type="dxa"/>
                <w:tcBorders>
                  <w:left w:val="nil"/>
                  <w:bottom w:val="single" w:sz="4" w:space="0" w:color="auto"/>
                  <w:right w:val="nil"/>
                </w:tcBorders>
              </w:tcPr>
              <w:p w14:paraId="4520B6E1" w14:textId="77777777" w:rsidR="00E1791B" w:rsidRPr="007C7D13" w:rsidRDefault="00E1791B" w:rsidP="003E1894">
                <w:pPr>
                  <w:spacing w:after="0" w:line="240" w:lineRule="auto"/>
                  <w:rPr>
                    <w:rFonts w:eastAsia="Times New Roman" w:cs="Arial"/>
                    <w:sz w:val="20"/>
                    <w:szCs w:val="20"/>
                    <w:lang w:eastAsia="en-AU"/>
                  </w:rPr>
                </w:pPr>
              </w:p>
            </w:tc>
            <w:tc>
              <w:tcPr>
                <w:tcW w:w="4041" w:type="dxa"/>
                <w:tcBorders>
                  <w:top w:val="nil"/>
                  <w:left w:val="nil"/>
                  <w:bottom w:val="single" w:sz="4" w:space="0" w:color="auto"/>
                  <w:right w:val="nil"/>
                </w:tcBorders>
                <w:shd w:val="clear" w:color="auto" w:fill="auto"/>
                <w:noWrap/>
                <w:vAlign w:val="center"/>
                <w:hideMark/>
              </w:tcPr>
              <w:p w14:paraId="74BC8E13" w14:textId="5D70A2C1" w:rsidR="00E1791B" w:rsidRPr="000B5756" w:rsidRDefault="00E1791B" w:rsidP="003E1894">
                <w:pPr>
                  <w:spacing w:after="0" w:line="240" w:lineRule="auto"/>
                  <w:rPr>
                    <w:rFonts w:eastAsia="Times New Roman" w:cs="Arial"/>
                    <w:sz w:val="20"/>
                    <w:szCs w:val="20"/>
                    <w:lang w:eastAsia="en-AU"/>
                  </w:rPr>
                </w:pPr>
                <w:r>
                  <w:rPr>
                    <w:rFonts w:eastAsia="Times New Roman" w:cs="Arial"/>
                    <w:sz w:val="20"/>
                    <w:szCs w:val="20"/>
                    <w:lang w:eastAsia="en-AU"/>
                  </w:rPr>
                  <w:t>All o</w:t>
                </w:r>
                <w:r w:rsidRPr="000B5756">
                  <w:rPr>
                    <w:rFonts w:eastAsia="Times New Roman" w:cs="Arial"/>
                    <w:sz w:val="20"/>
                    <w:szCs w:val="20"/>
                    <w:lang w:eastAsia="en-AU"/>
                  </w:rPr>
                  <w:t>ther hard coral species</w:t>
                </w:r>
              </w:p>
            </w:tc>
            <w:tc>
              <w:tcPr>
                <w:tcW w:w="2168" w:type="dxa"/>
                <w:tcBorders>
                  <w:top w:val="nil"/>
                  <w:left w:val="nil"/>
                  <w:bottom w:val="single" w:sz="4" w:space="0" w:color="auto"/>
                  <w:right w:val="nil"/>
                </w:tcBorders>
                <w:shd w:val="clear" w:color="000000" w:fill="B8CCE4"/>
                <w:noWrap/>
                <w:vAlign w:val="center"/>
                <w:hideMark/>
              </w:tcPr>
              <w:p w14:paraId="633D9343" w14:textId="77777777" w:rsidR="00E1791B" w:rsidRPr="000B5756" w:rsidRDefault="00E1791B"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NEGLIGIBLE</w:t>
                </w:r>
              </w:p>
            </w:tc>
          </w:tr>
          <w:tr w:rsidR="00E1791B" w:rsidRPr="000B5756" w14:paraId="501CC20D" w14:textId="77777777" w:rsidTr="007C7D13">
            <w:trPr>
              <w:trHeight w:val="340"/>
            </w:trPr>
            <w:tc>
              <w:tcPr>
                <w:tcW w:w="3119" w:type="dxa"/>
                <w:tcBorders>
                  <w:top w:val="single" w:sz="4" w:space="0" w:color="auto"/>
                  <w:left w:val="nil"/>
                  <w:bottom w:val="single" w:sz="4" w:space="0" w:color="auto"/>
                  <w:right w:val="nil"/>
                </w:tcBorders>
              </w:tcPr>
              <w:p w14:paraId="1DBFD9FF" w14:textId="2E94FFD3" w:rsidR="00E1791B" w:rsidRPr="007C7D13" w:rsidRDefault="007C7D13" w:rsidP="003E1894">
                <w:pPr>
                  <w:spacing w:after="0" w:line="240" w:lineRule="auto"/>
                  <w:rPr>
                    <w:rFonts w:eastAsia="Times New Roman" w:cs="Arial"/>
                    <w:sz w:val="20"/>
                    <w:szCs w:val="20"/>
                    <w:lang w:eastAsia="en-AU"/>
                  </w:rPr>
                </w:pPr>
                <w:r>
                  <w:rPr>
                    <w:rFonts w:eastAsia="Times New Roman" w:cs="Arial"/>
                    <w:sz w:val="20"/>
                    <w:szCs w:val="20"/>
                    <w:lang w:eastAsia="en-AU"/>
                  </w:rPr>
                  <w:t>Giant clams</w:t>
                </w:r>
              </w:p>
            </w:tc>
            <w:tc>
              <w:tcPr>
                <w:tcW w:w="4041" w:type="dxa"/>
                <w:tcBorders>
                  <w:top w:val="single" w:sz="4" w:space="0" w:color="auto"/>
                  <w:left w:val="nil"/>
                  <w:bottom w:val="single" w:sz="4" w:space="0" w:color="auto"/>
                  <w:right w:val="nil"/>
                </w:tcBorders>
                <w:shd w:val="clear" w:color="auto" w:fill="auto"/>
                <w:noWrap/>
                <w:vAlign w:val="center"/>
              </w:tcPr>
              <w:p w14:paraId="235F2C01" w14:textId="2D5DFCB2" w:rsidR="00E1791B" w:rsidRPr="000B5756" w:rsidRDefault="00E1791B" w:rsidP="003E1894">
                <w:pPr>
                  <w:spacing w:after="0" w:line="240" w:lineRule="auto"/>
                  <w:rPr>
                    <w:rFonts w:eastAsia="Times New Roman" w:cs="Arial"/>
                    <w:sz w:val="20"/>
                    <w:szCs w:val="20"/>
                    <w:lang w:eastAsia="en-AU"/>
                  </w:rPr>
                </w:pPr>
                <w:r>
                  <w:rPr>
                    <w:rFonts w:eastAsia="Times New Roman" w:cs="Arial"/>
                    <w:sz w:val="20"/>
                    <w:szCs w:val="20"/>
                    <w:lang w:eastAsia="en-AU"/>
                  </w:rPr>
                  <w:t>All</w:t>
                </w:r>
                <w:r w:rsidRPr="000B5756">
                  <w:rPr>
                    <w:rFonts w:eastAsia="Times New Roman" w:cs="Arial"/>
                    <w:sz w:val="20"/>
                    <w:szCs w:val="20"/>
                    <w:lang w:eastAsia="en-AU"/>
                  </w:rPr>
                  <w:t xml:space="preserve"> </w:t>
                </w:r>
                <w:r w:rsidRPr="000B5756">
                  <w:rPr>
                    <w:rFonts w:eastAsia="Times New Roman" w:cs="Arial"/>
                    <w:i/>
                    <w:iCs/>
                    <w:sz w:val="20"/>
                    <w:szCs w:val="20"/>
                    <w:lang w:eastAsia="en-AU"/>
                  </w:rPr>
                  <w:t xml:space="preserve">Tridacna </w:t>
                </w:r>
                <w:r w:rsidRPr="000B5756">
                  <w:rPr>
                    <w:rFonts w:eastAsia="Times New Roman" w:cs="Arial"/>
                    <w:sz w:val="20"/>
                    <w:szCs w:val="20"/>
                    <w:lang w:eastAsia="en-AU"/>
                  </w:rPr>
                  <w:t>s</w:t>
                </w:r>
                <w:r>
                  <w:rPr>
                    <w:rFonts w:eastAsia="Times New Roman" w:cs="Arial"/>
                    <w:sz w:val="20"/>
                    <w:szCs w:val="20"/>
                    <w:lang w:eastAsia="en-AU"/>
                  </w:rPr>
                  <w:t>pecies</w:t>
                </w:r>
              </w:p>
            </w:tc>
            <w:tc>
              <w:tcPr>
                <w:tcW w:w="2168" w:type="dxa"/>
                <w:tcBorders>
                  <w:top w:val="single" w:sz="4" w:space="0" w:color="auto"/>
                  <w:left w:val="nil"/>
                  <w:bottom w:val="single" w:sz="4" w:space="0" w:color="auto"/>
                  <w:right w:val="nil"/>
                </w:tcBorders>
                <w:shd w:val="clear" w:color="000000" w:fill="B8CCE4"/>
                <w:noWrap/>
                <w:vAlign w:val="center"/>
              </w:tcPr>
              <w:p w14:paraId="3E8003C0" w14:textId="77777777" w:rsidR="00E1791B" w:rsidRPr="000B5756" w:rsidRDefault="00E1791B"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NEGLIGIBLE</w:t>
                </w:r>
              </w:p>
            </w:tc>
          </w:tr>
          <w:tr w:rsidR="007C7D13" w:rsidRPr="000B5756" w14:paraId="138A177D" w14:textId="77777777" w:rsidTr="007C7D13">
            <w:trPr>
              <w:trHeight w:val="340"/>
            </w:trPr>
            <w:tc>
              <w:tcPr>
                <w:tcW w:w="3119" w:type="dxa"/>
                <w:tcBorders>
                  <w:top w:val="single" w:sz="4" w:space="0" w:color="auto"/>
                  <w:left w:val="nil"/>
                  <w:right w:val="nil"/>
                </w:tcBorders>
              </w:tcPr>
              <w:p w14:paraId="18E9C197" w14:textId="77777777" w:rsidR="007C7D13" w:rsidRPr="007C7D13" w:rsidRDefault="007C7D13" w:rsidP="003E1894">
                <w:pPr>
                  <w:spacing w:after="0" w:line="240" w:lineRule="auto"/>
                  <w:rPr>
                    <w:rFonts w:eastAsia="Times New Roman" w:cs="Arial"/>
                    <w:sz w:val="20"/>
                    <w:szCs w:val="20"/>
                    <w:lang w:eastAsia="en-AU"/>
                  </w:rPr>
                </w:pPr>
              </w:p>
            </w:tc>
            <w:tc>
              <w:tcPr>
                <w:tcW w:w="4041" w:type="dxa"/>
                <w:tcBorders>
                  <w:top w:val="single" w:sz="4" w:space="0" w:color="auto"/>
                  <w:left w:val="nil"/>
                  <w:bottom w:val="single" w:sz="4" w:space="0" w:color="auto"/>
                  <w:right w:val="nil"/>
                </w:tcBorders>
                <w:shd w:val="clear" w:color="auto" w:fill="auto"/>
                <w:noWrap/>
                <w:vAlign w:val="center"/>
                <w:hideMark/>
              </w:tcPr>
              <w:p w14:paraId="5AB48CD4" w14:textId="77777777" w:rsidR="007C7D13" w:rsidRPr="000B5756" w:rsidRDefault="007C7D13" w:rsidP="003E1894">
                <w:pPr>
                  <w:spacing w:after="0" w:line="240" w:lineRule="auto"/>
                  <w:rPr>
                    <w:rFonts w:eastAsia="Times New Roman" w:cs="Arial"/>
                    <w:i/>
                    <w:iCs/>
                    <w:sz w:val="20"/>
                    <w:szCs w:val="20"/>
                    <w:lang w:eastAsia="en-AU"/>
                  </w:rPr>
                </w:pPr>
                <w:r w:rsidRPr="000B5756">
                  <w:rPr>
                    <w:rFonts w:eastAsia="Times New Roman" w:cs="Arial"/>
                    <w:i/>
                    <w:iCs/>
                    <w:sz w:val="20"/>
                    <w:szCs w:val="20"/>
                    <w:lang w:eastAsia="en-AU"/>
                  </w:rPr>
                  <w:t xml:space="preserve">Hippocampus </w:t>
                </w:r>
                <w:proofErr w:type="spellStart"/>
                <w:r w:rsidRPr="000B5756">
                  <w:rPr>
                    <w:rFonts w:eastAsia="Times New Roman" w:cs="Arial"/>
                    <w:i/>
                    <w:iCs/>
                    <w:sz w:val="20"/>
                    <w:szCs w:val="20"/>
                    <w:lang w:eastAsia="en-AU"/>
                  </w:rPr>
                  <w:t>subelongatus</w:t>
                </w:r>
                <w:proofErr w:type="spellEnd"/>
              </w:p>
            </w:tc>
            <w:tc>
              <w:tcPr>
                <w:tcW w:w="2168" w:type="dxa"/>
                <w:tcBorders>
                  <w:top w:val="single" w:sz="4" w:space="0" w:color="auto"/>
                  <w:left w:val="nil"/>
                  <w:bottom w:val="single" w:sz="4" w:space="0" w:color="auto"/>
                  <w:right w:val="nil"/>
                </w:tcBorders>
                <w:shd w:val="clear" w:color="000000" w:fill="B8CCE4"/>
                <w:noWrap/>
                <w:vAlign w:val="center"/>
                <w:hideMark/>
              </w:tcPr>
              <w:p w14:paraId="5B8B8C16" w14:textId="77777777" w:rsidR="007C7D13" w:rsidRPr="000B5756" w:rsidRDefault="007C7D13"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NEGLIGIBLE</w:t>
                </w:r>
              </w:p>
            </w:tc>
          </w:tr>
          <w:tr w:rsidR="007C7D13" w:rsidRPr="000B5756" w14:paraId="336FA23C" w14:textId="77777777" w:rsidTr="007C7D13">
            <w:trPr>
              <w:trHeight w:val="340"/>
            </w:trPr>
            <w:tc>
              <w:tcPr>
                <w:tcW w:w="3119" w:type="dxa"/>
                <w:tcBorders>
                  <w:top w:val="nil"/>
                  <w:left w:val="nil"/>
                  <w:right w:val="nil"/>
                </w:tcBorders>
              </w:tcPr>
              <w:p w14:paraId="33B3D4AD" w14:textId="09B3FC41" w:rsidR="007C7D13" w:rsidRPr="007C7D13" w:rsidRDefault="007C7D13" w:rsidP="003E1894">
                <w:pPr>
                  <w:spacing w:after="0" w:line="240" w:lineRule="auto"/>
                  <w:rPr>
                    <w:rFonts w:eastAsia="Times New Roman" w:cs="Arial"/>
                    <w:sz w:val="20"/>
                    <w:szCs w:val="20"/>
                    <w:lang w:eastAsia="en-AU"/>
                  </w:rPr>
                </w:pPr>
                <w:r>
                  <w:rPr>
                    <w:rFonts w:eastAsia="Times New Roman" w:cs="Arial"/>
                    <w:sz w:val="20"/>
                    <w:szCs w:val="20"/>
                    <w:lang w:eastAsia="en-AU"/>
                  </w:rPr>
                  <w:t>Seahorses &amp; pipefish</w:t>
                </w:r>
              </w:p>
            </w:tc>
            <w:tc>
              <w:tcPr>
                <w:tcW w:w="4041" w:type="dxa"/>
                <w:tcBorders>
                  <w:top w:val="single" w:sz="4" w:space="0" w:color="auto"/>
                  <w:left w:val="nil"/>
                  <w:bottom w:val="single" w:sz="4" w:space="0" w:color="auto"/>
                  <w:right w:val="nil"/>
                </w:tcBorders>
                <w:shd w:val="clear" w:color="auto" w:fill="auto"/>
                <w:noWrap/>
                <w:vAlign w:val="center"/>
                <w:hideMark/>
              </w:tcPr>
              <w:p w14:paraId="14F2C884" w14:textId="77777777" w:rsidR="007C7D13" w:rsidRPr="000B5756" w:rsidRDefault="007C7D13" w:rsidP="003E1894">
                <w:pPr>
                  <w:spacing w:after="0" w:line="240" w:lineRule="auto"/>
                  <w:rPr>
                    <w:rFonts w:eastAsia="Times New Roman" w:cs="Arial"/>
                    <w:i/>
                    <w:iCs/>
                    <w:sz w:val="20"/>
                    <w:szCs w:val="20"/>
                    <w:lang w:eastAsia="en-AU"/>
                  </w:rPr>
                </w:pPr>
                <w:r w:rsidRPr="000B5756">
                  <w:rPr>
                    <w:rFonts w:eastAsia="Times New Roman" w:cs="Arial"/>
                    <w:i/>
                    <w:iCs/>
                    <w:sz w:val="20"/>
                    <w:szCs w:val="20"/>
                    <w:lang w:eastAsia="en-AU"/>
                  </w:rPr>
                  <w:t xml:space="preserve">Hippocampus </w:t>
                </w:r>
                <w:proofErr w:type="spellStart"/>
                <w:r w:rsidRPr="000B5756">
                  <w:rPr>
                    <w:rFonts w:eastAsia="Times New Roman" w:cs="Arial"/>
                    <w:i/>
                    <w:iCs/>
                    <w:sz w:val="20"/>
                    <w:szCs w:val="20"/>
                    <w:lang w:eastAsia="en-AU"/>
                  </w:rPr>
                  <w:t>angustus</w:t>
                </w:r>
                <w:proofErr w:type="spellEnd"/>
              </w:p>
            </w:tc>
            <w:tc>
              <w:tcPr>
                <w:tcW w:w="2168" w:type="dxa"/>
                <w:tcBorders>
                  <w:top w:val="single" w:sz="4" w:space="0" w:color="auto"/>
                  <w:left w:val="nil"/>
                  <w:bottom w:val="single" w:sz="4" w:space="0" w:color="auto"/>
                  <w:right w:val="nil"/>
                </w:tcBorders>
                <w:shd w:val="clear" w:color="000000" w:fill="B8CCE4"/>
                <w:noWrap/>
                <w:vAlign w:val="center"/>
                <w:hideMark/>
              </w:tcPr>
              <w:p w14:paraId="4103375C" w14:textId="77777777" w:rsidR="007C7D13" w:rsidRPr="000B5756" w:rsidRDefault="007C7D13"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NEGLIGIBLE</w:t>
                </w:r>
              </w:p>
            </w:tc>
          </w:tr>
          <w:tr w:rsidR="007C7D13" w:rsidRPr="000B5756" w14:paraId="184E0EF5" w14:textId="77777777" w:rsidTr="007C7D13">
            <w:trPr>
              <w:trHeight w:val="340"/>
            </w:trPr>
            <w:tc>
              <w:tcPr>
                <w:tcW w:w="3119" w:type="dxa"/>
                <w:tcBorders>
                  <w:left w:val="nil"/>
                  <w:bottom w:val="single" w:sz="4" w:space="0" w:color="auto"/>
                  <w:right w:val="nil"/>
                </w:tcBorders>
              </w:tcPr>
              <w:p w14:paraId="5CAF9B28" w14:textId="77777777" w:rsidR="007C7D13" w:rsidRPr="007C7D13" w:rsidRDefault="007C7D13" w:rsidP="003E1894">
                <w:pPr>
                  <w:spacing w:after="0" w:line="240" w:lineRule="auto"/>
                  <w:rPr>
                    <w:rFonts w:eastAsia="Times New Roman" w:cs="Arial"/>
                    <w:sz w:val="20"/>
                    <w:szCs w:val="20"/>
                    <w:lang w:eastAsia="en-AU"/>
                  </w:rPr>
                </w:pPr>
              </w:p>
            </w:tc>
            <w:tc>
              <w:tcPr>
                <w:tcW w:w="4041" w:type="dxa"/>
                <w:tcBorders>
                  <w:top w:val="single" w:sz="4" w:space="0" w:color="auto"/>
                  <w:left w:val="nil"/>
                  <w:bottom w:val="single" w:sz="4" w:space="0" w:color="auto"/>
                  <w:right w:val="nil"/>
                </w:tcBorders>
                <w:shd w:val="clear" w:color="auto" w:fill="auto"/>
                <w:noWrap/>
                <w:vAlign w:val="center"/>
                <w:hideMark/>
              </w:tcPr>
              <w:p w14:paraId="57E032AF" w14:textId="77777777" w:rsidR="007C7D13" w:rsidRPr="000B5756" w:rsidRDefault="007C7D13" w:rsidP="003E1894">
                <w:pPr>
                  <w:spacing w:after="0" w:line="240" w:lineRule="auto"/>
                  <w:rPr>
                    <w:rFonts w:eastAsia="Times New Roman" w:cs="Arial"/>
                    <w:sz w:val="20"/>
                    <w:szCs w:val="20"/>
                    <w:lang w:eastAsia="en-AU"/>
                  </w:rPr>
                </w:pPr>
                <w:r>
                  <w:rPr>
                    <w:rFonts w:eastAsia="Times New Roman" w:cs="Arial"/>
                    <w:sz w:val="20"/>
                    <w:szCs w:val="20"/>
                    <w:lang w:eastAsia="en-AU"/>
                  </w:rPr>
                  <w:t>All o</w:t>
                </w:r>
                <w:r w:rsidRPr="000B5756">
                  <w:rPr>
                    <w:rFonts w:eastAsia="Times New Roman" w:cs="Arial"/>
                    <w:sz w:val="20"/>
                    <w:szCs w:val="20"/>
                    <w:lang w:eastAsia="en-AU"/>
                  </w:rPr>
                  <w:t xml:space="preserve">ther </w:t>
                </w:r>
                <w:proofErr w:type="spellStart"/>
                <w:r w:rsidRPr="000B5756">
                  <w:rPr>
                    <w:rFonts w:eastAsia="Times New Roman" w:cs="Arial"/>
                    <w:sz w:val="20"/>
                    <w:szCs w:val="20"/>
                    <w:lang w:eastAsia="en-AU"/>
                  </w:rPr>
                  <w:t>syngnathiform</w:t>
                </w:r>
                <w:proofErr w:type="spellEnd"/>
                <w:r w:rsidRPr="000B5756">
                  <w:rPr>
                    <w:rFonts w:eastAsia="Times New Roman" w:cs="Arial"/>
                    <w:sz w:val="20"/>
                    <w:szCs w:val="20"/>
                    <w:lang w:eastAsia="en-AU"/>
                  </w:rPr>
                  <w:t xml:space="preserve"> species</w:t>
                </w:r>
              </w:p>
            </w:tc>
            <w:tc>
              <w:tcPr>
                <w:tcW w:w="2168" w:type="dxa"/>
                <w:tcBorders>
                  <w:top w:val="single" w:sz="4" w:space="0" w:color="auto"/>
                  <w:left w:val="nil"/>
                  <w:bottom w:val="single" w:sz="4" w:space="0" w:color="auto"/>
                  <w:right w:val="nil"/>
                </w:tcBorders>
                <w:shd w:val="clear" w:color="000000" w:fill="B8CCE4"/>
                <w:noWrap/>
                <w:vAlign w:val="center"/>
                <w:hideMark/>
              </w:tcPr>
              <w:p w14:paraId="4F0545A8" w14:textId="77777777" w:rsidR="007C7D13" w:rsidRPr="000B5756" w:rsidRDefault="007C7D13" w:rsidP="003E1894">
                <w:pPr>
                  <w:spacing w:after="0" w:line="240" w:lineRule="auto"/>
                  <w:jc w:val="center"/>
                  <w:rPr>
                    <w:rFonts w:eastAsia="Times New Roman" w:cs="Arial"/>
                    <w:sz w:val="20"/>
                    <w:szCs w:val="20"/>
                    <w:lang w:eastAsia="en-AU"/>
                  </w:rPr>
                </w:pPr>
                <w:r w:rsidRPr="000B5756">
                  <w:rPr>
                    <w:rFonts w:eastAsia="Times New Roman" w:cs="Arial"/>
                    <w:sz w:val="20"/>
                    <w:szCs w:val="20"/>
                    <w:lang w:eastAsia="en-AU"/>
                  </w:rPr>
                  <w:t>NEGLIGIBLE</w:t>
                </w:r>
              </w:p>
            </w:tc>
          </w:tr>
        </w:tbl>
        <w:p w14:paraId="292DC28B" w14:textId="3DEF723B" w:rsidR="00E1791B" w:rsidRPr="00C224CF" w:rsidRDefault="00C224CF" w:rsidP="003E5CE6">
          <w:pPr>
            <w:spacing w:after="0"/>
            <w:jc w:val="both"/>
            <w:rPr>
              <w:b/>
              <w:bCs/>
              <w:sz w:val="16"/>
              <w:szCs w:val="16"/>
            </w:rPr>
          </w:pPr>
          <w:r>
            <w:rPr>
              <w:b/>
              <w:bCs/>
              <w:sz w:val="16"/>
              <w:szCs w:val="16"/>
            </w:rPr>
            <w:t>Extract from Table 7.1 of the ERA</w:t>
          </w:r>
        </w:p>
        <w:p w14:paraId="4C3B1780" w14:textId="77777777" w:rsidR="00E1791B" w:rsidRDefault="00E1791B" w:rsidP="003E5CE6">
          <w:pPr>
            <w:spacing w:after="0"/>
            <w:jc w:val="both"/>
          </w:pPr>
        </w:p>
        <w:p w14:paraId="36ADE1C9" w14:textId="5B8D0664" w:rsidR="00AB6B4E" w:rsidRDefault="00E45538" w:rsidP="003E5CE6">
          <w:pPr>
            <w:spacing w:after="0"/>
            <w:jc w:val="both"/>
          </w:pPr>
          <w:r>
            <w:t xml:space="preserve">Given that </w:t>
          </w:r>
          <w:r w:rsidR="003E5CE6">
            <w:t xml:space="preserve">the ERA has been finalised and published, the Department will </w:t>
          </w:r>
          <w:r>
            <w:t xml:space="preserve">soon </w:t>
          </w:r>
          <w:r w:rsidR="003E5CE6">
            <w:t xml:space="preserve">commence a review of the </w:t>
          </w:r>
          <w:hyperlink r:id="rId13" w:history="1">
            <w:r w:rsidR="003E5CE6" w:rsidRPr="00DB4432">
              <w:rPr>
                <w:rStyle w:val="Hyperlink"/>
                <w:i/>
                <w:iCs/>
              </w:rPr>
              <w:t>Marine Aquarium Fish Resource of Western Australia Harvest Strategy 2018 – 2022</w:t>
            </w:r>
          </w:hyperlink>
          <w:r w:rsidR="002B48C6">
            <w:rPr>
              <w:rStyle w:val="Hyperlink"/>
              <w:i/>
              <w:iCs/>
            </w:rPr>
            <w:t xml:space="preserve">. </w:t>
          </w:r>
        </w:p>
        <w:bookmarkEnd w:id="0"/>
        <w:p w14:paraId="163DE0D9" w14:textId="77777777" w:rsidR="005067F7" w:rsidRPr="005067F7" w:rsidRDefault="005067F7" w:rsidP="005067F7">
          <w:pPr>
            <w:shd w:val="clear" w:color="auto" w:fill="FFFFFF"/>
            <w:spacing w:after="120" w:line="240" w:lineRule="auto"/>
            <w:ind w:left="737"/>
            <w:jc w:val="both"/>
            <w:rPr>
              <w:rFonts w:eastAsia="Times New Roman" w:cs="Arial"/>
              <w:color w:val="000000"/>
              <w:szCs w:val="24"/>
              <w:lang w:eastAsia="en-AU"/>
            </w:rPr>
          </w:pPr>
          <w:r w:rsidRPr="005067F7">
            <w:rPr>
              <w:rFonts w:ascii="Times New Roman" w:eastAsia="Times New Roman" w:hAnsi="Times New Roman" w:cs="Times New Roman"/>
              <w:color w:val="000000"/>
              <w:sz w:val="22"/>
              <w:lang w:eastAsia="en-AU"/>
            </w:rPr>
            <w:t> </w:t>
          </w:r>
        </w:p>
        <w:p w14:paraId="46D077D0" w14:textId="0891BC09" w:rsidR="00E76E6C" w:rsidRDefault="00E76E6C" w:rsidP="0020729A">
          <w:pPr>
            <w:pStyle w:val="Heading1"/>
            <w:ind w:right="113"/>
          </w:pPr>
          <w:r>
            <w:t>Progress against previous EPBC</w:t>
          </w:r>
          <w:r w:rsidR="0020729A">
            <w:t xml:space="preserve"> C</w:t>
          </w:r>
          <w:r>
            <w:t>onditions</w:t>
          </w:r>
        </w:p>
        <w:p w14:paraId="3AB429EC" w14:textId="77777777" w:rsidR="004D4051" w:rsidRDefault="00E76E6C" w:rsidP="00E76E6C">
          <w:r>
            <w:t xml:space="preserve">Progress against previous EPBC conditions can be reviewed at </w:t>
          </w:r>
        </w:p>
        <w:p w14:paraId="46915216" w14:textId="71CE9A68" w:rsidR="00E76E6C" w:rsidRPr="00E76E6C" w:rsidRDefault="007C71A9" w:rsidP="00E76E6C">
          <w:hyperlink r:id="rId14" w:history="1">
            <w:r w:rsidR="004D4051" w:rsidRPr="00AD7BF8">
              <w:rPr>
                <w:rStyle w:val="Hyperlink"/>
              </w:rPr>
              <w:t>https://www.awe.gov.au/environment/marine/fisheries/wa/marine-aquarium</w:t>
            </w:r>
          </w:hyperlink>
          <w:r w:rsidR="00E76E6C">
            <w:t>.</w:t>
          </w:r>
          <w:r w:rsidR="004D4051">
            <w:t xml:space="preserve"> </w:t>
          </w:r>
          <w:r w:rsidR="00E76E6C">
            <w:t xml:space="preserve"> </w:t>
          </w:r>
        </w:p>
        <w:p w14:paraId="5006E291" w14:textId="07FE5EFC" w:rsidR="005E1596" w:rsidRDefault="005E1596" w:rsidP="005E1596">
          <w:pPr>
            <w:pStyle w:val="Heading1"/>
            <w:tabs>
              <w:tab w:val="left" w:pos="5103"/>
            </w:tabs>
            <w:ind w:right="4490"/>
          </w:pPr>
          <w:r>
            <w:t xml:space="preserve">Additional fishery information </w:t>
          </w:r>
        </w:p>
        <w:tbl>
          <w:tblPr>
            <w:tblStyle w:val="TableGrid1"/>
            <w:tblW w:w="5168" w:type="pct"/>
            <w:jc w:val="center"/>
            <w:tblLayout w:type="fixed"/>
            <w:tblLook w:val="04A0" w:firstRow="1" w:lastRow="0" w:firstColumn="1" w:lastColumn="0" w:noHBand="0" w:noVBand="1"/>
          </w:tblPr>
          <w:tblGrid>
            <w:gridCol w:w="1922"/>
            <w:gridCol w:w="7703"/>
            <w:gridCol w:w="6"/>
          </w:tblGrid>
          <w:tr w:rsidR="00286600" w:rsidRPr="00F11852" w14:paraId="63D2817C" w14:textId="77777777" w:rsidTr="008506DD">
            <w:trPr>
              <w:cnfStyle w:val="100000000000" w:firstRow="1" w:lastRow="0" w:firstColumn="0" w:lastColumn="0" w:oddVBand="0" w:evenVBand="0" w:oddHBand="0" w:evenHBand="0" w:firstRowFirstColumn="0" w:firstRowLastColumn="0" w:lastRowFirstColumn="0" w:lastRowLastColumn="0"/>
              <w:trHeight w:val="474"/>
              <w:jc w:val="center"/>
            </w:trPr>
            <w:tc>
              <w:tcPr>
                <w:tcW w:w="5000" w:type="pct"/>
                <w:gridSpan w:val="3"/>
                <w:shd w:val="clear" w:color="auto" w:fill="D9D9D9" w:themeFill="background1" w:themeFillShade="D9"/>
              </w:tcPr>
              <w:p w14:paraId="6110FD4E" w14:textId="77777777" w:rsidR="00286600" w:rsidRPr="00F11852" w:rsidRDefault="00286600" w:rsidP="00D440B7">
                <w:pPr>
                  <w:rPr>
                    <w:b/>
                  </w:rPr>
                </w:pPr>
                <w:r w:rsidRPr="00F11852">
                  <w:rPr>
                    <w:b/>
                  </w:rPr>
                  <w:t>GENERAL INFORMATION</w:t>
                </w:r>
              </w:p>
            </w:tc>
          </w:tr>
          <w:tr w:rsidR="00286600" w14:paraId="334B7A35" w14:textId="77777777" w:rsidTr="008506DD">
            <w:trPr>
              <w:gridAfter w:val="1"/>
              <w:cnfStyle w:val="000000100000" w:firstRow="0" w:lastRow="0" w:firstColumn="0" w:lastColumn="0" w:oddVBand="0" w:evenVBand="0" w:oddHBand="1" w:evenHBand="0" w:firstRowFirstColumn="0" w:firstRowLastColumn="0" w:lastRowFirstColumn="0" w:lastRowLastColumn="0"/>
              <w:wAfter w:w="3" w:type="pct"/>
              <w:trHeight w:val="546"/>
              <w:jc w:val="center"/>
            </w:trPr>
            <w:tc>
              <w:tcPr>
                <w:tcW w:w="998" w:type="pct"/>
              </w:tcPr>
              <w:p w14:paraId="1DBE5E52" w14:textId="77777777" w:rsidR="00286600" w:rsidRPr="00F11852" w:rsidRDefault="00286600" w:rsidP="00D440B7">
                <w:pPr>
                  <w:rPr>
                    <w:b/>
                  </w:rPr>
                </w:pPr>
                <w:r w:rsidRPr="00F11852">
                  <w:rPr>
                    <w:b/>
                  </w:rPr>
                  <w:t>Area of the fishery</w:t>
                </w:r>
              </w:p>
            </w:tc>
            <w:tc>
              <w:tcPr>
                <w:tcW w:w="3999" w:type="pct"/>
              </w:tcPr>
              <w:p w14:paraId="2B353553" w14:textId="77777777" w:rsidR="00286600" w:rsidRPr="00B90EF3" w:rsidRDefault="00286600" w:rsidP="00D440B7">
                <w:r>
                  <w:rPr>
                    <w:rFonts w:cs="Arial"/>
                    <w:snapToGrid w:val="0"/>
                  </w:rPr>
                  <w:t>All</w:t>
                </w:r>
                <w:r w:rsidRPr="00F660BC">
                  <w:rPr>
                    <w:rFonts w:cs="Arial"/>
                    <w:snapToGrid w:val="0"/>
                  </w:rPr>
                  <w:t xml:space="preserve"> Western Australia</w:t>
                </w:r>
                <w:r>
                  <w:rPr>
                    <w:rFonts w:cs="Arial"/>
                    <w:snapToGrid w:val="0"/>
                  </w:rPr>
                  <w:t>n waters between Northern Territory border and the South Australian border (see map at Figure 1)</w:t>
                </w:r>
                <w:r w:rsidRPr="00B90EF3">
                  <w:rPr>
                    <w:rFonts w:cs="Arial"/>
                    <w:snapToGrid w:val="0"/>
                  </w:rPr>
                  <w:t>.</w:t>
                </w:r>
              </w:p>
            </w:tc>
          </w:tr>
          <w:tr w:rsidR="00286600" w14:paraId="6FD13537" w14:textId="77777777" w:rsidTr="008506DD">
            <w:trPr>
              <w:gridAfter w:val="1"/>
              <w:cnfStyle w:val="000000010000" w:firstRow="0" w:lastRow="0" w:firstColumn="0" w:lastColumn="0" w:oddVBand="0" w:evenVBand="0" w:oddHBand="0" w:evenHBand="1" w:firstRowFirstColumn="0" w:firstRowLastColumn="0" w:lastRowFirstColumn="0" w:lastRowLastColumn="0"/>
              <w:wAfter w:w="3" w:type="pct"/>
              <w:trHeight w:val="489"/>
              <w:jc w:val="center"/>
            </w:trPr>
            <w:tc>
              <w:tcPr>
                <w:tcW w:w="998" w:type="pct"/>
              </w:tcPr>
              <w:p w14:paraId="719C20E9" w14:textId="77777777" w:rsidR="00286600" w:rsidRPr="00F11852" w:rsidRDefault="00286600" w:rsidP="00D440B7">
                <w:pPr>
                  <w:rPr>
                    <w:b/>
                  </w:rPr>
                </w:pPr>
                <w:r w:rsidRPr="00F11852">
                  <w:rPr>
                    <w:b/>
                  </w:rPr>
                  <w:t>Gear used</w:t>
                </w:r>
              </w:p>
            </w:tc>
            <w:tc>
              <w:tcPr>
                <w:tcW w:w="3999" w:type="pct"/>
              </w:tcPr>
              <w:p w14:paraId="0DA78CCC" w14:textId="77777777" w:rsidR="00286600" w:rsidRPr="00B90EF3" w:rsidRDefault="00286600" w:rsidP="00D440B7">
                <w:pPr>
                  <w:rPr>
                    <w:rFonts w:cs="Arial"/>
                    <w:snapToGrid w:val="0"/>
                  </w:rPr>
                </w:pPr>
                <w:r>
                  <w:rPr>
                    <w:rFonts w:cs="Arial"/>
                  </w:rPr>
                  <w:t xml:space="preserve">Primarily hand collection while using SCUBA or hookah. Operators can use handheld nets, handheld tools and fishing lines (barbless hooks only). Further information is available in the </w:t>
                </w:r>
                <w:r>
                  <w:rPr>
                    <w:rFonts w:cs="Arial"/>
                    <w:i/>
                    <w:iCs/>
                  </w:rPr>
                  <w:t xml:space="preserve">Marine Aquarium Fish Managed Fishery Management Plan 2018 </w:t>
                </w:r>
                <w:r>
                  <w:rPr>
                    <w:rFonts w:cs="Arial"/>
                  </w:rPr>
                  <w:t>(</w:t>
                </w:r>
                <w:hyperlink r:id="rId15" w:history="1">
                  <w:r w:rsidRPr="00FF5DE6">
                    <w:rPr>
                      <w:rStyle w:val="Hyperlink"/>
                      <w:rFonts w:cs="Arial"/>
                    </w:rPr>
                    <w:t>Management Plan</w:t>
                  </w:r>
                </w:hyperlink>
                <w:r>
                  <w:rPr>
                    <w:rFonts w:cs="Arial"/>
                  </w:rPr>
                  <w:t>)</w:t>
                </w:r>
                <w:r>
                  <w:rPr>
                    <w:rFonts w:cs="Arial"/>
                    <w:i/>
                    <w:iCs/>
                  </w:rPr>
                  <w:t xml:space="preserve">. </w:t>
                </w:r>
              </w:p>
            </w:tc>
          </w:tr>
          <w:tr w:rsidR="00286600" w14:paraId="74B6B83B" w14:textId="77777777" w:rsidTr="008506DD">
            <w:trPr>
              <w:gridAfter w:val="1"/>
              <w:cnfStyle w:val="000000100000" w:firstRow="0" w:lastRow="0" w:firstColumn="0" w:lastColumn="0" w:oddVBand="0" w:evenVBand="0" w:oddHBand="1" w:evenHBand="0" w:firstRowFirstColumn="0" w:firstRowLastColumn="0" w:lastRowFirstColumn="0" w:lastRowLastColumn="0"/>
              <w:wAfter w:w="3" w:type="pct"/>
              <w:trHeight w:val="1610"/>
              <w:jc w:val="center"/>
            </w:trPr>
            <w:tc>
              <w:tcPr>
                <w:tcW w:w="998" w:type="pct"/>
              </w:tcPr>
              <w:p w14:paraId="47F36748" w14:textId="77777777" w:rsidR="00286600" w:rsidRPr="00F11852" w:rsidRDefault="00286600" w:rsidP="00D440B7">
                <w:pPr>
                  <w:rPr>
                    <w:b/>
                  </w:rPr>
                </w:pPr>
                <w:r>
                  <w:rPr>
                    <w:b/>
                  </w:rPr>
                  <w:t xml:space="preserve">Information </w:t>
                </w:r>
              </w:p>
            </w:tc>
            <w:tc>
              <w:tcPr>
                <w:tcW w:w="3999" w:type="pct"/>
              </w:tcPr>
              <w:p w14:paraId="5FCE0900" w14:textId="77777777" w:rsidR="00286600" w:rsidRPr="00851449" w:rsidRDefault="00286600" w:rsidP="00D440B7">
                <w:pPr>
                  <w:rPr>
                    <w:rFonts w:cs="Arial"/>
                  </w:rPr>
                </w:pPr>
                <w:r>
                  <w:rPr>
                    <w:rFonts w:cs="Arial"/>
                  </w:rPr>
                  <w:t>Information</w:t>
                </w:r>
                <w:r w:rsidRPr="00851449">
                  <w:rPr>
                    <w:rFonts w:cs="Arial"/>
                  </w:rPr>
                  <w:t xml:space="preserve"> on </w:t>
                </w:r>
                <w:r>
                  <w:rPr>
                    <w:rFonts w:cs="Arial"/>
                  </w:rPr>
                  <w:t>species retained by the MAFMF</w:t>
                </w:r>
                <w:r w:rsidRPr="00851449">
                  <w:rPr>
                    <w:rFonts w:cs="Arial"/>
                  </w:rPr>
                  <w:t xml:space="preserve"> and links to m</w:t>
                </w:r>
                <w:r>
                  <w:rPr>
                    <w:rFonts w:cs="Arial"/>
                  </w:rPr>
                  <w:t>anagement information is here:</w:t>
                </w:r>
              </w:p>
              <w:p w14:paraId="7E3C28A7" w14:textId="77777777" w:rsidR="00286600" w:rsidRPr="00BA59BC" w:rsidRDefault="00286600" w:rsidP="00286600">
                <w:pPr>
                  <w:pStyle w:val="ListParagraph"/>
                  <w:numPr>
                    <w:ilvl w:val="0"/>
                    <w:numId w:val="5"/>
                  </w:numPr>
                  <w:spacing w:before="0" w:after="0"/>
                  <w:contextualSpacing w:val="0"/>
                  <w:rPr>
                    <w:rFonts w:cs="Arial"/>
                    <w:i/>
                  </w:rPr>
                </w:pPr>
                <w:r w:rsidRPr="006036F7">
                  <w:rPr>
                    <w:rFonts w:cs="Arial"/>
                  </w:rPr>
                  <w:t xml:space="preserve">Management Plan – </w:t>
                </w:r>
                <w:hyperlink r:id="rId16" w:history="1">
                  <w:r w:rsidRPr="00FF5DE6">
                    <w:rPr>
                      <w:rStyle w:val="Hyperlink"/>
                      <w:rFonts w:cs="Arial"/>
                      <w:i/>
                    </w:rPr>
                    <w:t>Marine Aquarium Fish Managed Fishery Management Plan 2018</w:t>
                  </w:r>
                </w:hyperlink>
              </w:p>
              <w:p w14:paraId="64F07ED5" w14:textId="77777777" w:rsidR="00286600" w:rsidRPr="004A063C" w:rsidRDefault="00286600" w:rsidP="00286600">
                <w:pPr>
                  <w:pStyle w:val="ListParagraph"/>
                  <w:numPr>
                    <w:ilvl w:val="0"/>
                    <w:numId w:val="5"/>
                  </w:numPr>
                  <w:spacing w:before="0" w:after="0"/>
                  <w:contextualSpacing w:val="0"/>
                  <w:rPr>
                    <w:rFonts w:cs="Arial"/>
                  </w:rPr>
                </w:pPr>
                <w:r w:rsidRPr="004A063C">
                  <w:rPr>
                    <w:rFonts w:cs="Arial"/>
                  </w:rPr>
                  <w:t xml:space="preserve">Harvest strategy – </w:t>
                </w:r>
                <w:hyperlink r:id="rId17" w:history="1">
                  <w:r w:rsidRPr="00FF5DE6">
                    <w:rPr>
                      <w:rStyle w:val="Hyperlink"/>
                      <w:i/>
                      <w:iCs/>
                    </w:rPr>
                    <w:t>Marine Aquarium Fish Resource of Western Australia Harvest Strategy 2018 - 2022</w:t>
                  </w:r>
                </w:hyperlink>
              </w:p>
              <w:p w14:paraId="793EAE6E" w14:textId="77777777" w:rsidR="00286600" w:rsidRPr="00963FFD" w:rsidRDefault="007C71A9" w:rsidP="00286600">
                <w:pPr>
                  <w:pStyle w:val="ListParagraph"/>
                  <w:numPr>
                    <w:ilvl w:val="0"/>
                    <w:numId w:val="5"/>
                  </w:numPr>
                  <w:spacing w:before="0" w:after="0"/>
                  <w:contextualSpacing w:val="0"/>
                  <w:rPr>
                    <w:rFonts w:cs="Arial"/>
                    <w:i/>
                    <w:iCs/>
                  </w:rPr>
                </w:pPr>
                <w:hyperlink r:id="rId18" w:history="1">
                  <w:r w:rsidR="00286600" w:rsidRPr="00736728">
                    <w:rPr>
                      <w:rStyle w:val="Hyperlink"/>
                      <w:i/>
                      <w:iCs/>
                    </w:rPr>
                    <w:t>Status Reports of the Fisheries and Aquatic Resources of Western Australia 2020-21</w:t>
                  </w:r>
                </w:hyperlink>
              </w:p>
            </w:tc>
          </w:tr>
          <w:tr w:rsidR="00286600" w:rsidRPr="00F11852" w14:paraId="7E6CF311" w14:textId="77777777" w:rsidTr="008506DD">
            <w:trPr>
              <w:cnfStyle w:val="000000010000" w:firstRow="0" w:lastRow="0" w:firstColumn="0" w:lastColumn="0" w:oddVBand="0" w:evenVBand="0" w:oddHBand="0" w:evenHBand="1" w:firstRowFirstColumn="0" w:firstRowLastColumn="0" w:lastRowFirstColumn="0" w:lastRowLastColumn="0"/>
              <w:trHeight w:val="489"/>
              <w:jc w:val="center"/>
            </w:trPr>
            <w:tc>
              <w:tcPr>
                <w:tcW w:w="5000" w:type="pct"/>
                <w:gridSpan w:val="3"/>
                <w:shd w:val="clear" w:color="auto" w:fill="D9D9D9" w:themeFill="background1" w:themeFillShade="D9"/>
              </w:tcPr>
              <w:p w14:paraId="20C69C75" w14:textId="77777777" w:rsidR="00286600" w:rsidRPr="00F11852" w:rsidRDefault="00286600" w:rsidP="00D440B7">
                <w:pPr>
                  <w:rPr>
                    <w:b/>
                  </w:rPr>
                </w:pPr>
                <w:r w:rsidRPr="00F11852">
                  <w:rPr>
                    <w:b/>
                  </w:rPr>
                  <w:t>MANAGEMENT ARRANGEMENTS</w:t>
                </w:r>
              </w:p>
            </w:tc>
          </w:tr>
          <w:tr w:rsidR="00286600" w14:paraId="408F314C" w14:textId="77777777" w:rsidTr="008506DD">
            <w:trPr>
              <w:gridAfter w:val="1"/>
              <w:cnfStyle w:val="000000100000" w:firstRow="0" w:lastRow="0" w:firstColumn="0" w:lastColumn="0" w:oddVBand="0" w:evenVBand="0" w:oddHBand="1" w:evenHBand="0" w:firstRowFirstColumn="0" w:firstRowLastColumn="0" w:lastRowFirstColumn="0" w:lastRowLastColumn="0"/>
              <w:wAfter w:w="3" w:type="pct"/>
              <w:trHeight w:val="416"/>
              <w:jc w:val="center"/>
            </w:trPr>
            <w:tc>
              <w:tcPr>
                <w:tcW w:w="998" w:type="pct"/>
              </w:tcPr>
              <w:p w14:paraId="34B5C6B7" w14:textId="77777777" w:rsidR="00286600" w:rsidRPr="00F11852" w:rsidRDefault="00286600" w:rsidP="00D440B7">
                <w:pPr>
                  <w:rPr>
                    <w:b/>
                  </w:rPr>
                </w:pPr>
                <w:r w:rsidRPr="00F11852">
                  <w:rPr>
                    <w:b/>
                  </w:rPr>
                  <w:lastRenderedPageBreak/>
                  <w:t>Legislation</w:t>
                </w:r>
              </w:p>
            </w:tc>
            <w:tc>
              <w:tcPr>
                <w:tcW w:w="3999" w:type="pct"/>
              </w:tcPr>
              <w:p w14:paraId="3C9537EB" w14:textId="77777777" w:rsidR="00286600" w:rsidRPr="00840C06" w:rsidRDefault="00286600" w:rsidP="00D440B7">
                <w:pPr>
                  <w:autoSpaceDE w:val="0"/>
                  <w:autoSpaceDN w:val="0"/>
                  <w:adjustRightInd w:val="0"/>
                  <w:rPr>
                    <w:i/>
                  </w:rPr>
                </w:pPr>
                <w:r>
                  <w:t>The MAFMF is managed by the Department of Primary Industries and Regional Development (DPIRD) under the following legislation:</w:t>
                </w:r>
              </w:p>
              <w:p w14:paraId="438EF941" w14:textId="77777777" w:rsidR="00286600" w:rsidRPr="00605E3D" w:rsidRDefault="00286600" w:rsidP="00286600">
                <w:pPr>
                  <w:pStyle w:val="ListParagraph"/>
                  <w:numPr>
                    <w:ilvl w:val="0"/>
                    <w:numId w:val="4"/>
                  </w:numPr>
                  <w:autoSpaceDE w:val="0"/>
                  <w:autoSpaceDN w:val="0"/>
                  <w:adjustRightInd w:val="0"/>
                  <w:spacing w:before="0" w:after="0"/>
                  <w:contextualSpacing w:val="0"/>
                  <w:rPr>
                    <w:i/>
                  </w:rPr>
                </w:pPr>
                <w:r w:rsidRPr="00071399">
                  <w:rPr>
                    <w:i/>
                  </w:rPr>
                  <w:t>F</w:t>
                </w:r>
                <w:r>
                  <w:rPr>
                    <w:i/>
                  </w:rPr>
                  <w:t xml:space="preserve">ish </w:t>
                </w:r>
                <w:r w:rsidRPr="00071399">
                  <w:rPr>
                    <w:i/>
                  </w:rPr>
                  <w:t>R</w:t>
                </w:r>
                <w:r>
                  <w:rPr>
                    <w:i/>
                  </w:rPr>
                  <w:t xml:space="preserve">esources </w:t>
                </w:r>
                <w:r w:rsidRPr="00071399">
                  <w:rPr>
                    <w:i/>
                  </w:rPr>
                  <w:t>M</w:t>
                </w:r>
                <w:r>
                  <w:rPr>
                    <w:i/>
                  </w:rPr>
                  <w:t xml:space="preserve">anagement </w:t>
                </w:r>
                <w:r w:rsidRPr="00071399">
                  <w:rPr>
                    <w:i/>
                  </w:rPr>
                  <w:t>A</w:t>
                </w:r>
                <w:r>
                  <w:rPr>
                    <w:i/>
                  </w:rPr>
                  <w:t>ct 1994</w:t>
                </w:r>
                <w:r>
                  <w:t xml:space="preserve"> (FRMA, will be replaced by the </w:t>
                </w:r>
                <w:r w:rsidRPr="002156C4">
                  <w:rPr>
                    <w:i/>
                  </w:rPr>
                  <w:t xml:space="preserve">Aquatic Resources Management Act </w:t>
                </w:r>
                <w:r>
                  <w:t xml:space="preserve">once enacted); </w:t>
                </w:r>
              </w:p>
              <w:p w14:paraId="5EFD0602" w14:textId="361420BD" w:rsidR="00286600" w:rsidRPr="002B48C6" w:rsidRDefault="00286600" w:rsidP="00286600">
                <w:pPr>
                  <w:pStyle w:val="ListParagraph"/>
                  <w:numPr>
                    <w:ilvl w:val="0"/>
                    <w:numId w:val="4"/>
                  </w:numPr>
                  <w:autoSpaceDE w:val="0"/>
                  <w:autoSpaceDN w:val="0"/>
                  <w:adjustRightInd w:val="0"/>
                  <w:spacing w:before="0" w:after="0"/>
                  <w:contextualSpacing w:val="0"/>
                  <w:rPr>
                    <w:i/>
                  </w:rPr>
                </w:pPr>
                <w:r w:rsidRPr="00605E3D">
                  <w:rPr>
                    <w:i/>
                  </w:rPr>
                  <w:t>Fish Resources Management Regulations 1995</w:t>
                </w:r>
                <w:r>
                  <w:rPr>
                    <w:i/>
                  </w:rPr>
                  <w:t xml:space="preserve"> </w:t>
                </w:r>
                <w:r>
                  <w:t>(FRMR);</w:t>
                </w:r>
              </w:p>
              <w:p w14:paraId="3D38BDAA" w14:textId="44D0F5C7" w:rsidR="00286600" w:rsidRPr="00605E3D" w:rsidRDefault="00286600" w:rsidP="00286600">
                <w:pPr>
                  <w:pStyle w:val="ListParagraph"/>
                  <w:numPr>
                    <w:ilvl w:val="0"/>
                    <w:numId w:val="4"/>
                  </w:numPr>
                  <w:autoSpaceDE w:val="0"/>
                  <w:autoSpaceDN w:val="0"/>
                  <w:adjustRightInd w:val="0"/>
                  <w:spacing w:before="0" w:after="0"/>
                  <w:contextualSpacing w:val="0"/>
                  <w:rPr>
                    <w:i/>
                  </w:rPr>
                </w:pPr>
                <w:r>
                  <w:rPr>
                    <w:rFonts w:cs="Arial"/>
                    <w:i/>
                    <w:iCs/>
                  </w:rPr>
                  <w:t>Marine Aquarium Fish Managed Fishery Management Plan 2018</w:t>
                </w:r>
              </w:p>
              <w:p w14:paraId="2BDC5AF0" w14:textId="77777777" w:rsidR="00286600" w:rsidRDefault="00286600" w:rsidP="00D440B7">
                <w:r>
                  <w:t>Fishers must also comply with the requirements of (but not limited to):</w:t>
                </w:r>
              </w:p>
              <w:p w14:paraId="3F99655B" w14:textId="77777777" w:rsidR="00286600" w:rsidRDefault="00286600" w:rsidP="00286600">
                <w:pPr>
                  <w:pStyle w:val="ListParagraph"/>
                  <w:numPr>
                    <w:ilvl w:val="0"/>
                    <w:numId w:val="3"/>
                  </w:numPr>
                  <w:overflowPunct w:val="0"/>
                  <w:autoSpaceDE w:val="0"/>
                  <w:autoSpaceDN w:val="0"/>
                  <w:adjustRightInd w:val="0"/>
                  <w:spacing w:before="0" w:after="0"/>
                  <w:contextualSpacing w:val="0"/>
                  <w:jc w:val="both"/>
                  <w:textAlignment w:val="baseline"/>
                </w:pPr>
                <w:r>
                  <w:t xml:space="preserve">The Commonwealth </w:t>
                </w:r>
                <w:r w:rsidRPr="000826FF">
                  <w:rPr>
                    <w:i/>
                  </w:rPr>
                  <w:t>Environment Protection and Biodiversity Conservation Act 1999</w:t>
                </w:r>
                <w:r>
                  <w:rPr>
                    <w:i/>
                  </w:rPr>
                  <w:t xml:space="preserve"> </w:t>
                </w:r>
                <w:r w:rsidRPr="008F0F88">
                  <w:t>(EPBC</w:t>
                </w:r>
                <w:r>
                  <w:t xml:space="preserve"> Act</w:t>
                </w:r>
                <w:r w:rsidRPr="008F0F88">
                  <w:t>)</w:t>
                </w:r>
                <w:r>
                  <w:t>;</w:t>
                </w:r>
              </w:p>
              <w:p w14:paraId="7AD2286D" w14:textId="77777777" w:rsidR="00286600" w:rsidRDefault="00286600" w:rsidP="00286600">
                <w:pPr>
                  <w:pStyle w:val="ListParagraph"/>
                  <w:numPr>
                    <w:ilvl w:val="0"/>
                    <w:numId w:val="3"/>
                  </w:numPr>
                  <w:overflowPunct w:val="0"/>
                  <w:autoSpaceDE w:val="0"/>
                  <w:autoSpaceDN w:val="0"/>
                  <w:adjustRightInd w:val="0"/>
                  <w:spacing w:before="0" w:after="0"/>
                  <w:contextualSpacing w:val="0"/>
                  <w:jc w:val="both"/>
                  <w:textAlignment w:val="baseline"/>
                  <w:rPr>
                    <w:i/>
                  </w:rPr>
                </w:pPr>
                <w:r>
                  <w:rPr>
                    <w:i/>
                    <w:iCs/>
                  </w:rPr>
                  <w:t>Marine Safety (Domestic Commercial Vessel) National Law Act 2012;</w:t>
                </w:r>
              </w:p>
              <w:p w14:paraId="6B65CBAA" w14:textId="77777777" w:rsidR="00286600" w:rsidRPr="009256A9" w:rsidRDefault="00286600" w:rsidP="00286600">
                <w:pPr>
                  <w:pStyle w:val="ListParagraph"/>
                  <w:numPr>
                    <w:ilvl w:val="0"/>
                    <w:numId w:val="3"/>
                  </w:numPr>
                  <w:overflowPunct w:val="0"/>
                  <w:autoSpaceDE w:val="0"/>
                  <w:autoSpaceDN w:val="0"/>
                  <w:adjustRightInd w:val="0"/>
                  <w:spacing w:before="0" w:after="0"/>
                  <w:contextualSpacing w:val="0"/>
                  <w:jc w:val="both"/>
                  <w:textAlignment w:val="baseline"/>
                  <w:rPr>
                    <w:i/>
                  </w:rPr>
                </w:pPr>
                <w:r w:rsidRPr="009256A9">
                  <w:rPr>
                    <w:i/>
                  </w:rPr>
                  <w:t>Western Australian Marine Act 1982</w:t>
                </w:r>
                <w:r>
                  <w:t>;</w:t>
                </w:r>
              </w:p>
              <w:p w14:paraId="3B433284" w14:textId="77777777" w:rsidR="00286600" w:rsidRDefault="00286600" w:rsidP="00286600">
                <w:pPr>
                  <w:pStyle w:val="ListParagraph"/>
                  <w:numPr>
                    <w:ilvl w:val="0"/>
                    <w:numId w:val="3"/>
                  </w:numPr>
                  <w:overflowPunct w:val="0"/>
                  <w:autoSpaceDE w:val="0"/>
                  <w:autoSpaceDN w:val="0"/>
                  <w:adjustRightInd w:val="0"/>
                  <w:spacing w:before="0" w:after="0"/>
                  <w:contextualSpacing w:val="0"/>
                  <w:jc w:val="both"/>
                  <w:textAlignment w:val="baseline"/>
                </w:pPr>
                <w:r w:rsidRPr="009256A9">
                  <w:t xml:space="preserve">Western Australian </w:t>
                </w:r>
                <w:r w:rsidRPr="009256A9">
                  <w:rPr>
                    <w:i/>
                  </w:rPr>
                  <w:t>Wildlife Conservation Act 1950</w:t>
                </w:r>
                <w:r>
                  <w:t xml:space="preserve">; and </w:t>
                </w:r>
              </w:p>
              <w:p w14:paraId="1BF5D23D" w14:textId="77777777" w:rsidR="00286600" w:rsidRPr="00893662" w:rsidRDefault="00286600" w:rsidP="00286600">
                <w:pPr>
                  <w:pStyle w:val="ListParagraph"/>
                  <w:numPr>
                    <w:ilvl w:val="0"/>
                    <w:numId w:val="3"/>
                  </w:numPr>
                  <w:overflowPunct w:val="0"/>
                  <w:autoSpaceDE w:val="0"/>
                  <w:autoSpaceDN w:val="0"/>
                  <w:adjustRightInd w:val="0"/>
                  <w:spacing w:before="0" w:after="0"/>
                  <w:contextualSpacing w:val="0"/>
                  <w:jc w:val="both"/>
                  <w:textAlignment w:val="baseline"/>
                </w:pPr>
                <w:r w:rsidRPr="009256A9">
                  <w:t xml:space="preserve">Western Australian </w:t>
                </w:r>
                <w:r w:rsidRPr="00516737">
                  <w:rPr>
                    <w:i/>
                  </w:rPr>
                  <w:t>Conservation and Land Management Act 1984</w:t>
                </w:r>
                <w:r>
                  <w:t xml:space="preserve">.                                                                                                                                                                                                                                                                                                                                                                                                                                                                                                                                                                                                                                                                                                                                                                                                                                                                                                                                                                                                                                                                                                                                                                                                                                                                                                                                                                                                                                                                                                                                                                                                                                                                                                                                                                                                                                                                                                                                                                                                                                                                                                                                                                                                                                                                                                                                                                                                                                                                                                                                                                                                                                                                                                                                                                                                                                                                                                                                                                                                                                                                                                                                                                                                                                                                                                                                                                                                                                                                                                                                                                                                                                                                                                                                                                                                                                                                                                                                                                                                                                                                                                                                                                                                                                                                                                                                                                                                                                                                                                                                                                                                                                                                                                                                                                                                                                                                                                                                                                                                                                                                                                                                                                                                                                                                                                                                                                                                               </w:t>
                </w:r>
              </w:p>
            </w:tc>
          </w:tr>
          <w:tr w:rsidR="00286600" w14:paraId="22E72DE5" w14:textId="77777777" w:rsidTr="008506DD">
            <w:trPr>
              <w:gridAfter w:val="1"/>
              <w:cnfStyle w:val="000000010000" w:firstRow="0" w:lastRow="0" w:firstColumn="0" w:lastColumn="0" w:oddVBand="0" w:evenVBand="0" w:oddHBand="0" w:evenHBand="1" w:firstRowFirstColumn="0" w:firstRowLastColumn="0" w:lastRowFirstColumn="0" w:lastRowLastColumn="0"/>
              <w:wAfter w:w="3" w:type="pct"/>
              <w:trHeight w:val="1091"/>
              <w:jc w:val="center"/>
            </w:trPr>
            <w:tc>
              <w:tcPr>
                <w:tcW w:w="998" w:type="pct"/>
              </w:tcPr>
              <w:p w14:paraId="506300DB" w14:textId="77777777" w:rsidR="00286600" w:rsidRPr="00F11852" w:rsidRDefault="00286600" w:rsidP="00D440B7">
                <w:pPr>
                  <w:rPr>
                    <w:b/>
                  </w:rPr>
                </w:pPr>
                <w:r w:rsidRPr="00F11852">
                  <w:rPr>
                    <w:b/>
                  </w:rPr>
                  <w:t>Regulations</w:t>
                </w:r>
                <w:r>
                  <w:rPr>
                    <w:b/>
                  </w:rPr>
                  <w:t>, exemptions or licence designation</w:t>
                </w:r>
              </w:p>
            </w:tc>
            <w:tc>
              <w:tcPr>
                <w:tcW w:w="3999" w:type="pct"/>
              </w:tcPr>
              <w:p w14:paraId="0124C002" w14:textId="77777777" w:rsidR="00286600" w:rsidRDefault="00286600" w:rsidP="00D440B7">
                <w:r>
                  <w:t>Marine Aquarium Fish Managed Fishery Licence</w:t>
                </w:r>
              </w:p>
              <w:p w14:paraId="79E6B629" w14:textId="77777777" w:rsidR="00286600" w:rsidRPr="006D368C" w:rsidRDefault="00286600" w:rsidP="00D440B7"/>
            </w:tc>
          </w:tr>
          <w:tr w:rsidR="00286600" w14:paraId="1ADB4EE9" w14:textId="77777777" w:rsidTr="008506DD">
            <w:trPr>
              <w:gridAfter w:val="1"/>
              <w:cnfStyle w:val="000000100000" w:firstRow="0" w:lastRow="0" w:firstColumn="0" w:lastColumn="0" w:oddVBand="0" w:evenVBand="0" w:oddHBand="1" w:evenHBand="0" w:firstRowFirstColumn="0" w:firstRowLastColumn="0" w:lastRowFirstColumn="0" w:lastRowLastColumn="0"/>
              <w:wAfter w:w="3" w:type="pct"/>
              <w:trHeight w:val="568"/>
              <w:jc w:val="center"/>
            </w:trPr>
            <w:tc>
              <w:tcPr>
                <w:tcW w:w="998" w:type="pct"/>
              </w:tcPr>
              <w:p w14:paraId="19D877E5" w14:textId="77777777" w:rsidR="00286600" w:rsidRPr="00F11852" w:rsidRDefault="00286600" w:rsidP="00D440B7">
                <w:pPr>
                  <w:rPr>
                    <w:b/>
                  </w:rPr>
                </w:pPr>
                <w:r w:rsidRPr="00F11852">
                  <w:rPr>
                    <w:b/>
                  </w:rPr>
                  <w:t>Management plan</w:t>
                </w:r>
              </w:p>
            </w:tc>
            <w:tc>
              <w:tcPr>
                <w:tcW w:w="3999" w:type="pct"/>
              </w:tcPr>
              <w:p w14:paraId="207C4D88" w14:textId="77777777" w:rsidR="00286600" w:rsidRPr="00E75BB6" w:rsidRDefault="007C71A9" w:rsidP="00D440B7">
                <w:pPr>
                  <w:ind w:left="369" w:hanging="369"/>
                  <w:rPr>
                    <w:rFonts w:cs="Arial"/>
                    <w:i/>
                  </w:rPr>
                </w:pPr>
                <w:hyperlink r:id="rId19" w:history="1">
                  <w:r w:rsidR="00286600" w:rsidRPr="00E75BB6">
                    <w:rPr>
                      <w:rStyle w:val="Hyperlink"/>
                      <w:rFonts w:cs="Arial"/>
                      <w:i/>
                    </w:rPr>
                    <w:t>Marine Aquarium Fish Managed Fishery Management Plan 2018</w:t>
                  </w:r>
                </w:hyperlink>
              </w:p>
              <w:p w14:paraId="5BB71CDE" w14:textId="77777777" w:rsidR="00286600" w:rsidRPr="006D368C" w:rsidRDefault="00286600" w:rsidP="00D440B7"/>
            </w:tc>
          </w:tr>
          <w:tr w:rsidR="00286600" w14:paraId="3244D402" w14:textId="77777777" w:rsidTr="008506DD">
            <w:trPr>
              <w:gridAfter w:val="1"/>
              <w:cnfStyle w:val="000000010000" w:firstRow="0" w:lastRow="0" w:firstColumn="0" w:lastColumn="0" w:oddVBand="0" w:evenVBand="0" w:oddHBand="0" w:evenHBand="1" w:firstRowFirstColumn="0" w:firstRowLastColumn="0" w:lastRowFirstColumn="0" w:lastRowLastColumn="0"/>
              <w:wAfter w:w="3" w:type="pct"/>
              <w:trHeight w:val="882"/>
              <w:jc w:val="center"/>
            </w:trPr>
            <w:tc>
              <w:tcPr>
                <w:tcW w:w="998" w:type="pct"/>
              </w:tcPr>
              <w:p w14:paraId="6A6F0773" w14:textId="77777777" w:rsidR="00286600" w:rsidRPr="00F11852" w:rsidRDefault="00286600" w:rsidP="00D440B7">
                <w:pPr>
                  <w:rPr>
                    <w:b/>
                  </w:rPr>
                </w:pPr>
                <w:r w:rsidRPr="00F11852">
                  <w:rPr>
                    <w:b/>
                  </w:rPr>
                  <w:t>Other management documents</w:t>
                </w:r>
              </w:p>
            </w:tc>
            <w:tc>
              <w:tcPr>
                <w:tcW w:w="3999" w:type="pct"/>
              </w:tcPr>
              <w:p w14:paraId="407DB991" w14:textId="77777777" w:rsidR="00286600" w:rsidRPr="00E75BB6" w:rsidRDefault="007C71A9" w:rsidP="00D440B7">
                <w:pPr>
                  <w:autoSpaceDE w:val="0"/>
                  <w:autoSpaceDN w:val="0"/>
                  <w:adjustRightInd w:val="0"/>
                  <w:ind w:left="369" w:hanging="369"/>
                  <w:rPr>
                    <w:i/>
                  </w:rPr>
                </w:pPr>
                <w:hyperlink r:id="rId20" w:history="1">
                  <w:r w:rsidR="00286600" w:rsidRPr="00E75BB6">
                    <w:rPr>
                      <w:rStyle w:val="Hyperlink"/>
                      <w:i/>
                    </w:rPr>
                    <w:t>Prohibition on Fishing (Coral, ‘Live Rock’ and Algae) Order 2007</w:t>
                  </w:r>
                </w:hyperlink>
              </w:p>
            </w:tc>
          </w:tr>
          <w:tr w:rsidR="00286600" w14:paraId="529B2235" w14:textId="77777777" w:rsidTr="008506DD">
            <w:trPr>
              <w:cnfStyle w:val="000000100000" w:firstRow="0" w:lastRow="0" w:firstColumn="0" w:lastColumn="0" w:oddVBand="0" w:evenVBand="0" w:oddHBand="1" w:evenHBand="0" w:firstRowFirstColumn="0" w:firstRowLastColumn="0" w:lastRowFirstColumn="0" w:lastRowLastColumn="0"/>
              <w:trHeight w:val="489"/>
              <w:jc w:val="center"/>
            </w:trPr>
            <w:tc>
              <w:tcPr>
                <w:tcW w:w="5000" w:type="pct"/>
                <w:gridSpan w:val="3"/>
                <w:shd w:val="clear" w:color="auto" w:fill="D9D9D9" w:themeFill="background1" w:themeFillShade="D9"/>
              </w:tcPr>
              <w:p w14:paraId="15860C86" w14:textId="77777777" w:rsidR="00286600" w:rsidRPr="00F11852" w:rsidRDefault="00286600" w:rsidP="00D440B7">
                <w:pPr>
                  <w:rPr>
                    <w:b/>
                  </w:rPr>
                </w:pPr>
                <w:r w:rsidRPr="00F11852">
                  <w:rPr>
                    <w:b/>
                  </w:rPr>
                  <w:t>FISHERY STATUS</w:t>
                </w:r>
              </w:p>
            </w:tc>
          </w:tr>
          <w:tr w:rsidR="00286600" w14:paraId="7EAC0B1B" w14:textId="77777777" w:rsidTr="008506DD">
            <w:trPr>
              <w:gridAfter w:val="1"/>
              <w:cnfStyle w:val="000000010000" w:firstRow="0" w:lastRow="0" w:firstColumn="0" w:lastColumn="0" w:oddVBand="0" w:evenVBand="0" w:oddHBand="0" w:evenHBand="1" w:firstRowFirstColumn="0" w:firstRowLastColumn="0" w:lastRowFirstColumn="0" w:lastRowLastColumn="0"/>
              <w:wAfter w:w="3" w:type="pct"/>
              <w:trHeight w:val="552"/>
              <w:jc w:val="center"/>
            </w:trPr>
            <w:tc>
              <w:tcPr>
                <w:tcW w:w="998" w:type="pct"/>
              </w:tcPr>
              <w:p w14:paraId="247C2791" w14:textId="77777777" w:rsidR="00286600" w:rsidRPr="00F11852" w:rsidRDefault="00286600" w:rsidP="00D440B7">
                <w:pPr>
                  <w:rPr>
                    <w:b/>
                  </w:rPr>
                </w:pPr>
                <w:r w:rsidRPr="00F11852">
                  <w:rPr>
                    <w:b/>
                  </w:rPr>
                  <w:t>Annual report</w:t>
                </w:r>
              </w:p>
            </w:tc>
            <w:tc>
              <w:tcPr>
                <w:tcW w:w="3999" w:type="pct"/>
              </w:tcPr>
              <w:p w14:paraId="10C3076E" w14:textId="77777777" w:rsidR="00286600" w:rsidRDefault="00286600" w:rsidP="00D440B7">
                <w:pPr>
                  <w:rPr>
                    <w:rStyle w:val="Hyperlink"/>
                    <w:color w:val="auto"/>
                  </w:rPr>
                </w:pPr>
                <w:r w:rsidRPr="006D368C">
                  <w:t xml:space="preserve">Page </w:t>
                </w:r>
                <w:r>
                  <w:t>252</w:t>
                </w:r>
                <w:r w:rsidRPr="006D368C">
                  <w:t xml:space="preserve"> of </w:t>
                </w:r>
                <w:r>
                  <w:t xml:space="preserve">the </w:t>
                </w:r>
                <w:hyperlink r:id="rId21" w:history="1">
                  <w:r w:rsidRPr="00736728">
                    <w:rPr>
                      <w:rStyle w:val="Hyperlink"/>
                      <w:i/>
                      <w:iCs/>
                    </w:rPr>
                    <w:t>Status Reports of the Fisheries and Aquatic Resources of Western Australia 2020-21</w:t>
                  </w:r>
                </w:hyperlink>
                <w:r w:rsidRPr="0095077B">
                  <w:rPr>
                    <w:rStyle w:val="Hyperlink"/>
                    <w:color w:val="auto"/>
                  </w:rPr>
                  <w:t xml:space="preserve"> (SRFAR)</w:t>
                </w:r>
                <w:r>
                  <w:rPr>
                    <w:rStyle w:val="Hyperlink"/>
                    <w:color w:val="auto"/>
                  </w:rPr>
                  <w:t>.</w:t>
                </w:r>
              </w:p>
              <w:p w14:paraId="291361C5" w14:textId="77777777" w:rsidR="00286600" w:rsidRDefault="00286600" w:rsidP="00D440B7"/>
              <w:p w14:paraId="4A06B71F" w14:textId="64E5A0DD" w:rsidR="00286600" w:rsidRPr="006D368C" w:rsidRDefault="00286600" w:rsidP="00D440B7">
                <w:r>
                  <w:t xml:space="preserve">Previous years: </w:t>
                </w:r>
                <w:r>
                  <w:br/>
                </w:r>
                <w:hyperlink r:id="rId22" w:history="1">
                  <w:r w:rsidRPr="00AD7BF8">
                    <w:rPr>
                      <w:rStyle w:val="Hyperlink"/>
                    </w:rPr>
                    <w:t>http://www.fish.wa.gov.au/About-Us/Publications/Pages/State-of-the-Fisheries-report.aspx</w:t>
                  </w:r>
                </w:hyperlink>
                <w:r>
                  <w:t xml:space="preserve"> </w:t>
                </w:r>
              </w:p>
            </w:tc>
          </w:tr>
          <w:tr w:rsidR="00286600" w14:paraId="4B815694" w14:textId="77777777" w:rsidTr="008506DD">
            <w:trPr>
              <w:gridAfter w:val="1"/>
              <w:cnfStyle w:val="000000100000" w:firstRow="0" w:lastRow="0" w:firstColumn="0" w:lastColumn="0" w:oddVBand="0" w:evenVBand="0" w:oddHBand="1" w:evenHBand="0" w:firstRowFirstColumn="0" w:firstRowLastColumn="0" w:lastRowFirstColumn="0" w:lastRowLastColumn="0"/>
              <w:wAfter w:w="3" w:type="pct"/>
              <w:trHeight w:val="756"/>
              <w:jc w:val="center"/>
            </w:trPr>
            <w:tc>
              <w:tcPr>
                <w:tcW w:w="998" w:type="pct"/>
              </w:tcPr>
              <w:p w14:paraId="29330BC3" w14:textId="77777777" w:rsidR="00286600" w:rsidRPr="00F11852" w:rsidRDefault="00286600" w:rsidP="00D440B7">
                <w:pPr>
                  <w:rPr>
                    <w:b/>
                  </w:rPr>
                </w:pPr>
                <w:r w:rsidRPr="00E27C44">
                  <w:rPr>
                    <w:b/>
                  </w:rPr>
                  <w:t>Stock assessment</w:t>
                </w:r>
              </w:p>
            </w:tc>
            <w:tc>
              <w:tcPr>
                <w:tcW w:w="3999" w:type="pct"/>
              </w:tcPr>
              <w:p w14:paraId="2657028C" w14:textId="77777777" w:rsidR="00286600" w:rsidRDefault="00286600" w:rsidP="00D440B7">
                <w:r>
                  <w:t>Due to the large number of species captured in the MAFMF, and the relatively low numbers per species, traditional stock assessments are not undertaken. Catches at the lowest taxonomic level are annually monitored based on fisher returns (Newman et al. 2022).</w:t>
                </w:r>
              </w:p>
              <w:p w14:paraId="73096C01" w14:textId="77777777" w:rsidR="00286600" w:rsidRPr="00884BF4" w:rsidRDefault="00286600" w:rsidP="00D440B7">
                <w:pPr>
                  <w:rPr>
                    <w:iCs/>
                  </w:rPr>
                </w:pPr>
                <w:r>
                  <w:rPr>
                    <w:iCs/>
                  </w:rPr>
                  <w:t xml:space="preserve">The level of catch of all species on an individual basis is low </w:t>
                </w:r>
                <w:r w:rsidRPr="00884BF4">
                  <w:rPr>
                    <w:iCs/>
                  </w:rPr>
                  <w:t>given the spatial extent of their distribution and the spatial extent of the fishery</w:t>
                </w:r>
                <w:r>
                  <w:rPr>
                    <w:iCs/>
                  </w:rPr>
                  <w:t xml:space="preserve">. Furthermore, for many species the </w:t>
                </w:r>
                <w:r w:rsidRPr="00884BF4">
                  <w:rPr>
                    <w:iCs/>
                  </w:rPr>
                  <w:t xml:space="preserve">extensive Kimberley area </w:t>
                </w:r>
                <w:r>
                  <w:rPr>
                    <w:iCs/>
                  </w:rPr>
                  <w:t xml:space="preserve">is a refuge given it </w:t>
                </w:r>
                <w:r w:rsidRPr="00884BF4">
                  <w:rPr>
                    <w:iCs/>
                  </w:rPr>
                  <w:t xml:space="preserve">has a </w:t>
                </w:r>
                <w:r>
                  <w:rPr>
                    <w:iCs/>
                  </w:rPr>
                  <w:t xml:space="preserve">very </w:t>
                </w:r>
                <w:r w:rsidRPr="00884BF4">
                  <w:rPr>
                    <w:iCs/>
                  </w:rPr>
                  <w:t xml:space="preserve">negligible </w:t>
                </w:r>
                <w:r>
                  <w:rPr>
                    <w:iCs/>
                  </w:rPr>
                  <w:t xml:space="preserve">level of </w:t>
                </w:r>
                <w:r w:rsidRPr="00884BF4">
                  <w:rPr>
                    <w:iCs/>
                  </w:rPr>
                  <w:t>harvest</w:t>
                </w:r>
                <w:r>
                  <w:rPr>
                    <w:iCs/>
                  </w:rPr>
                  <w:t>.</w:t>
                </w:r>
              </w:p>
            </w:tc>
          </w:tr>
          <w:tr w:rsidR="00286600" w14:paraId="4CCCB9E1" w14:textId="77777777" w:rsidTr="008506DD">
            <w:trPr>
              <w:gridAfter w:val="1"/>
              <w:cnfStyle w:val="000000010000" w:firstRow="0" w:lastRow="0" w:firstColumn="0" w:lastColumn="0" w:oddVBand="0" w:evenVBand="0" w:oddHBand="0" w:evenHBand="1" w:firstRowFirstColumn="0" w:firstRowLastColumn="0" w:lastRowFirstColumn="0" w:lastRowLastColumn="0"/>
              <w:wAfter w:w="3" w:type="pct"/>
              <w:trHeight w:val="1067"/>
              <w:jc w:val="center"/>
            </w:trPr>
            <w:tc>
              <w:tcPr>
                <w:tcW w:w="998" w:type="pct"/>
              </w:tcPr>
              <w:p w14:paraId="3BE33B1E" w14:textId="77777777" w:rsidR="00286600" w:rsidRPr="00F11852" w:rsidRDefault="00286600" w:rsidP="00D440B7">
                <w:pPr>
                  <w:rPr>
                    <w:b/>
                  </w:rPr>
                </w:pPr>
                <w:r w:rsidRPr="00F11852">
                  <w:rPr>
                    <w:b/>
                  </w:rPr>
                  <w:t>Ecological risk assessment</w:t>
                </w:r>
              </w:p>
            </w:tc>
            <w:tc>
              <w:tcPr>
                <w:tcW w:w="3999" w:type="pct"/>
              </w:tcPr>
              <w:p w14:paraId="175FAF17" w14:textId="205AB8D2" w:rsidR="00286600" w:rsidRPr="00E75BB6" w:rsidRDefault="00E45538" w:rsidP="00D440B7">
                <w:pPr>
                  <w:rPr>
                    <w:iCs/>
                  </w:rPr>
                </w:pPr>
                <w:r>
                  <w:rPr>
                    <w:iCs/>
                  </w:rPr>
                  <w:t>Recently complete</w:t>
                </w:r>
                <w:r w:rsidR="001D3AF9">
                  <w:rPr>
                    <w:iCs/>
                  </w:rPr>
                  <w:t>d</w:t>
                </w:r>
                <w:r>
                  <w:rPr>
                    <w:iCs/>
                  </w:rPr>
                  <w:t xml:space="preserve">. Available on the DPIRD website or upon request. </w:t>
                </w:r>
                <w:r w:rsidR="00286600">
                  <w:rPr>
                    <w:iCs/>
                  </w:rPr>
                  <w:t xml:space="preserve"> </w:t>
                </w:r>
              </w:p>
            </w:tc>
          </w:tr>
          <w:tr w:rsidR="00286600" w14:paraId="5ECBB794" w14:textId="77777777" w:rsidTr="008506DD">
            <w:trPr>
              <w:cnfStyle w:val="000000100000" w:firstRow="0" w:lastRow="0" w:firstColumn="0" w:lastColumn="0" w:oddVBand="0" w:evenVBand="0" w:oddHBand="1" w:evenHBand="0" w:firstRowFirstColumn="0" w:firstRowLastColumn="0" w:lastRowFirstColumn="0" w:lastRowLastColumn="0"/>
              <w:trHeight w:val="474"/>
              <w:jc w:val="center"/>
            </w:trPr>
            <w:tc>
              <w:tcPr>
                <w:tcW w:w="5000" w:type="pct"/>
                <w:gridSpan w:val="3"/>
                <w:shd w:val="clear" w:color="auto" w:fill="D9D9D9" w:themeFill="background1" w:themeFillShade="D9"/>
              </w:tcPr>
              <w:p w14:paraId="6503D33D" w14:textId="77777777" w:rsidR="00286600" w:rsidRPr="00F11852" w:rsidRDefault="00286600" w:rsidP="00D440B7">
                <w:pPr>
                  <w:rPr>
                    <w:b/>
                  </w:rPr>
                </w:pPr>
                <w:r w:rsidRPr="00C0114B">
                  <w:rPr>
                    <w:b/>
                  </w:rPr>
                  <w:t>SPECIES</w:t>
                </w:r>
              </w:p>
            </w:tc>
          </w:tr>
          <w:tr w:rsidR="00286600" w14:paraId="7FC9A735" w14:textId="77777777" w:rsidTr="008506DD">
            <w:trPr>
              <w:gridAfter w:val="1"/>
              <w:cnfStyle w:val="000000010000" w:firstRow="0" w:lastRow="0" w:firstColumn="0" w:lastColumn="0" w:oddVBand="0" w:evenVBand="0" w:oddHBand="0" w:evenHBand="1" w:firstRowFirstColumn="0" w:firstRowLastColumn="0" w:lastRowFirstColumn="0" w:lastRowLastColumn="0"/>
              <w:wAfter w:w="3" w:type="pct"/>
              <w:trHeight w:val="1706"/>
              <w:jc w:val="center"/>
            </w:trPr>
            <w:tc>
              <w:tcPr>
                <w:tcW w:w="998" w:type="pct"/>
              </w:tcPr>
              <w:p w14:paraId="484EA299" w14:textId="77777777" w:rsidR="00286600" w:rsidRPr="00F11852" w:rsidRDefault="00286600" w:rsidP="00D440B7">
                <w:pPr>
                  <w:rPr>
                    <w:b/>
                  </w:rPr>
                </w:pPr>
                <w:r w:rsidRPr="00F11852">
                  <w:rPr>
                    <w:b/>
                  </w:rPr>
                  <w:lastRenderedPageBreak/>
                  <w:t>Target species</w:t>
                </w:r>
              </w:p>
            </w:tc>
            <w:tc>
              <w:tcPr>
                <w:tcW w:w="3999" w:type="pct"/>
              </w:tcPr>
              <w:p w14:paraId="0BC0AEC3" w14:textId="77777777" w:rsidR="00286600" w:rsidRDefault="00286600" w:rsidP="00D440B7">
                <w:pPr>
                  <w:rPr>
                    <w:highlight w:val="yellow"/>
                  </w:rPr>
                </w:pPr>
                <w:r w:rsidRPr="004D0BC4">
                  <w:t xml:space="preserve">The </w:t>
                </w:r>
                <w:r>
                  <w:t>MAFMF</w:t>
                </w:r>
                <w:r w:rsidRPr="004D0BC4">
                  <w:t xml:space="preserve"> is a multi-species fishery </w:t>
                </w:r>
                <w:r>
                  <w:t xml:space="preserve">which has the capacity to target more than 1500 marine aquarium species under the </w:t>
                </w:r>
                <w:r>
                  <w:rPr>
                    <w:i/>
                    <w:iCs/>
                  </w:rPr>
                  <w:t xml:space="preserve">Marine Aquarium Fish Managed Fishery Management Plan 2018 </w:t>
                </w:r>
                <w:r>
                  <w:t xml:space="preserve">and other subsidiary legislation under the </w:t>
                </w:r>
                <w:r>
                  <w:rPr>
                    <w:i/>
                    <w:iCs/>
                  </w:rPr>
                  <w:t xml:space="preserve">Fish Resources Management Act 1994. </w:t>
                </w:r>
                <w:r>
                  <w:t>In practice, the MAFMF</w:t>
                </w:r>
                <w:r w:rsidRPr="004D0BC4">
                  <w:t xml:space="preserve"> lands in excess of </w:t>
                </w:r>
                <w:r>
                  <w:t xml:space="preserve">250 </w:t>
                </w:r>
                <w:r w:rsidRPr="004D0BC4">
                  <w:t>species</w:t>
                </w:r>
                <w:r>
                  <w:t xml:space="preserve"> for sale as live specimens to the aquarium trade or as </w:t>
                </w:r>
                <w:proofErr w:type="spellStart"/>
                <w:r>
                  <w:t>broodstock</w:t>
                </w:r>
                <w:proofErr w:type="spellEnd"/>
                <w:r>
                  <w:t xml:space="preserve"> for aquaculture operations. </w:t>
                </w:r>
                <w:r w:rsidRPr="00B0585A">
                  <w:t xml:space="preserve">Targeted species include fish (including </w:t>
                </w:r>
                <w:r>
                  <w:t>teleost and elasmobranchs</w:t>
                </w:r>
                <w:r w:rsidRPr="00B0585A">
                  <w:t xml:space="preserve">), hard and soft corals, and a range of other invertebrate and plant species. </w:t>
                </w:r>
              </w:p>
              <w:p w14:paraId="79FD26E2" w14:textId="77777777" w:rsidR="00286600" w:rsidRPr="00EF3DBA" w:rsidRDefault="00286600" w:rsidP="00D440B7">
                <w:pPr>
                  <w:rPr>
                    <w:highlight w:val="yellow"/>
                  </w:rPr>
                </w:pPr>
              </w:p>
            </w:tc>
          </w:tr>
          <w:tr w:rsidR="00286600" w14:paraId="47E9C140" w14:textId="77777777" w:rsidTr="008506DD">
            <w:trPr>
              <w:gridAfter w:val="1"/>
              <w:cnfStyle w:val="000000100000" w:firstRow="0" w:lastRow="0" w:firstColumn="0" w:lastColumn="0" w:oddVBand="0" w:evenVBand="0" w:oddHBand="1" w:evenHBand="0" w:firstRowFirstColumn="0" w:firstRowLastColumn="0" w:lastRowFirstColumn="0" w:lastRowLastColumn="0"/>
              <w:wAfter w:w="3" w:type="pct"/>
              <w:trHeight w:val="1052"/>
              <w:jc w:val="center"/>
            </w:trPr>
            <w:tc>
              <w:tcPr>
                <w:tcW w:w="998" w:type="pct"/>
              </w:tcPr>
              <w:p w14:paraId="762086E0" w14:textId="77777777" w:rsidR="00286600" w:rsidRPr="00F11852" w:rsidRDefault="00286600" w:rsidP="00D440B7">
                <w:pPr>
                  <w:rPr>
                    <w:b/>
                  </w:rPr>
                </w:pPr>
                <w:r w:rsidRPr="00F11852">
                  <w:rPr>
                    <w:b/>
                  </w:rPr>
                  <w:t>Byproduct species (retained)</w:t>
                </w:r>
              </w:p>
            </w:tc>
            <w:tc>
              <w:tcPr>
                <w:tcW w:w="3999" w:type="pct"/>
              </w:tcPr>
              <w:p w14:paraId="58E32B7F" w14:textId="77777777" w:rsidR="00286600" w:rsidRPr="002357C6" w:rsidRDefault="00286600" w:rsidP="00D440B7">
                <w:r w:rsidRPr="002357C6">
                  <w:t xml:space="preserve">Due to the highly selective nature of the </w:t>
                </w:r>
                <w:r w:rsidRPr="008B2B16">
                  <w:t>hand collecting method used by the MAF</w:t>
                </w:r>
                <w:r>
                  <w:t>MF,</w:t>
                </w:r>
                <w:r w:rsidRPr="008B2B16">
                  <w:t xml:space="preserve"> </w:t>
                </w:r>
                <w:r w:rsidRPr="002357C6">
                  <w:t xml:space="preserve">there </w:t>
                </w:r>
                <w:r>
                  <w:t>is</w:t>
                </w:r>
                <w:r w:rsidRPr="002357C6">
                  <w:t xml:space="preserve"> no </w:t>
                </w:r>
                <w:r>
                  <w:t>incidental capture of non-target</w:t>
                </w:r>
                <w:r w:rsidRPr="002357C6">
                  <w:t xml:space="preserve"> species.</w:t>
                </w:r>
                <w:r>
                  <w:t xml:space="preserve">  All captured species are retained.</w:t>
                </w:r>
              </w:p>
              <w:p w14:paraId="1E08852D" w14:textId="77777777" w:rsidR="00286600" w:rsidRPr="00EF3DBA" w:rsidRDefault="00286600" w:rsidP="00D440B7">
                <w:pPr>
                  <w:rPr>
                    <w:highlight w:val="yellow"/>
                  </w:rPr>
                </w:pPr>
              </w:p>
            </w:tc>
          </w:tr>
          <w:tr w:rsidR="00286600" w14:paraId="643D9735" w14:textId="77777777" w:rsidTr="008506DD">
            <w:trPr>
              <w:gridAfter w:val="1"/>
              <w:cnfStyle w:val="000000010000" w:firstRow="0" w:lastRow="0" w:firstColumn="0" w:lastColumn="0" w:oddVBand="0" w:evenVBand="0" w:oddHBand="0" w:evenHBand="1" w:firstRowFirstColumn="0" w:firstRowLastColumn="0" w:lastRowFirstColumn="0" w:lastRowLastColumn="0"/>
              <w:wAfter w:w="3" w:type="pct"/>
              <w:trHeight w:val="1334"/>
              <w:jc w:val="center"/>
            </w:trPr>
            <w:tc>
              <w:tcPr>
                <w:tcW w:w="998" w:type="pct"/>
              </w:tcPr>
              <w:p w14:paraId="6DA78D0A" w14:textId="77777777" w:rsidR="00286600" w:rsidRPr="00F11852" w:rsidRDefault="00286600" w:rsidP="00D440B7">
                <w:pPr>
                  <w:rPr>
                    <w:b/>
                  </w:rPr>
                </w:pPr>
                <w:r w:rsidRPr="00F11852">
                  <w:rPr>
                    <w:b/>
                  </w:rPr>
                  <w:t>Bycatch species (non-retained)</w:t>
                </w:r>
              </w:p>
            </w:tc>
            <w:tc>
              <w:tcPr>
                <w:tcW w:w="3999" w:type="pct"/>
              </w:tcPr>
              <w:p w14:paraId="4FDA9BD6" w14:textId="77777777" w:rsidR="00286600" w:rsidRPr="002357C6" w:rsidRDefault="00286600" w:rsidP="00D440B7">
                <w:r w:rsidRPr="002357C6">
                  <w:t xml:space="preserve">Due to the highly selective nature of the </w:t>
                </w:r>
                <w:r w:rsidRPr="008B2B16">
                  <w:t>hand collecting method used by the MAF</w:t>
                </w:r>
                <w:r>
                  <w:t>MF,</w:t>
                </w:r>
                <w:r w:rsidRPr="008B2B16">
                  <w:t xml:space="preserve"> </w:t>
                </w:r>
                <w:r w:rsidRPr="002357C6">
                  <w:t xml:space="preserve">there </w:t>
                </w:r>
                <w:r>
                  <w:t>is</w:t>
                </w:r>
                <w:r w:rsidRPr="002357C6">
                  <w:t xml:space="preserve"> no </w:t>
                </w:r>
                <w:r>
                  <w:t>incidental capture of non-target</w:t>
                </w:r>
                <w:r w:rsidRPr="002357C6">
                  <w:t xml:space="preserve"> species.</w:t>
                </w:r>
                <w:r>
                  <w:t xml:space="preserve">  All captured species are retained.</w:t>
                </w:r>
              </w:p>
              <w:p w14:paraId="10994D77" w14:textId="77777777" w:rsidR="00286600" w:rsidRPr="00EF3DBA" w:rsidRDefault="00286600" w:rsidP="00D440B7">
                <w:pPr>
                  <w:rPr>
                    <w:i/>
                    <w:highlight w:val="yellow"/>
                  </w:rPr>
                </w:pPr>
              </w:p>
            </w:tc>
          </w:tr>
          <w:tr w:rsidR="00286600" w14:paraId="0A89EEFF" w14:textId="77777777" w:rsidTr="008506DD">
            <w:trPr>
              <w:gridAfter w:val="1"/>
              <w:cnfStyle w:val="000000100000" w:firstRow="0" w:lastRow="0" w:firstColumn="0" w:lastColumn="0" w:oddVBand="0" w:evenVBand="0" w:oddHBand="1" w:evenHBand="0" w:firstRowFirstColumn="0" w:firstRowLastColumn="0" w:lastRowFirstColumn="0" w:lastRowLastColumn="0"/>
              <w:wAfter w:w="3" w:type="pct"/>
              <w:trHeight w:val="770"/>
              <w:jc w:val="center"/>
            </w:trPr>
            <w:tc>
              <w:tcPr>
                <w:tcW w:w="998" w:type="pct"/>
              </w:tcPr>
              <w:p w14:paraId="29DEC950" w14:textId="77777777" w:rsidR="00286600" w:rsidRPr="00F11852" w:rsidRDefault="00286600" w:rsidP="00D440B7">
                <w:pPr>
                  <w:rPr>
                    <w:b/>
                  </w:rPr>
                </w:pPr>
                <w:r w:rsidRPr="00F11852">
                  <w:rPr>
                    <w:b/>
                  </w:rPr>
                  <w:t>Protected species</w:t>
                </w:r>
              </w:p>
            </w:tc>
            <w:tc>
              <w:tcPr>
                <w:tcW w:w="3999" w:type="pct"/>
              </w:tcPr>
              <w:p w14:paraId="62DDBB9B" w14:textId="77777777" w:rsidR="00286600" w:rsidRDefault="00286600" w:rsidP="00D440B7">
                <w:bookmarkStart w:id="1" w:name="_Hlk79060311"/>
                <w:r>
                  <w:t xml:space="preserve">In WA commercial </w:t>
                </w:r>
                <w:r w:rsidRPr="00AF1DEA">
                  <w:t xml:space="preserve">fishers </w:t>
                </w:r>
                <w:r>
                  <w:t>are</w:t>
                </w:r>
                <w:r w:rsidRPr="00AF1DEA">
                  <w:t xml:space="preserve"> required</w:t>
                </w:r>
                <w:r>
                  <w:t xml:space="preserve"> (s</w:t>
                </w:r>
                <w:r w:rsidRPr="00AF1DEA">
                  <w:t>ince 2005</w:t>
                </w:r>
                <w:r>
                  <w:t>/</w:t>
                </w:r>
                <w:r w:rsidRPr="00AF1DEA">
                  <w:t>06</w:t>
                </w:r>
                <w:r>
                  <w:t>)</w:t>
                </w:r>
                <w:r w:rsidRPr="00AF1DEA">
                  <w:t xml:space="preserve"> to report </w:t>
                </w:r>
                <w:r>
                  <w:t xml:space="preserve">any </w:t>
                </w:r>
                <w:r w:rsidRPr="00AF1DEA">
                  <w:t>interaction</w:t>
                </w:r>
                <w:r>
                  <w:t>s</w:t>
                </w:r>
                <w:r w:rsidRPr="00AF1DEA">
                  <w:t xml:space="preserve"> </w:t>
                </w:r>
                <w:r>
                  <w:t>with TEPS</w:t>
                </w:r>
                <w:r w:rsidRPr="00AF1DEA">
                  <w:t xml:space="preserve"> species in their statutory fishing returns</w:t>
                </w:r>
                <w:r w:rsidRPr="003638E7">
                  <w:t xml:space="preserve"> </w:t>
                </w:r>
                <w:r>
                  <w:t>that are lodged with the Department. The Department publishes a summary of all fishery-TEPS</w:t>
                </w:r>
                <w:r w:rsidRPr="00AF1DEA">
                  <w:t xml:space="preserve"> </w:t>
                </w:r>
                <w:r>
                  <w:t xml:space="preserve">interactions annually. </w:t>
                </w:r>
              </w:p>
              <w:p w14:paraId="6F731654" w14:textId="77777777" w:rsidR="00286600" w:rsidRDefault="00286600" w:rsidP="00D440B7">
                <w:pPr>
                  <w:rPr>
                    <w:rFonts w:cs="Arial"/>
                  </w:rPr>
                </w:pPr>
                <w:r w:rsidRPr="004B075C">
                  <w:rPr>
                    <w:rFonts w:cs="Arial"/>
                  </w:rPr>
                  <w:t xml:space="preserve">Numerous </w:t>
                </w:r>
                <w:r>
                  <w:t>TEPS</w:t>
                </w:r>
                <w:r w:rsidRPr="00AF1DEA">
                  <w:t xml:space="preserve"> </w:t>
                </w:r>
                <w:r w:rsidRPr="004B075C">
                  <w:rPr>
                    <w:rFonts w:cs="Arial"/>
                  </w:rPr>
                  <w:t xml:space="preserve">occur in WA waters, including marine reptiles (turtles, sea snakes, etc), marine mammals (whales, dolphins, sea lions, dugongs, etc), elasmobranchs (sharks, sawfish, rays), </w:t>
                </w:r>
                <w:proofErr w:type="spellStart"/>
                <w:r>
                  <w:rPr>
                    <w:rFonts w:cs="Arial"/>
                  </w:rPr>
                  <w:t>s</w:t>
                </w:r>
                <w:r w:rsidRPr="004B075C">
                  <w:rPr>
                    <w:rFonts w:cs="Arial"/>
                  </w:rPr>
                  <w:t>yngnathids</w:t>
                </w:r>
                <w:proofErr w:type="spellEnd"/>
                <w:r w:rsidRPr="004B075C">
                  <w:rPr>
                    <w:rFonts w:cs="Arial"/>
                  </w:rPr>
                  <w:t xml:space="preserve"> (seahorses</w:t>
                </w:r>
                <w:r>
                  <w:rPr>
                    <w:rFonts w:cs="Arial"/>
                  </w:rPr>
                  <w:t xml:space="preserve">, </w:t>
                </w:r>
                <w:proofErr w:type="spellStart"/>
                <w:r>
                  <w:rPr>
                    <w:rFonts w:cs="Arial"/>
                  </w:rPr>
                  <w:t>seadragons</w:t>
                </w:r>
                <w:proofErr w:type="spellEnd"/>
                <w:r>
                  <w:rPr>
                    <w:rFonts w:cs="Arial"/>
                  </w:rPr>
                  <w:t>,</w:t>
                </w:r>
                <w:r w:rsidRPr="004B075C">
                  <w:rPr>
                    <w:rFonts w:cs="Arial"/>
                  </w:rPr>
                  <w:t xml:space="preserve"> pipefish), </w:t>
                </w:r>
                <w:r>
                  <w:rPr>
                    <w:rFonts w:cs="Arial"/>
                  </w:rPr>
                  <w:t xml:space="preserve">invertebrates </w:t>
                </w:r>
                <w:r w:rsidRPr="00E7472E">
                  <w:rPr>
                    <w:rFonts w:cs="Arial"/>
                  </w:rPr>
                  <w:t>(hard corals, giant clams, etc), seabirds and migratory shorebirds.  These species are protected by various international agreements and by national and state legislation.</w:t>
                </w:r>
              </w:p>
              <w:p w14:paraId="2D2C795F" w14:textId="77777777" w:rsidR="00286600" w:rsidRPr="00E7472E" w:rsidRDefault="00286600" w:rsidP="00D440B7">
                <w:pPr>
                  <w:rPr>
                    <w:rFonts w:cs="Arial"/>
                  </w:rPr>
                </w:pPr>
                <w:r>
                  <w:rPr>
                    <w:rFonts w:cs="Arial"/>
                  </w:rPr>
                  <w:t>There are no reported TEPS interactions with the MAFMF.</w:t>
                </w:r>
                <w:r w:rsidRPr="00E7472E">
                  <w:rPr>
                    <w:rFonts w:cs="Arial"/>
                  </w:rPr>
                  <w:t xml:space="preserve"> </w:t>
                </w:r>
              </w:p>
              <w:p w14:paraId="1E38F7DF" w14:textId="77777777" w:rsidR="00286600" w:rsidRPr="009F54D3" w:rsidRDefault="00286600" w:rsidP="00D440B7">
                <w:pPr>
                  <w:rPr>
                    <w:rFonts w:cs="Arial"/>
                  </w:rPr>
                </w:pPr>
                <w:r w:rsidRPr="00E7472E">
                  <w:rPr>
                    <w:rFonts w:cs="Arial"/>
                  </w:rPr>
                  <w:t>The MAFMF is permitted under national and state legislation to harvest hard coral, giant clam</w:t>
                </w:r>
                <w:r>
                  <w:rPr>
                    <w:rFonts w:cs="Arial"/>
                  </w:rPr>
                  <w:t>s</w:t>
                </w:r>
                <w:r w:rsidRPr="00E7472E">
                  <w:rPr>
                    <w:rFonts w:cs="Arial"/>
                  </w:rPr>
                  <w:t xml:space="preserve"> and seahorse species, which are protected species listed under the EPBC Act and under CITES Appendix II. </w:t>
                </w:r>
                <w:bookmarkEnd w:id="1"/>
              </w:p>
            </w:tc>
          </w:tr>
        </w:tbl>
        <w:p w14:paraId="5529ED5B" w14:textId="4483985F" w:rsidR="004D4051" w:rsidRDefault="004D4051" w:rsidP="004D4051"/>
        <w:p w14:paraId="077945F6" w14:textId="527DB2DA" w:rsidR="004D4051" w:rsidRDefault="004D4051" w:rsidP="004D4051"/>
        <w:p w14:paraId="3B432FC9" w14:textId="1B8CFCA7" w:rsidR="004D4051" w:rsidRDefault="004D4051" w:rsidP="004D4051"/>
        <w:p w14:paraId="0AC542DA" w14:textId="4CA250CE" w:rsidR="004D4051" w:rsidRDefault="004D4051" w:rsidP="004D4051"/>
        <w:p w14:paraId="0A02BDBD" w14:textId="2635B967" w:rsidR="004D4051" w:rsidRDefault="004D4051" w:rsidP="004D4051"/>
        <w:p w14:paraId="761671AB" w14:textId="56139160" w:rsidR="004D4051" w:rsidRDefault="004D4051" w:rsidP="004D4051"/>
        <w:p w14:paraId="432E5550" w14:textId="638BA94A" w:rsidR="004D4051" w:rsidRDefault="004D4051" w:rsidP="004D4051"/>
        <w:p w14:paraId="7FEA63CE" w14:textId="5E03D390" w:rsidR="004D4051" w:rsidRDefault="004D4051" w:rsidP="004D4051"/>
        <w:p w14:paraId="53D833B9" w14:textId="221BF911" w:rsidR="004D4051" w:rsidRPr="0064276F" w:rsidRDefault="002B48C6" w:rsidP="002B48C6">
          <w:r>
            <w:rPr>
              <w:noProof/>
              <w:lang w:eastAsia="en-AU"/>
            </w:rPr>
            <w:lastRenderedPageBreak/>
            <w:drawing>
              <wp:inline distT="0" distB="0" distL="0" distR="0" wp14:anchorId="262EBDF2" wp14:editId="6A39AC4D">
                <wp:extent cx="4219575" cy="5972175"/>
                <wp:effectExtent l="0" t="0" r="9525" b="9525"/>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23"/>
                        <a:stretch>
                          <a:fillRect/>
                        </a:stretch>
                      </pic:blipFill>
                      <pic:spPr>
                        <a:xfrm>
                          <a:off x="0" y="0"/>
                          <a:ext cx="4219575" cy="5972175"/>
                        </a:xfrm>
                        <a:prstGeom prst="rect">
                          <a:avLst/>
                        </a:prstGeom>
                      </pic:spPr>
                    </pic:pic>
                  </a:graphicData>
                </a:graphic>
              </wp:inline>
            </w:drawing>
          </w:r>
        </w:p>
        <w:p w14:paraId="6F74DF21" w14:textId="77777777" w:rsidR="004D4051" w:rsidRPr="00F52409" w:rsidRDefault="004D4051" w:rsidP="004D4051">
          <w:pPr>
            <w:spacing w:after="0" w:line="240" w:lineRule="auto"/>
            <w:rPr>
              <w:lang w:eastAsia="en-AU"/>
            </w:rPr>
          </w:pPr>
          <w:r w:rsidRPr="00840C06">
            <w:rPr>
              <w:b/>
              <w:lang w:eastAsia="en-AU"/>
            </w:rPr>
            <w:t xml:space="preserve">Figure 1. </w:t>
          </w:r>
          <w:r w:rsidRPr="00C27E86">
            <w:rPr>
              <w:lang w:eastAsia="en-AU"/>
            </w:rPr>
            <w:t xml:space="preserve">Boundaries of the </w:t>
          </w:r>
          <w:r>
            <w:rPr>
              <w:lang w:eastAsia="en-AU"/>
            </w:rPr>
            <w:t>Marine Aquarium Fish Managed Fishery</w:t>
          </w:r>
          <w:r w:rsidRPr="00C27E86">
            <w:rPr>
              <w:lang w:eastAsia="en-AU"/>
            </w:rPr>
            <w:t xml:space="preserve"> (source: WA DPIRD</w:t>
          </w:r>
          <w:r>
            <w:rPr>
              <w:lang w:eastAsia="en-AU"/>
            </w:rPr>
            <w:t>)</w:t>
          </w:r>
          <w:r w:rsidRPr="00B90EF3">
            <w:rPr>
              <w:lang w:eastAsia="en-AU"/>
            </w:rPr>
            <w:t>.</w:t>
          </w:r>
        </w:p>
        <w:p w14:paraId="44439340" w14:textId="65FA6FB4" w:rsidR="004D4051" w:rsidRDefault="004D4051" w:rsidP="00553907">
          <w:pPr>
            <w:pStyle w:val="Heading2"/>
          </w:pPr>
        </w:p>
        <w:p w14:paraId="56EA9A56" w14:textId="11FA23FE" w:rsidR="00553907" w:rsidRDefault="00553907" w:rsidP="00553907">
          <w:pPr>
            <w:pStyle w:val="Heading2"/>
          </w:pPr>
          <w:r>
            <w:t>Contact</w:t>
          </w:r>
        </w:p>
        <w:p w14:paraId="012FBE5F" w14:textId="7DCFC13B" w:rsidR="00553907" w:rsidRDefault="002F35CD" w:rsidP="002B48C6">
          <w:pPr>
            <w:pStyle w:val="ListParagraph"/>
            <w:numPr>
              <w:ilvl w:val="0"/>
              <w:numId w:val="0"/>
            </w:numPr>
            <w:spacing w:before="0" w:after="0" w:line="240" w:lineRule="auto"/>
            <w:ind w:left="720"/>
          </w:pPr>
          <w:r>
            <w:t>Amie Steele, Fisheries Management Officer –</w:t>
          </w:r>
          <w:r w:rsidR="003530B3">
            <w:t xml:space="preserve"> (08)</w:t>
          </w:r>
          <w:r>
            <w:t xml:space="preserve"> 6551 4332 or </w:t>
          </w:r>
          <w:hyperlink r:id="rId24" w:history="1">
            <w:r w:rsidRPr="00A340EA">
              <w:rPr>
                <w:rStyle w:val="Hyperlink"/>
              </w:rPr>
              <w:t>amie.steele@dpird.wa.gov.au</w:t>
            </w:r>
          </w:hyperlink>
          <w:r>
            <w:t xml:space="preserve"> </w:t>
          </w:r>
        </w:p>
        <w:p w14:paraId="624EE70F" w14:textId="2B091874" w:rsidR="00B81C43" w:rsidRDefault="007C71A9" w:rsidP="00896A4A">
          <w:pPr>
            <w:spacing w:after="120"/>
          </w:pPr>
        </w:p>
      </w:sdtContent>
    </w:sdt>
    <w:p w14:paraId="080303E1" w14:textId="2387FA10" w:rsidR="004E557B" w:rsidRPr="00B11101" w:rsidRDefault="004E557B" w:rsidP="004E557B">
      <w:pPr>
        <w:rPr>
          <w:sz w:val="22"/>
        </w:rPr>
      </w:pPr>
      <w:r w:rsidRPr="003E303D">
        <w:rPr>
          <w:rStyle w:val="Heading2Char"/>
        </w:rPr>
        <w:t>Important disclaimer</w:t>
      </w:r>
      <w:r>
        <w:rPr>
          <w:rStyle w:val="Emphasis"/>
        </w:rPr>
        <w:br/>
      </w:r>
      <w:r w:rsidRPr="00B11101">
        <w:rPr>
          <w:sz w:val="22"/>
        </w:rPr>
        <w:t xml:space="preserve">The Chief Executive Officer of the Department of </w:t>
      </w:r>
      <w:r w:rsidR="003A5F25">
        <w:rPr>
          <w:sz w:val="22"/>
        </w:rPr>
        <w:t>Primary Industries and Regional Development and the State of Western Australia</w:t>
      </w:r>
      <w:r w:rsidRPr="00B11101">
        <w:rPr>
          <w:sz w:val="22"/>
        </w:rPr>
        <w:t xml:space="preserve"> accept no liability whatsoever by reason of negligence or otherwise arising from the use or release of this information or any part of it.</w:t>
      </w:r>
    </w:p>
    <w:p w14:paraId="76B88D3A" w14:textId="25099D4A" w:rsidR="004E557B" w:rsidRPr="00660469" w:rsidRDefault="003A5F25" w:rsidP="004E557B">
      <w:pPr>
        <w:rPr>
          <w:bCs/>
          <w:color w:val="595959" w:themeColor="text1" w:themeTint="A6"/>
          <w:sz w:val="22"/>
        </w:rPr>
      </w:pPr>
      <w:r>
        <w:rPr>
          <w:b/>
          <w:bCs/>
          <w:color w:val="595959" w:themeColor="text1" w:themeTint="A6"/>
          <w:sz w:val="22"/>
        </w:rPr>
        <w:t xml:space="preserve">Copyright </w:t>
      </w:r>
      <w:r w:rsidR="00D63261" w:rsidRPr="00D63261">
        <w:rPr>
          <w:b/>
          <w:bCs/>
          <w:color w:val="595959" w:themeColor="text1" w:themeTint="A6"/>
          <w:sz w:val="22"/>
        </w:rPr>
        <w:t>© Department of Primary Industries</w:t>
      </w:r>
      <w:r>
        <w:rPr>
          <w:b/>
          <w:bCs/>
          <w:color w:val="595959" w:themeColor="text1" w:themeTint="A6"/>
          <w:sz w:val="22"/>
        </w:rPr>
        <w:t xml:space="preserve"> and Regional Development, </w:t>
      </w:r>
      <w:r w:rsidR="006632E4">
        <w:rPr>
          <w:b/>
          <w:bCs/>
          <w:color w:val="595959" w:themeColor="text1" w:themeTint="A6"/>
          <w:sz w:val="22"/>
        </w:rPr>
        <w:t>2022</w:t>
      </w:r>
    </w:p>
    <w:sectPr w:rsidR="004E557B" w:rsidRPr="00660469" w:rsidSect="00694EBD">
      <w:footerReference w:type="default" r:id="rId25"/>
      <w:headerReference w:type="first" r:id="rId26"/>
      <w:type w:val="continuous"/>
      <w:pgSz w:w="11906" w:h="16838" w:code="9"/>
      <w:pgMar w:top="1134" w:right="1274" w:bottom="720" w:left="1304"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5E78" w14:textId="77777777" w:rsidR="00C97223" w:rsidRDefault="00C97223" w:rsidP="00337B8D">
      <w:pPr>
        <w:spacing w:after="0" w:line="240" w:lineRule="auto"/>
      </w:pPr>
      <w:r>
        <w:separator/>
      </w:r>
    </w:p>
  </w:endnote>
  <w:endnote w:type="continuationSeparator" w:id="0">
    <w:p w14:paraId="084027B6" w14:textId="77777777" w:rsidR="00C97223" w:rsidRDefault="00C97223"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48191"/>
      <w:docPartObj>
        <w:docPartGallery w:val="Page Numbers (Bottom of Page)"/>
        <w:docPartUnique/>
      </w:docPartObj>
    </w:sdtPr>
    <w:sdtEndPr/>
    <w:sdtContent>
      <w:sdt>
        <w:sdtPr>
          <w:id w:val="860082579"/>
          <w:docPartObj>
            <w:docPartGallery w:val="Page Numbers (Top of Page)"/>
            <w:docPartUnique/>
          </w:docPartObj>
        </w:sdtPr>
        <w:sdtEndPr/>
        <w:sdtContent>
          <w:p w14:paraId="15BD014A" w14:textId="2A1570A9" w:rsidR="00190A81" w:rsidRPr="00190A81" w:rsidRDefault="004E557B" w:rsidP="005D454D">
            <w:pPr>
              <w:pStyle w:val="Footer"/>
              <w:jc w:val="right"/>
            </w:pPr>
            <w:r w:rsidRPr="005D454D">
              <w:rPr>
                <w:sz w:val="22"/>
              </w:rPr>
              <w:t xml:space="preserve">Page </w:t>
            </w:r>
            <w:r w:rsidRPr="005D454D">
              <w:rPr>
                <w:sz w:val="22"/>
              </w:rPr>
              <w:fldChar w:fldCharType="begin"/>
            </w:r>
            <w:r w:rsidRPr="005D454D">
              <w:rPr>
                <w:sz w:val="22"/>
              </w:rPr>
              <w:instrText xml:space="preserve"> PAGE </w:instrText>
            </w:r>
            <w:r w:rsidRPr="005D454D">
              <w:rPr>
                <w:sz w:val="22"/>
              </w:rPr>
              <w:fldChar w:fldCharType="separate"/>
            </w:r>
            <w:r w:rsidR="00991C06">
              <w:rPr>
                <w:noProof/>
                <w:sz w:val="22"/>
              </w:rPr>
              <w:t>9</w:t>
            </w:r>
            <w:r w:rsidRPr="005D454D">
              <w:rPr>
                <w:sz w:val="22"/>
              </w:rPr>
              <w:fldChar w:fldCharType="end"/>
            </w:r>
            <w:r w:rsidRPr="005D454D">
              <w:rPr>
                <w:sz w:val="22"/>
              </w:rPr>
              <w:t xml:space="preserve"> of </w:t>
            </w:r>
            <w:r w:rsidRPr="005D454D">
              <w:rPr>
                <w:sz w:val="22"/>
              </w:rPr>
              <w:fldChar w:fldCharType="begin"/>
            </w:r>
            <w:r w:rsidRPr="005D454D">
              <w:rPr>
                <w:sz w:val="22"/>
              </w:rPr>
              <w:instrText xml:space="preserve"> NUMPAGES  </w:instrText>
            </w:r>
            <w:r w:rsidRPr="005D454D">
              <w:rPr>
                <w:sz w:val="22"/>
              </w:rPr>
              <w:fldChar w:fldCharType="separate"/>
            </w:r>
            <w:r w:rsidR="00991C06">
              <w:rPr>
                <w:noProof/>
                <w:sz w:val="22"/>
              </w:rPr>
              <w:t>9</w:t>
            </w:r>
            <w:r w:rsidRPr="005D454D">
              <w:rPr>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F991" w14:textId="77777777" w:rsidR="00C97223" w:rsidRDefault="00C97223" w:rsidP="00337B8D">
      <w:pPr>
        <w:spacing w:after="0" w:line="240" w:lineRule="auto"/>
      </w:pPr>
      <w:r>
        <w:separator/>
      </w:r>
    </w:p>
  </w:footnote>
  <w:footnote w:type="continuationSeparator" w:id="0">
    <w:p w14:paraId="68856FE2" w14:textId="77777777" w:rsidR="00C97223" w:rsidRDefault="00C97223" w:rsidP="0033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FD0A" w14:textId="77777777" w:rsidR="00B07EE1" w:rsidRDefault="00CC0016">
    <w:pPr>
      <w:pStyle w:val="Header"/>
    </w:pPr>
    <w:r>
      <w:rPr>
        <w:noProof/>
        <w:lang w:eastAsia="en-AU"/>
      </w:rPr>
      <w:drawing>
        <wp:inline distT="0" distB="0" distL="0" distR="0" wp14:anchorId="555C58A3" wp14:editId="52C157A1">
          <wp:extent cx="2362200" cy="774192"/>
          <wp:effectExtent l="0" t="0" r="0" b="6985"/>
          <wp:docPr id="7" name="Picture 7" descr="Department of Primary Industries and Reg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IRD_black.png"/>
                  <pic:cNvPicPr/>
                </pic:nvPicPr>
                <pic:blipFill>
                  <a:blip r:embed="rId1">
                    <a:extLst>
                      <a:ext uri="{28A0092B-C50C-407E-A947-70E740481C1C}">
                        <a14:useLocalDpi xmlns:a14="http://schemas.microsoft.com/office/drawing/2010/main" val="0"/>
                      </a:ext>
                    </a:extLst>
                  </a:blip>
                  <a:stretch>
                    <a:fillRect/>
                  </a:stretch>
                </pic:blipFill>
                <pic:spPr>
                  <a:xfrm>
                    <a:off x="0" y="0"/>
                    <a:ext cx="2362200" cy="774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A29"/>
    <w:multiLevelType w:val="hybridMultilevel"/>
    <w:tmpl w:val="06B6CB8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067A7"/>
    <w:multiLevelType w:val="hybridMultilevel"/>
    <w:tmpl w:val="905C88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7002D43"/>
    <w:multiLevelType w:val="hybridMultilevel"/>
    <w:tmpl w:val="47003E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F74FD7"/>
    <w:multiLevelType w:val="hybridMultilevel"/>
    <w:tmpl w:val="859631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6D6546"/>
    <w:multiLevelType w:val="hybridMultilevel"/>
    <w:tmpl w:val="1854C2FE"/>
    <w:lvl w:ilvl="0" w:tplc="120CAD4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C8A2000"/>
    <w:multiLevelType w:val="hybridMultilevel"/>
    <w:tmpl w:val="60589680"/>
    <w:lvl w:ilvl="0" w:tplc="50460252">
      <w:start w:val="19"/>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955E85"/>
    <w:multiLevelType w:val="hybridMultilevel"/>
    <w:tmpl w:val="972A9456"/>
    <w:lvl w:ilvl="0" w:tplc="B14C52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114344"/>
    <w:multiLevelType w:val="hybridMultilevel"/>
    <w:tmpl w:val="865C00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1C716C"/>
    <w:multiLevelType w:val="hybridMultilevel"/>
    <w:tmpl w:val="4462DB5A"/>
    <w:lvl w:ilvl="0" w:tplc="4530D53E">
      <w:start w:val="1"/>
      <w:numFmt w:val="lowerLetter"/>
      <w:pStyle w:val="ListParagraph"/>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70985"/>
    <w:multiLevelType w:val="hybridMultilevel"/>
    <w:tmpl w:val="DDFE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D33A58"/>
    <w:multiLevelType w:val="hybridMultilevel"/>
    <w:tmpl w:val="1ED06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10912D8"/>
    <w:multiLevelType w:val="hybridMultilevel"/>
    <w:tmpl w:val="3BC0A50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CF78F4"/>
    <w:multiLevelType w:val="multilevel"/>
    <w:tmpl w:val="1A3272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965343F"/>
    <w:multiLevelType w:val="hybridMultilevel"/>
    <w:tmpl w:val="4762F7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DD86802"/>
    <w:multiLevelType w:val="hybridMultilevel"/>
    <w:tmpl w:val="CFB28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16253"/>
    <w:multiLevelType w:val="hybridMultilevel"/>
    <w:tmpl w:val="B63CA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054755"/>
    <w:multiLevelType w:val="hybridMultilevel"/>
    <w:tmpl w:val="9140EBB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75033B1E"/>
    <w:multiLevelType w:val="hybridMultilevel"/>
    <w:tmpl w:val="77CC47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DD1C0A"/>
    <w:multiLevelType w:val="hybridMultilevel"/>
    <w:tmpl w:val="140A1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5512913">
    <w:abstractNumId w:val="10"/>
  </w:num>
  <w:num w:numId="2" w16cid:durableId="1193765334">
    <w:abstractNumId w:val="8"/>
  </w:num>
  <w:num w:numId="3" w16cid:durableId="1428502766">
    <w:abstractNumId w:val="12"/>
  </w:num>
  <w:num w:numId="4" w16cid:durableId="835917776">
    <w:abstractNumId w:val="23"/>
  </w:num>
  <w:num w:numId="5" w16cid:durableId="332225629">
    <w:abstractNumId w:val="17"/>
  </w:num>
  <w:num w:numId="6" w16cid:durableId="940184487">
    <w:abstractNumId w:val="15"/>
  </w:num>
  <w:num w:numId="7" w16cid:durableId="2064325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71127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9768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0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2356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8339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1728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31680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CA"/>
    <w:rsid w:val="00002E4D"/>
    <w:rsid w:val="000162C2"/>
    <w:rsid w:val="00026972"/>
    <w:rsid w:val="00033B27"/>
    <w:rsid w:val="00044430"/>
    <w:rsid w:val="00051698"/>
    <w:rsid w:val="0005220F"/>
    <w:rsid w:val="00071140"/>
    <w:rsid w:val="00084A78"/>
    <w:rsid w:val="000B09DC"/>
    <w:rsid w:val="000C5FCF"/>
    <w:rsid w:val="000D097F"/>
    <w:rsid w:val="000E6548"/>
    <w:rsid w:val="000F129E"/>
    <w:rsid w:val="00100F9F"/>
    <w:rsid w:val="0010173E"/>
    <w:rsid w:val="00102A47"/>
    <w:rsid w:val="00114B2D"/>
    <w:rsid w:val="0012427C"/>
    <w:rsid w:val="001324C9"/>
    <w:rsid w:val="001359A3"/>
    <w:rsid w:val="001442CE"/>
    <w:rsid w:val="00146311"/>
    <w:rsid w:val="001529F4"/>
    <w:rsid w:val="001629A1"/>
    <w:rsid w:val="0017621F"/>
    <w:rsid w:val="00177567"/>
    <w:rsid w:val="00180348"/>
    <w:rsid w:val="00185792"/>
    <w:rsid w:val="00185E7A"/>
    <w:rsid w:val="00190A81"/>
    <w:rsid w:val="00196A25"/>
    <w:rsid w:val="001A554E"/>
    <w:rsid w:val="001B21CA"/>
    <w:rsid w:val="001B2B0A"/>
    <w:rsid w:val="001C2B0E"/>
    <w:rsid w:val="001D34A9"/>
    <w:rsid w:val="001D3AF9"/>
    <w:rsid w:val="001D3E02"/>
    <w:rsid w:val="001E2D43"/>
    <w:rsid w:val="001E402D"/>
    <w:rsid w:val="001E7227"/>
    <w:rsid w:val="001F1051"/>
    <w:rsid w:val="0020729A"/>
    <w:rsid w:val="002159F8"/>
    <w:rsid w:val="002218D5"/>
    <w:rsid w:val="00223803"/>
    <w:rsid w:val="00230F4E"/>
    <w:rsid w:val="0023267B"/>
    <w:rsid w:val="00241DCC"/>
    <w:rsid w:val="00242356"/>
    <w:rsid w:val="0025496E"/>
    <w:rsid w:val="002560D1"/>
    <w:rsid w:val="00271B24"/>
    <w:rsid w:val="00286600"/>
    <w:rsid w:val="002A0021"/>
    <w:rsid w:val="002A218D"/>
    <w:rsid w:val="002A2673"/>
    <w:rsid w:val="002A49B9"/>
    <w:rsid w:val="002B48C6"/>
    <w:rsid w:val="002B5622"/>
    <w:rsid w:val="002C40A3"/>
    <w:rsid w:val="002C629E"/>
    <w:rsid w:val="002E16D2"/>
    <w:rsid w:val="002E7C7A"/>
    <w:rsid w:val="002F160F"/>
    <w:rsid w:val="002F35CD"/>
    <w:rsid w:val="002F44EC"/>
    <w:rsid w:val="002F7FDB"/>
    <w:rsid w:val="0030123E"/>
    <w:rsid w:val="00310A0F"/>
    <w:rsid w:val="003272C8"/>
    <w:rsid w:val="00337B8D"/>
    <w:rsid w:val="003406CC"/>
    <w:rsid w:val="00347BE8"/>
    <w:rsid w:val="003530B3"/>
    <w:rsid w:val="00357D17"/>
    <w:rsid w:val="00362B92"/>
    <w:rsid w:val="00363FE8"/>
    <w:rsid w:val="003748D8"/>
    <w:rsid w:val="003861BC"/>
    <w:rsid w:val="00387176"/>
    <w:rsid w:val="003953E4"/>
    <w:rsid w:val="003A4CA0"/>
    <w:rsid w:val="003A59CD"/>
    <w:rsid w:val="003A5F25"/>
    <w:rsid w:val="003B2A81"/>
    <w:rsid w:val="003B50A3"/>
    <w:rsid w:val="003C4258"/>
    <w:rsid w:val="003C45F9"/>
    <w:rsid w:val="003C48BF"/>
    <w:rsid w:val="003C4E87"/>
    <w:rsid w:val="003C5598"/>
    <w:rsid w:val="003C7206"/>
    <w:rsid w:val="003E5CE6"/>
    <w:rsid w:val="003F2683"/>
    <w:rsid w:val="003F2DAA"/>
    <w:rsid w:val="003F4B07"/>
    <w:rsid w:val="003F5AC3"/>
    <w:rsid w:val="004009EC"/>
    <w:rsid w:val="0040212D"/>
    <w:rsid w:val="004031C9"/>
    <w:rsid w:val="00406785"/>
    <w:rsid w:val="00417CB7"/>
    <w:rsid w:val="004218AB"/>
    <w:rsid w:val="004253D2"/>
    <w:rsid w:val="00431E75"/>
    <w:rsid w:val="004369C9"/>
    <w:rsid w:val="00437B3A"/>
    <w:rsid w:val="00445CFA"/>
    <w:rsid w:val="004460D0"/>
    <w:rsid w:val="0046222F"/>
    <w:rsid w:val="00470615"/>
    <w:rsid w:val="00470FD8"/>
    <w:rsid w:val="0047175A"/>
    <w:rsid w:val="00480AD9"/>
    <w:rsid w:val="00483419"/>
    <w:rsid w:val="004933F5"/>
    <w:rsid w:val="004A522C"/>
    <w:rsid w:val="004B015F"/>
    <w:rsid w:val="004B3D71"/>
    <w:rsid w:val="004B71F4"/>
    <w:rsid w:val="004C1BB4"/>
    <w:rsid w:val="004D4051"/>
    <w:rsid w:val="004D61F3"/>
    <w:rsid w:val="004E557B"/>
    <w:rsid w:val="004E6CCF"/>
    <w:rsid w:val="00505357"/>
    <w:rsid w:val="005067F7"/>
    <w:rsid w:val="00510501"/>
    <w:rsid w:val="0051086B"/>
    <w:rsid w:val="0051422A"/>
    <w:rsid w:val="00516B29"/>
    <w:rsid w:val="00527513"/>
    <w:rsid w:val="0053075F"/>
    <w:rsid w:val="00530B2B"/>
    <w:rsid w:val="00553907"/>
    <w:rsid w:val="00556752"/>
    <w:rsid w:val="00560CA4"/>
    <w:rsid w:val="0057626A"/>
    <w:rsid w:val="00583884"/>
    <w:rsid w:val="0058493A"/>
    <w:rsid w:val="005864D5"/>
    <w:rsid w:val="00594805"/>
    <w:rsid w:val="005960C1"/>
    <w:rsid w:val="005A4C76"/>
    <w:rsid w:val="005A634F"/>
    <w:rsid w:val="005A7D8E"/>
    <w:rsid w:val="005B0200"/>
    <w:rsid w:val="005C23F7"/>
    <w:rsid w:val="005C6D91"/>
    <w:rsid w:val="005D31D9"/>
    <w:rsid w:val="005D454D"/>
    <w:rsid w:val="005E1596"/>
    <w:rsid w:val="005F157F"/>
    <w:rsid w:val="0060777A"/>
    <w:rsid w:val="006265DE"/>
    <w:rsid w:val="006420C5"/>
    <w:rsid w:val="0064276F"/>
    <w:rsid w:val="00646058"/>
    <w:rsid w:val="0065143B"/>
    <w:rsid w:val="00654455"/>
    <w:rsid w:val="00660469"/>
    <w:rsid w:val="00660F84"/>
    <w:rsid w:val="006632E4"/>
    <w:rsid w:val="0066487B"/>
    <w:rsid w:val="00673B25"/>
    <w:rsid w:val="00674764"/>
    <w:rsid w:val="00676566"/>
    <w:rsid w:val="0067732A"/>
    <w:rsid w:val="00694EBD"/>
    <w:rsid w:val="00695F98"/>
    <w:rsid w:val="006978C3"/>
    <w:rsid w:val="00697A57"/>
    <w:rsid w:val="006C4BD0"/>
    <w:rsid w:val="006E0AD7"/>
    <w:rsid w:val="006E4F4A"/>
    <w:rsid w:val="006F2700"/>
    <w:rsid w:val="006F728A"/>
    <w:rsid w:val="006F7E0C"/>
    <w:rsid w:val="007116B4"/>
    <w:rsid w:val="00717D88"/>
    <w:rsid w:val="00721E78"/>
    <w:rsid w:val="0073189C"/>
    <w:rsid w:val="0073519B"/>
    <w:rsid w:val="00745876"/>
    <w:rsid w:val="0075411B"/>
    <w:rsid w:val="0075593E"/>
    <w:rsid w:val="00765A10"/>
    <w:rsid w:val="007A0BEE"/>
    <w:rsid w:val="007A2FDC"/>
    <w:rsid w:val="007A3299"/>
    <w:rsid w:val="007B0524"/>
    <w:rsid w:val="007C6EF9"/>
    <w:rsid w:val="007C7D13"/>
    <w:rsid w:val="007D338B"/>
    <w:rsid w:val="007D39CA"/>
    <w:rsid w:val="007D58E9"/>
    <w:rsid w:val="00805C14"/>
    <w:rsid w:val="00811D9A"/>
    <w:rsid w:val="00842EEE"/>
    <w:rsid w:val="00845772"/>
    <w:rsid w:val="008506DD"/>
    <w:rsid w:val="0085415B"/>
    <w:rsid w:val="008550E1"/>
    <w:rsid w:val="008617C9"/>
    <w:rsid w:val="00866885"/>
    <w:rsid w:val="00872773"/>
    <w:rsid w:val="008804C8"/>
    <w:rsid w:val="00884751"/>
    <w:rsid w:val="00890FC3"/>
    <w:rsid w:val="00896A4A"/>
    <w:rsid w:val="008A051C"/>
    <w:rsid w:val="008B1BF5"/>
    <w:rsid w:val="008B471E"/>
    <w:rsid w:val="008C1925"/>
    <w:rsid w:val="008E10C4"/>
    <w:rsid w:val="008F608F"/>
    <w:rsid w:val="008F6E42"/>
    <w:rsid w:val="00914295"/>
    <w:rsid w:val="00934D15"/>
    <w:rsid w:val="0095120A"/>
    <w:rsid w:val="00960ABF"/>
    <w:rsid w:val="009610F8"/>
    <w:rsid w:val="00966B93"/>
    <w:rsid w:val="00981588"/>
    <w:rsid w:val="00990B93"/>
    <w:rsid w:val="00991C06"/>
    <w:rsid w:val="00993D48"/>
    <w:rsid w:val="009B0A2B"/>
    <w:rsid w:val="009B56A9"/>
    <w:rsid w:val="009B56D7"/>
    <w:rsid w:val="009C04FB"/>
    <w:rsid w:val="009C340A"/>
    <w:rsid w:val="009C5D7A"/>
    <w:rsid w:val="009D0136"/>
    <w:rsid w:val="009D2AFA"/>
    <w:rsid w:val="009D2E07"/>
    <w:rsid w:val="009D36B1"/>
    <w:rsid w:val="009E17EB"/>
    <w:rsid w:val="009E608B"/>
    <w:rsid w:val="009F4AD0"/>
    <w:rsid w:val="009F6F2F"/>
    <w:rsid w:val="00A06D2D"/>
    <w:rsid w:val="00A07D55"/>
    <w:rsid w:val="00A127B2"/>
    <w:rsid w:val="00A146DA"/>
    <w:rsid w:val="00A14890"/>
    <w:rsid w:val="00A16688"/>
    <w:rsid w:val="00A32215"/>
    <w:rsid w:val="00A37984"/>
    <w:rsid w:val="00A4089E"/>
    <w:rsid w:val="00A424DC"/>
    <w:rsid w:val="00A43E5E"/>
    <w:rsid w:val="00A8295F"/>
    <w:rsid w:val="00A85673"/>
    <w:rsid w:val="00AA5EC5"/>
    <w:rsid w:val="00AB126A"/>
    <w:rsid w:val="00AB40FC"/>
    <w:rsid w:val="00AB6B4E"/>
    <w:rsid w:val="00AD0BAC"/>
    <w:rsid w:val="00AD68A0"/>
    <w:rsid w:val="00AD752D"/>
    <w:rsid w:val="00AE393E"/>
    <w:rsid w:val="00AE7103"/>
    <w:rsid w:val="00AF763E"/>
    <w:rsid w:val="00B04F44"/>
    <w:rsid w:val="00B07280"/>
    <w:rsid w:val="00B07EE1"/>
    <w:rsid w:val="00B15AFB"/>
    <w:rsid w:val="00B17D11"/>
    <w:rsid w:val="00B21C37"/>
    <w:rsid w:val="00B21CC4"/>
    <w:rsid w:val="00B35AB3"/>
    <w:rsid w:val="00B4407B"/>
    <w:rsid w:val="00B51866"/>
    <w:rsid w:val="00B73522"/>
    <w:rsid w:val="00B81C43"/>
    <w:rsid w:val="00B934E9"/>
    <w:rsid w:val="00B95989"/>
    <w:rsid w:val="00BA52D4"/>
    <w:rsid w:val="00BA75A1"/>
    <w:rsid w:val="00BB0744"/>
    <w:rsid w:val="00BD08C5"/>
    <w:rsid w:val="00BF1F54"/>
    <w:rsid w:val="00C04E7F"/>
    <w:rsid w:val="00C21F8A"/>
    <w:rsid w:val="00C224CF"/>
    <w:rsid w:val="00C2645B"/>
    <w:rsid w:val="00C41870"/>
    <w:rsid w:val="00C5462F"/>
    <w:rsid w:val="00C64F60"/>
    <w:rsid w:val="00C6767D"/>
    <w:rsid w:val="00C72B00"/>
    <w:rsid w:val="00C91386"/>
    <w:rsid w:val="00C97223"/>
    <w:rsid w:val="00CB444D"/>
    <w:rsid w:val="00CC0016"/>
    <w:rsid w:val="00CC2719"/>
    <w:rsid w:val="00CC4AA6"/>
    <w:rsid w:val="00CD1084"/>
    <w:rsid w:val="00CD69A3"/>
    <w:rsid w:val="00CE7044"/>
    <w:rsid w:val="00CF1AB1"/>
    <w:rsid w:val="00D00D31"/>
    <w:rsid w:val="00D03F3F"/>
    <w:rsid w:val="00D04242"/>
    <w:rsid w:val="00D05B23"/>
    <w:rsid w:val="00D21BBA"/>
    <w:rsid w:val="00D225A4"/>
    <w:rsid w:val="00D37D92"/>
    <w:rsid w:val="00D4189E"/>
    <w:rsid w:val="00D440B7"/>
    <w:rsid w:val="00D467E7"/>
    <w:rsid w:val="00D52678"/>
    <w:rsid w:val="00D62E53"/>
    <w:rsid w:val="00D63261"/>
    <w:rsid w:val="00D65737"/>
    <w:rsid w:val="00D97FFB"/>
    <w:rsid w:val="00DA4BCD"/>
    <w:rsid w:val="00DA639A"/>
    <w:rsid w:val="00DB0844"/>
    <w:rsid w:val="00DB57C9"/>
    <w:rsid w:val="00DC27E0"/>
    <w:rsid w:val="00DC3C88"/>
    <w:rsid w:val="00DD1C77"/>
    <w:rsid w:val="00DF17D3"/>
    <w:rsid w:val="00E0042A"/>
    <w:rsid w:val="00E1096C"/>
    <w:rsid w:val="00E13274"/>
    <w:rsid w:val="00E15A23"/>
    <w:rsid w:val="00E1791B"/>
    <w:rsid w:val="00E24736"/>
    <w:rsid w:val="00E320C5"/>
    <w:rsid w:val="00E442FC"/>
    <w:rsid w:val="00E45538"/>
    <w:rsid w:val="00E618F9"/>
    <w:rsid w:val="00E76E6C"/>
    <w:rsid w:val="00E86EFA"/>
    <w:rsid w:val="00E918F7"/>
    <w:rsid w:val="00E96616"/>
    <w:rsid w:val="00EA0B44"/>
    <w:rsid w:val="00EB570E"/>
    <w:rsid w:val="00EC49AE"/>
    <w:rsid w:val="00ED05E5"/>
    <w:rsid w:val="00EE4C62"/>
    <w:rsid w:val="00EF13EA"/>
    <w:rsid w:val="00EF3682"/>
    <w:rsid w:val="00F16122"/>
    <w:rsid w:val="00F20D03"/>
    <w:rsid w:val="00F26FE5"/>
    <w:rsid w:val="00F54B13"/>
    <w:rsid w:val="00F66EA6"/>
    <w:rsid w:val="00F7015D"/>
    <w:rsid w:val="00F75A69"/>
    <w:rsid w:val="00F83DAD"/>
    <w:rsid w:val="00F85D96"/>
    <w:rsid w:val="00F922FD"/>
    <w:rsid w:val="00FA279C"/>
    <w:rsid w:val="00FB11A4"/>
    <w:rsid w:val="00FC1081"/>
    <w:rsid w:val="00FC6B56"/>
    <w:rsid w:val="00FC7FD2"/>
    <w:rsid w:val="00FD260B"/>
    <w:rsid w:val="00FD655A"/>
    <w:rsid w:val="00FE1789"/>
    <w:rsid w:val="00FE6A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EFFB8"/>
  <w15:docId w15:val="{BF435EF5-E639-41B7-A5C1-9C00BE7F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0F"/>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8550E1"/>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9F4AD0"/>
    <w:pPr>
      <w:keepNext/>
      <w:keepLines/>
      <w:spacing w:before="16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8550E1"/>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9F4AD0"/>
    <w:rPr>
      <w:rFonts w:ascii="Arial" w:eastAsiaTheme="majorEastAsia" w:hAnsi="Arial" w:cstheme="majorBidi"/>
      <w:b/>
      <w:color w:val="404040" w:themeColor="text1" w:themeTint="BF"/>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aliases w:val="Title / masthead"/>
    <w:basedOn w:val="Normal"/>
    <w:next w:val="Normal"/>
    <w:link w:val="TitleChar"/>
    <w:uiPriority w:val="10"/>
    <w:qFormat/>
    <w:rsid w:val="009F4AD0"/>
    <w:pPr>
      <w:spacing w:before="600" w:after="120" w:line="240" w:lineRule="auto"/>
      <w:contextualSpacing/>
    </w:pPr>
    <w:rPr>
      <w:rFonts w:eastAsiaTheme="majorEastAsia" w:cstheme="majorBidi"/>
      <w:b/>
      <w:color w:val="003C69"/>
      <w:spacing w:val="-10"/>
      <w:kern w:val="28"/>
      <w:sz w:val="40"/>
      <w:szCs w:val="56"/>
    </w:rPr>
  </w:style>
  <w:style w:type="character" w:customStyle="1" w:styleId="TitleChar">
    <w:name w:val="Title Char"/>
    <w:aliases w:val="Title / masthead Char"/>
    <w:basedOn w:val="DefaultParagraphFont"/>
    <w:link w:val="Title"/>
    <w:uiPriority w:val="10"/>
    <w:rsid w:val="009F4AD0"/>
    <w:rPr>
      <w:rFonts w:ascii="Arial" w:eastAsiaTheme="majorEastAsia" w:hAnsi="Arial" w:cstheme="majorBidi"/>
      <w:b/>
      <w:color w:val="003C69"/>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rsid w:val="00310A0F"/>
    <w:rPr>
      <w:rFonts w:ascii="Arial" w:hAnsi="Arial"/>
      <w:i/>
      <w:iCs/>
      <w:color w:val="404040" w:themeColor="text1" w:themeTint="BF"/>
      <w:sz w:val="24"/>
    </w:rPr>
  </w:style>
  <w:style w:type="character" w:styleId="Emphasis">
    <w:name w:val="Emphasis"/>
    <w:aliases w:val="Break-out text"/>
    <w:basedOn w:val="DefaultParagraphFont"/>
    <w:uiPriority w:val="20"/>
    <w:qFormat/>
    <w:rsid w:val="009F4AD0"/>
    <w:rPr>
      <w:rFonts w:ascii="Arial" w:hAnsi="Arial"/>
      <w:b/>
      <w:i w:val="0"/>
      <w:iCs/>
      <w:color w:val="C75B12"/>
      <w:sz w:val="36"/>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310A0F"/>
    <w:rPr>
      <w:rFonts w:ascii="Arial" w:hAnsi="Arial"/>
      <w:b/>
      <w:bCs/>
      <w:color w:val="262626" w:themeColor="text1" w:themeTint="D9"/>
      <w:sz w:val="24"/>
    </w:rPr>
  </w:style>
  <w:style w:type="paragraph" w:styleId="Quote">
    <w:name w:val="Quote"/>
    <w:basedOn w:val="Normal"/>
    <w:next w:val="Normal"/>
    <w:link w:val="QuoteChar"/>
    <w:uiPriority w:val="29"/>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link w:val="ListParagraphChar"/>
    <w:uiPriority w:val="34"/>
    <w:qFormat/>
    <w:rsid w:val="00A424DC"/>
    <w:pPr>
      <w:numPr>
        <w:numId w:val="1"/>
      </w:numPr>
      <w:spacing w:before="240" w:after="400"/>
      <w:contextualSpacing/>
    </w:pPr>
  </w:style>
  <w:style w:type="table" w:styleId="TableGrid">
    <w:name w:val="Table Grid"/>
    <w:basedOn w:val="TableNormal"/>
    <w:uiPriority w:val="5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B07EE1"/>
    <w:rPr>
      <w:rFonts w:ascii="Arial" w:hAnsi="Arial"/>
      <w:color w:val="404040" w:themeColor="text1" w:themeTint="BF"/>
    </w:rPr>
  </w:style>
  <w:style w:type="paragraph" w:styleId="BodyText">
    <w:name w:val="Body Text"/>
    <w:basedOn w:val="Normal"/>
    <w:link w:val="BodyTextChar"/>
    <w:autoRedefine/>
    <w:rsid w:val="00B07EE1"/>
    <w:pPr>
      <w:keepNext/>
      <w:spacing w:after="120" w:line="240" w:lineRule="auto"/>
    </w:pPr>
    <w:rPr>
      <w:rFonts w:eastAsia="Cambria" w:cs="Times New Roman"/>
      <w:color w:val="595959" w:themeColor="text1" w:themeTint="A6"/>
      <w:kern w:val="22"/>
      <w:szCs w:val="24"/>
      <w:lang w:val="en-GB" w:eastAsia="en-AU"/>
    </w:rPr>
  </w:style>
  <w:style w:type="character" w:customStyle="1" w:styleId="BodyTextChar">
    <w:name w:val="Body Text Char"/>
    <w:basedOn w:val="DefaultParagraphFont"/>
    <w:link w:val="BodyText"/>
    <w:rsid w:val="00B07EE1"/>
    <w:rPr>
      <w:rFonts w:ascii="Arial" w:eastAsia="Cambria" w:hAnsi="Arial" w:cs="Times New Roman"/>
      <w:color w:val="595959" w:themeColor="text1" w:themeTint="A6"/>
      <w:kern w:val="22"/>
      <w:szCs w:val="24"/>
      <w:lang w:val="en-GB" w:eastAsia="en-AU"/>
    </w:rPr>
  </w:style>
  <w:style w:type="paragraph" w:styleId="Caption">
    <w:name w:val="caption"/>
    <w:basedOn w:val="Normal"/>
    <w:next w:val="Normal"/>
    <w:uiPriority w:val="35"/>
    <w:unhideWhenUsed/>
    <w:qFormat/>
    <w:rsid w:val="003A5F25"/>
    <w:pPr>
      <w:spacing w:after="200" w:line="240" w:lineRule="auto"/>
    </w:pPr>
    <w:rPr>
      <w:iCs/>
      <w:spacing w:val="20"/>
      <w:szCs w:val="18"/>
    </w:rPr>
  </w:style>
  <w:style w:type="paragraph" w:styleId="BalloonText">
    <w:name w:val="Balloon Text"/>
    <w:basedOn w:val="Normal"/>
    <w:link w:val="BalloonTextChar"/>
    <w:uiPriority w:val="99"/>
    <w:semiHidden/>
    <w:unhideWhenUsed/>
    <w:rsid w:val="005A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8E"/>
    <w:rPr>
      <w:rFonts w:ascii="Tahoma" w:hAnsi="Tahoma" w:cs="Tahoma"/>
      <w:color w:val="404040" w:themeColor="text1" w:themeTint="BF"/>
      <w:sz w:val="16"/>
      <w:szCs w:val="16"/>
    </w:rPr>
  </w:style>
  <w:style w:type="paragraph" w:styleId="NormalWeb">
    <w:name w:val="Normal (Web)"/>
    <w:basedOn w:val="Normal"/>
    <w:uiPriority w:val="99"/>
    <w:unhideWhenUsed/>
    <w:rsid w:val="009F4AD0"/>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Tableheading">
    <w:name w:val="Table heading"/>
    <w:basedOn w:val="Normal"/>
    <w:link w:val="TableheadingChar"/>
    <w:qFormat/>
    <w:rsid w:val="003C48BF"/>
    <w:pPr>
      <w:spacing w:after="100" w:afterAutospacing="1" w:line="240" w:lineRule="auto"/>
    </w:pPr>
    <w:rPr>
      <w:b/>
      <w:color w:val="FFFFFF" w:themeColor="background1"/>
    </w:rPr>
  </w:style>
  <w:style w:type="character" w:customStyle="1" w:styleId="TableheadingChar">
    <w:name w:val="Table heading Char"/>
    <w:basedOn w:val="DefaultParagraphFont"/>
    <w:link w:val="Tableheading"/>
    <w:rsid w:val="003C48BF"/>
    <w:rPr>
      <w:rFonts w:ascii="Arial" w:hAnsi="Arial"/>
      <w:b/>
      <w:color w:val="FFFFFF" w:themeColor="background1"/>
      <w:sz w:val="24"/>
    </w:rPr>
  </w:style>
  <w:style w:type="character" w:customStyle="1" w:styleId="ListParagraphChar">
    <w:name w:val="List Paragraph Char"/>
    <w:link w:val="ListParagraph"/>
    <w:uiPriority w:val="99"/>
    <w:locked/>
    <w:rsid w:val="001E402D"/>
    <w:rPr>
      <w:rFonts w:ascii="Arial" w:hAnsi="Arial"/>
      <w:color w:val="404040" w:themeColor="text1" w:themeTint="BF"/>
      <w:sz w:val="24"/>
    </w:rPr>
  </w:style>
  <w:style w:type="character" w:styleId="CommentReference">
    <w:name w:val="annotation reference"/>
    <w:basedOn w:val="DefaultParagraphFont"/>
    <w:uiPriority w:val="99"/>
    <w:semiHidden/>
    <w:unhideWhenUsed/>
    <w:rsid w:val="00D4189E"/>
    <w:rPr>
      <w:sz w:val="16"/>
      <w:szCs w:val="16"/>
    </w:rPr>
  </w:style>
  <w:style w:type="paragraph" w:styleId="CommentText">
    <w:name w:val="annotation text"/>
    <w:basedOn w:val="Normal"/>
    <w:link w:val="CommentTextChar"/>
    <w:uiPriority w:val="99"/>
    <w:semiHidden/>
    <w:unhideWhenUsed/>
    <w:rsid w:val="00D4189E"/>
    <w:pPr>
      <w:spacing w:line="240" w:lineRule="auto"/>
    </w:pPr>
    <w:rPr>
      <w:sz w:val="20"/>
      <w:szCs w:val="20"/>
    </w:rPr>
  </w:style>
  <w:style w:type="character" w:customStyle="1" w:styleId="CommentTextChar">
    <w:name w:val="Comment Text Char"/>
    <w:basedOn w:val="DefaultParagraphFont"/>
    <w:link w:val="CommentText"/>
    <w:uiPriority w:val="99"/>
    <w:semiHidden/>
    <w:rsid w:val="00D4189E"/>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4189E"/>
    <w:rPr>
      <w:b/>
      <w:bCs/>
    </w:rPr>
  </w:style>
  <w:style w:type="character" w:customStyle="1" w:styleId="CommentSubjectChar">
    <w:name w:val="Comment Subject Char"/>
    <w:basedOn w:val="CommentTextChar"/>
    <w:link w:val="CommentSubject"/>
    <w:uiPriority w:val="99"/>
    <w:semiHidden/>
    <w:rsid w:val="00D4189E"/>
    <w:rPr>
      <w:rFonts w:ascii="Arial" w:hAnsi="Arial"/>
      <w:b/>
      <w:bCs/>
      <w:color w:val="404040" w:themeColor="text1" w:themeTint="BF"/>
      <w:sz w:val="20"/>
      <w:szCs w:val="20"/>
    </w:rPr>
  </w:style>
  <w:style w:type="character" w:customStyle="1" w:styleId="nlmstring-name">
    <w:name w:val="nlm_string-name"/>
    <w:basedOn w:val="DefaultParagraphFont"/>
    <w:rsid w:val="00556752"/>
  </w:style>
  <w:style w:type="paragraph" w:styleId="ListNumber">
    <w:name w:val="List Number"/>
    <w:basedOn w:val="Normal"/>
    <w:uiPriority w:val="99"/>
    <w:semiHidden/>
    <w:unhideWhenUsed/>
    <w:rsid w:val="005067F7"/>
    <w:pPr>
      <w:spacing w:before="100" w:beforeAutospacing="1" w:after="100" w:afterAutospacing="1" w:line="240" w:lineRule="auto"/>
    </w:pPr>
    <w:rPr>
      <w:rFonts w:ascii="Times New Roman" w:eastAsia="Times New Roman" w:hAnsi="Times New Roman" w:cs="Times New Roman"/>
      <w:color w:val="auto"/>
      <w:szCs w:val="24"/>
      <w:lang w:eastAsia="en-AU"/>
    </w:rPr>
  </w:style>
  <w:style w:type="table" w:customStyle="1" w:styleId="TableGrid1">
    <w:name w:val="Table Grid1"/>
    <w:basedOn w:val="TableNormal"/>
    <w:next w:val="TableGrid"/>
    <w:uiPriority w:val="59"/>
    <w:rsid w:val="00286600"/>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customStyle="1" w:styleId="UnresolvedMention1">
    <w:name w:val="Unresolved Mention1"/>
    <w:basedOn w:val="DefaultParagraphFont"/>
    <w:uiPriority w:val="99"/>
    <w:semiHidden/>
    <w:unhideWhenUsed/>
    <w:rsid w:val="00286600"/>
    <w:rPr>
      <w:color w:val="605E5C"/>
      <w:shd w:val="clear" w:color="auto" w:fill="E1DFDD"/>
    </w:rPr>
  </w:style>
  <w:style w:type="paragraph" w:customStyle="1" w:styleId="Default">
    <w:name w:val="Default"/>
    <w:rsid w:val="007B052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224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4CF"/>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C22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101">
      <w:bodyDiv w:val="1"/>
      <w:marLeft w:val="0"/>
      <w:marRight w:val="0"/>
      <w:marTop w:val="0"/>
      <w:marBottom w:val="0"/>
      <w:divBdr>
        <w:top w:val="none" w:sz="0" w:space="0" w:color="auto"/>
        <w:left w:val="none" w:sz="0" w:space="0" w:color="auto"/>
        <w:bottom w:val="none" w:sz="0" w:space="0" w:color="auto"/>
        <w:right w:val="none" w:sz="0" w:space="0" w:color="auto"/>
      </w:divBdr>
    </w:div>
    <w:div w:id="43918974">
      <w:bodyDiv w:val="1"/>
      <w:marLeft w:val="0"/>
      <w:marRight w:val="0"/>
      <w:marTop w:val="0"/>
      <w:marBottom w:val="0"/>
      <w:divBdr>
        <w:top w:val="none" w:sz="0" w:space="0" w:color="auto"/>
        <w:left w:val="none" w:sz="0" w:space="0" w:color="auto"/>
        <w:bottom w:val="none" w:sz="0" w:space="0" w:color="auto"/>
        <w:right w:val="none" w:sz="0" w:space="0" w:color="auto"/>
      </w:divBdr>
    </w:div>
    <w:div w:id="84612032">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169834211">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82924546">
      <w:bodyDiv w:val="1"/>
      <w:marLeft w:val="0"/>
      <w:marRight w:val="0"/>
      <w:marTop w:val="0"/>
      <w:marBottom w:val="0"/>
      <w:divBdr>
        <w:top w:val="none" w:sz="0" w:space="0" w:color="auto"/>
        <w:left w:val="none" w:sz="0" w:space="0" w:color="auto"/>
        <w:bottom w:val="none" w:sz="0" w:space="0" w:color="auto"/>
        <w:right w:val="none" w:sz="0" w:space="0" w:color="auto"/>
      </w:divBdr>
    </w:div>
    <w:div w:id="285503697">
      <w:bodyDiv w:val="1"/>
      <w:marLeft w:val="0"/>
      <w:marRight w:val="0"/>
      <w:marTop w:val="0"/>
      <w:marBottom w:val="0"/>
      <w:divBdr>
        <w:top w:val="none" w:sz="0" w:space="0" w:color="auto"/>
        <w:left w:val="none" w:sz="0" w:space="0" w:color="auto"/>
        <w:bottom w:val="none" w:sz="0" w:space="0" w:color="auto"/>
        <w:right w:val="none" w:sz="0" w:space="0" w:color="auto"/>
      </w:divBdr>
    </w:div>
    <w:div w:id="340549899">
      <w:bodyDiv w:val="1"/>
      <w:marLeft w:val="0"/>
      <w:marRight w:val="0"/>
      <w:marTop w:val="0"/>
      <w:marBottom w:val="0"/>
      <w:divBdr>
        <w:top w:val="none" w:sz="0" w:space="0" w:color="auto"/>
        <w:left w:val="none" w:sz="0" w:space="0" w:color="auto"/>
        <w:bottom w:val="none" w:sz="0" w:space="0" w:color="auto"/>
        <w:right w:val="none" w:sz="0" w:space="0" w:color="auto"/>
      </w:divBdr>
    </w:div>
    <w:div w:id="566770112">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30130904">
      <w:bodyDiv w:val="1"/>
      <w:marLeft w:val="0"/>
      <w:marRight w:val="0"/>
      <w:marTop w:val="0"/>
      <w:marBottom w:val="0"/>
      <w:divBdr>
        <w:top w:val="none" w:sz="0" w:space="0" w:color="auto"/>
        <w:left w:val="none" w:sz="0" w:space="0" w:color="auto"/>
        <w:bottom w:val="none" w:sz="0" w:space="0" w:color="auto"/>
        <w:right w:val="none" w:sz="0" w:space="0" w:color="auto"/>
      </w:divBdr>
    </w:div>
    <w:div w:id="1063257230">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241408180">
      <w:bodyDiv w:val="1"/>
      <w:marLeft w:val="0"/>
      <w:marRight w:val="0"/>
      <w:marTop w:val="0"/>
      <w:marBottom w:val="0"/>
      <w:divBdr>
        <w:top w:val="none" w:sz="0" w:space="0" w:color="auto"/>
        <w:left w:val="none" w:sz="0" w:space="0" w:color="auto"/>
        <w:bottom w:val="none" w:sz="0" w:space="0" w:color="auto"/>
        <w:right w:val="none" w:sz="0" w:space="0" w:color="auto"/>
      </w:divBdr>
    </w:div>
    <w:div w:id="1272863553">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64230579">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34423912">
      <w:bodyDiv w:val="1"/>
      <w:marLeft w:val="0"/>
      <w:marRight w:val="0"/>
      <w:marTop w:val="0"/>
      <w:marBottom w:val="0"/>
      <w:divBdr>
        <w:top w:val="none" w:sz="0" w:space="0" w:color="auto"/>
        <w:left w:val="none" w:sz="0" w:space="0" w:color="auto"/>
        <w:bottom w:val="none" w:sz="0" w:space="0" w:color="auto"/>
        <w:right w:val="none" w:sz="0" w:space="0" w:color="auto"/>
      </w:divBdr>
    </w:div>
    <w:div w:id="1536845373">
      <w:bodyDiv w:val="1"/>
      <w:marLeft w:val="0"/>
      <w:marRight w:val="0"/>
      <w:marTop w:val="0"/>
      <w:marBottom w:val="0"/>
      <w:divBdr>
        <w:top w:val="none" w:sz="0" w:space="0" w:color="auto"/>
        <w:left w:val="none" w:sz="0" w:space="0" w:color="auto"/>
        <w:bottom w:val="none" w:sz="0" w:space="0" w:color="auto"/>
        <w:right w:val="none" w:sz="0" w:space="0" w:color="auto"/>
      </w:divBdr>
    </w:div>
    <w:div w:id="1702390461">
      <w:bodyDiv w:val="1"/>
      <w:marLeft w:val="0"/>
      <w:marRight w:val="0"/>
      <w:marTop w:val="0"/>
      <w:marBottom w:val="0"/>
      <w:divBdr>
        <w:top w:val="none" w:sz="0" w:space="0" w:color="auto"/>
        <w:left w:val="none" w:sz="0" w:space="0" w:color="auto"/>
        <w:bottom w:val="none" w:sz="0" w:space="0" w:color="auto"/>
        <w:right w:val="none" w:sz="0" w:space="0" w:color="auto"/>
      </w:divBdr>
    </w:div>
    <w:div w:id="1765880886">
      <w:bodyDiv w:val="1"/>
      <w:marLeft w:val="0"/>
      <w:marRight w:val="0"/>
      <w:marTop w:val="0"/>
      <w:marBottom w:val="0"/>
      <w:divBdr>
        <w:top w:val="none" w:sz="0" w:space="0" w:color="auto"/>
        <w:left w:val="none" w:sz="0" w:space="0" w:color="auto"/>
        <w:bottom w:val="none" w:sz="0" w:space="0" w:color="auto"/>
        <w:right w:val="none" w:sz="0" w:space="0" w:color="auto"/>
      </w:divBdr>
    </w:div>
    <w:div w:id="1911228438">
      <w:bodyDiv w:val="1"/>
      <w:marLeft w:val="0"/>
      <w:marRight w:val="0"/>
      <w:marTop w:val="0"/>
      <w:marBottom w:val="0"/>
      <w:divBdr>
        <w:top w:val="none" w:sz="0" w:space="0" w:color="auto"/>
        <w:left w:val="none" w:sz="0" w:space="0" w:color="auto"/>
        <w:bottom w:val="none" w:sz="0" w:space="0" w:color="auto"/>
        <w:right w:val="none" w:sz="0" w:space="0" w:color="auto"/>
      </w:divBdr>
    </w:div>
    <w:div w:id="1943106237">
      <w:bodyDiv w:val="1"/>
      <w:marLeft w:val="0"/>
      <w:marRight w:val="0"/>
      <w:marTop w:val="0"/>
      <w:marBottom w:val="0"/>
      <w:divBdr>
        <w:top w:val="none" w:sz="0" w:space="0" w:color="auto"/>
        <w:left w:val="none" w:sz="0" w:space="0" w:color="auto"/>
        <w:bottom w:val="none" w:sz="0" w:space="0" w:color="auto"/>
        <w:right w:val="none" w:sz="0" w:space="0" w:color="auto"/>
      </w:divBdr>
    </w:div>
    <w:div w:id="2034454693">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sh.wa.gov.au/Documents/management_papers/fmp292.pdf" TargetMode="External"/><Relationship Id="rId18" Type="http://schemas.openxmlformats.org/officeDocument/2006/relationships/hyperlink" Target="http://www.fish.wa.gov.au/Documents/sofar/status_reports_of_the_fisheries_and_aquatic_resources_2020-21.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fish.wa.gov.au/Documents/sofar/status_reports_of_the_fisheries_and_aquatic_resources_2020-21.pdf" TargetMode="External"/><Relationship Id="rId7" Type="http://schemas.openxmlformats.org/officeDocument/2006/relationships/settings" Target="settings.xml"/><Relationship Id="rId12" Type="http://schemas.openxmlformats.org/officeDocument/2006/relationships/hyperlink" Target="http://www.fish.wa.gov.au/About-Us/Publications/Pages/State-of-the-Fisheries-report.aspx" TargetMode="External"/><Relationship Id="rId17" Type="http://schemas.openxmlformats.org/officeDocument/2006/relationships/hyperlink" Target="https://www.fish.wa.gov.au/Documents/management_papers/fmp292.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a.gov.au/system/files/2021-08/Marine%20Aquarium%20Fish.pdf" TargetMode="External"/><Relationship Id="rId20" Type="http://schemas.openxmlformats.org/officeDocument/2006/relationships/hyperlink" Target="https://www.wa.gov.au/system/files/2021-08/Prohibition_Fishing_Coral_Live_Rock_and_Algae_Order_2007_Order_11_of_200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mie.steele@dpird.wa.gov.au" TargetMode="External"/><Relationship Id="rId5" Type="http://schemas.openxmlformats.org/officeDocument/2006/relationships/numbering" Target="numbering.xml"/><Relationship Id="rId15" Type="http://schemas.openxmlformats.org/officeDocument/2006/relationships/hyperlink" Target="https://www.wa.gov.au/system/files/2021-08/Marine%20Aquarium%20Fish.pdf"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a.gov.au/system/files/2021-08/Marine%20Aquarium%20Fis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environment/marine/fisheries/wa/marine-aquarium" TargetMode="External"/><Relationship Id="rId22" Type="http://schemas.openxmlformats.org/officeDocument/2006/relationships/hyperlink" Target="http://www.fish.wa.gov.au/About-Us/Publications/Pages/State-of-the-Fisheries-report.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m\Downloads\Factsheet%20-%20accessible%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D88D4-7F69-4A24-AA0B-E437C5218772}">
  <ds:schemaRefs>
    <ds:schemaRef ds:uri="http://schemas.microsoft.com/office/infopath/2007/PartnerControls"/>
    <ds:schemaRef ds:uri="99d1d629-a630-41bc-af69-83edda85b4f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97835c9-0fe3-492f-8e54-088058c8184d"/>
    <ds:schemaRef ds:uri="http://www.w3.org/XML/1998/namespace"/>
    <ds:schemaRef ds:uri="http://purl.org/dc/dcmitype/"/>
  </ds:schemaRefs>
</ds:datastoreItem>
</file>

<file path=customXml/itemProps2.xml><?xml version="1.0" encoding="utf-8"?>
<ds:datastoreItem xmlns:ds="http://schemas.openxmlformats.org/officeDocument/2006/customXml" ds:itemID="{C2830CB4-AAF1-41BE-BB07-2F5D4209C1F4}">
  <ds:schemaRefs>
    <ds:schemaRef ds:uri="http://schemas.microsoft.com/sharepoint/v3/contenttype/forms"/>
  </ds:schemaRefs>
</ds:datastoreItem>
</file>

<file path=customXml/itemProps3.xml><?xml version="1.0" encoding="utf-8"?>
<ds:datastoreItem xmlns:ds="http://schemas.openxmlformats.org/officeDocument/2006/customXml" ds:itemID="{46F7B666-5415-408A-AA7A-34ECC9C50A37}">
  <ds:schemaRefs>
    <ds:schemaRef ds:uri="http://schemas.openxmlformats.org/officeDocument/2006/bibliography"/>
  </ds:schemaRefs>
</ds:datastoreItem>
</file>

<file path=customXml/itemProps4.xml><?xml version="1.0" encoding="utf-8"?>
<ds:datastoreItem xmlns:ds="http://schemas.openxmlformats.org/officeDocument/2006/customXml" ds:itemID="{71B6CC7C-AB56-4D92-A4AE-181397EAC90E}"/>
</file>

<file path=docProps/app.xml><?xml version="1.0" encoding="utf-8"?>
<Properties xmlns="http://schemas.openxmlformats.org/officeDocument/2006/extended-properties" xmlns:vt="http://schemas.openxmlformats.org/officeDocument/2006/docPropsVTypes">
  <Template>Factsheet - accessible template (1).dotx</Template>
  <TotalTime>0</TotalTime>
  <Pages>9</Pages>
  <Words>3277</Words>
  <Characters>18683</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Application for subsequent Wildlife Trade Operation – Marine Aquarium Fish Managed Fishery</vt:lpstr>
    </vt:vector>
  </TitlesOfParts>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subsequent Wildlife Trade Operation – Marine Aquarium Fish Managed Fishery</dc:title>
  <dc:subject/>
  <dc:creator>The Department of Primary Industries and Regional Development</dc:creator>
  <cp:keywords/>
  <dc:description/>
  <cp:lastModifiedBy>Bec Durack</cp:lastModifiedBy>
  <cp:revision>2</cp:revision>
  <cp:lastPrinted>2021-04-29T04:19:00Z</cp:lastPrinted>
  <dcterms:created xsi:type="dcterms:W3CDTF">2022-05-24T07:17:00Z</dcterms:created>
  <dcterms:modified xsi:type="dcterms:W3CDTF">2022-05-24T07:17:00Z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{1e6972ed-ffb6-46ac-aa83-9a9ed43e9fad}</vt:lpwstr>
  </property>
  <property fmtid="{D5CDD505-2E9C-101B-9397-08002B2CF9AE}" pid="6" name="RecordPoint_ActiveItemUniqueId">
    <vt:lpwstr>{fab80040-dddf-46c9-b70d-ead99eb8c289}</vt:lpwstr>
  </property>
  <property fmtid="{D5CDD505-2E9C-101B-9397-08002B2CF9AE}" pid="7" name="RecordPoint_ActiveItemWebId">
    <vt:lpwstr>{ce0940a8-fbdd-4d61-aa5f-5fccf7e3a693}</vt:lpwstr>
  </property>
</Properties>
</file>