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B5A7E" w14:textId="13532D9D" w:rsidR="00850B51" w:rsidRPr="005C315D" w:rsidRDefault="00305B22" w:rsidP="00305B22">
      <w:pPr>
        <w:pStyle w:val="Heading2nonumber"/>
      </w:pPr>
      <w:bookmarkStart w:id="1" w:name="_GoBack"/>
      <w:bookmarkEnd w:id="1"/>
      <w:r w:rsidRPr="005C315D">
        <w:t xml:space="preserve">Assessment of </w:t>
      </w:r>
      <w:r w:rsidR="003522E8" w:rsidRPr="005C315D">
        <w:t>waste exports</w:t>
      </w:r>
      <w:r w:rsidRPr="005C315D">
        <w:t xml:space="preserve"> from Australia </w:t>
      </w:r>
      <w:r w:rsidR="003522E8" w:rsidRPr="005C315D">
        <w:t xml:space="preserve">in </w:t>
      </w:r>
      <w:r w:rsidR="004D32F7">
        <w:t>December</w:t>
      </w:r>
      <w:r w:rsidR="004D32F7" w:rsidRPr="005C315D">
        <w:t xml:space="preserve"> </w:t>
      </w:r>
      <w:r w:rsidR="003522E8" w:rsidRPr="005C315D">
        <w:t>2018</w:t>
      </w:r>
    </w:p>
    <w:p w14:paraId="2642DFDA" w14:textId="334412E2" w:rsidR="00305B22" w:rsidRPr="005C315D" w:rsidRDefault="00AB4EB8" w:rsidP="009D1226">
      <w:pPr>
        <w:pStyle w:val="BodyText"/>
        <w:spacing w:after="120"/>
        <w:jc w:val="right"/>
        <w:rPr>
          <w:i/>
        </w:rPr>
      </w:pPr>
      <w:r>
        <w:rPr>
          <w:i/>
        </w:rPr>
        <w:t>20</w:t>
      </w:r>
      <w:r w:rsidR="004412D9" w:rsidRPr="005C315D">
        <w:rPr>
          <w:i/>
        </w:rPr>
        <w:t xml:space="preserve"> </w:t>
      </w:r>
      <w:r w:rsidR="00014326">
        <w:rPr>
          <w:i/>
        </w:rPr>
        <w:t>February</w:t>
      </w:r>
      <w:r w:rsidR="004412D9" w:rsidRPr="005C315D">
        <w:rPr>
          <w:i/>
        </w:rPr>
        <w:t xml:space="preserve"> </w:t>
      </w:r>
      <w:r w:rsidR="00305B22" w:rsidRPr="005C315D">
        <w:rPr>
          <w:i/>
        </w:rPr>
        <w:t>201</w:t>
      </w:r>
      <w:r w:rsidR="004412D9">
        <w:rPr>
          <w:i/>
        </w:rPr>
        <w:t>9</w:t>
      </w:r>
      <w:r w:rsidR="00305B22" w:rsidRPr="005C315D">
        <w:rPr>
          <w:i/>
        </w:rPr>
        <w:tab/>
      </w:r>
      <w:r w:rsidR="009530D1" w:rsidRPr="005C315D">
        <w:rPr>
          <w:i/>
        </w:rPr>
        <w:t>Jenny Trinh</w:t>
      </w:r>
      <w:r w:rsidR="006261B0">
        <w:rPr>
          <w:i/>
        </w:rPr>
        <w:t xml:space="preserve"> and Joe Pickin</w:t>
      </w:r>
    </w:p>
    <w:p w14:paraId="050529C9" w14:textId="1902B9A2" w:rsidR="00AF1D05" w:rsidRDefault="00AF1D05" w:rsidP="00B50BE7">
      <w:pPr>
        <w:pStyle w:val="BodyText"/>
      </w:pPr>
      <w:r>
        <w:t>Blue Environment is commissioned by the Department of the Environment and Energy to provide a monthly analysis of waste export data to June 2019. The data is provided by the Australian Bureau of Statistics, which provides monthly data covering the previous six months, including any updates.</w:t>
      </w:r>
    </w:p>
    <w:p w14:paraId="46C49E33" w14:textId="7465FDA7" w:rsidR="00E30EBE" w:rsidRPr="00850B51" w:rsidRDefault="00E30EBE" w:rsidP="00E30EBE">
      <w:pPr>
        <w:pStyle w:val="Heading3-nonumber"/>
        <w:spacing w:before="240"/>
      </w:pPr>
      <w:r>
        <w:t>Summary</w:t>
      </w:r>
    </w:p>
    <w:p w14:paraId="1D0DDB76" w14:textId="11006DC7" w:rsidR="006E734B" w:rsidRPr="005C315D" w:rsidRDefault="0083200E" w:rsidP="00B50BE7">
      <w:pPr>
        <w:pStyle w:val="BodyText"/>
      </w:pPr>
      <w:r w:rsidRPr="005C315D">
        <w:t xml:space="preserve">In </w:t>
      </w:r>
      <w:r w:rsidR="004D32F7">
        <w:t>December</w:t>
      </w:r>
      <w:r w:rsidR="004D32F7" w:rsidRPr="005C315D">
        <w:t xml:space="preserve"> </w:t>
      </w:r>
      <w:r w:rsidRPr="005C315D">
        <w:t xml:space="preserve">2018, Australia exported </w:t>
      </w:r>
      <w:r w:rsidR="00C3658F">
        <w:t>about</w:t>
      </w:r>
      <w:r w:rsidR="007928A3" w:rsidRPr="005C315D">
        <w:t xml:space="preserve"> </w:t>
      </w:r>
      <w:r w:rsidR="00976ECA">
        <w:t>406,900</w:t>
      </w:r>
      <w:r w:rsidRPr="005C315D">
        <w:t xml:space="preserve"> tonnes of waste with a value of $</w:t>
      </w:r>
      <w:r w:rsidR="00976ECA" w:rsidRPr="005C315D">
        <w:t>A</w:t>
      </w:r>
      <w:r w:rsidR="00976ECA">
        <w:t>585</w:t>
      </w:r>
      <w:r w:rsidR="00976ECA" w:rsidRPr="005C315D">
        <w:t xml:space="preserve"> </w:t>
      </w:r>
      <w:r w:rsidR="00B02451" w:rsidRPr="005C315D">
        <w:t>million</w:t>
      </w:r>
      <w:r w:rsidRPr="005C315D">
        <w:t>. This</w:t>
      </w:r>
      <w:r w:rsidR="00FD30F3" w:rsidRPr="005C315D">
        <w:t xml:space="preserve"> represents</w:t>
      </w:r>
      <w:r w:rsidRPr="005C315D">
        <w:t xml:space="preserve"> </w:t>
      </w:r>
      <w:r w:rsidR="004412D9">
        <w:t>increase</w:t>
      </w:r>
      <w:r w:rsidR="00C3658F">
        <w:t>s</w:t>
      </w:r>
      <w:r w:rsidR="004412D9" w:rsidRPr="005C315D">
        <w:t xml:space="preserve"> </w:t>
      </w:r>
      <w:r w:rsidR="006371CB" w:rsidRPr="005C315D">
        <w:t xml:space="preserve">of </w:t>
      </w:r>
      <w:r w:rsidR="00976ECA">
        <w:t>8</w:t>
      </w:r>
      <w:r w:rsidR="006371CB" w:rsidRPr="005C315D">
        <w:t>%</w:t>
      </w:r>
      <w:r w:rsidRPr="005C315D">
        <w:t xml:space="preserve"> in</w:t>
      </w:r>
      <w:r w:rsidR="006371CB" w:rsidRPr="005C315D">
        <w:t xml:space="preserve"> </w:t>
      </w:r>
      <w:r w:rsidR="00B02451" w:rsidRPr="005C315D">
        <w:t>the</w:t>
      </w:r>
      <w:r w:rsidR="007928A3" w:rsidRPr="005C315D">
        <w:t xml:space="preserve"> </w:t>
      </w:r>
      <w:r w:rsidR="006371CB" w:rsidRPr="005C315D">
        <w:t xml:space="preserve">quantity </w:t>
      </w:r>
      <w:r w:rsidR="00FD30F3" w:rsidRPr="005C315D">
        <w:t>and</w:t>
      </w:r>
      <w:r w:rsidR="00DB6385" w:rsidRPr="005C315D">
        <w:t xml:space="preserve"> </w:t>
      </w:r>
      <w:r w:rsidR="00976ECA">
        <w:t>16</w:t>
      </w:r>
      <w:r w:rsidR="006E734B" w:rsidRPr="005C315D">
        <w:t xml:space="preserve">% </w:t>
      </w:r>
      <w:r w:rsidR="00DB6385" w:rsidRPr="005C315D">
        <w:t>in</w:t>
      </w:r>
      <w:r w:rsidR="00FD30F3" w:rsidRPr="005C315D">
        <w:t xml:space="preserve"> </w:t>
      </w:r>
      <w:r w:rsidR="00850B51" w:rsidRPr="005C315D">
        <w:t>value of waste export</w:t>
      </w:r>
      <w:r w:rsidR="005830D2" w:rsidRPr="005C315D">
        <w:t>s</w:t>
      </w:r>
      <w:r w:rsidR="00850B51" w:rsidRPr="005C315D">
        <w:t xml:space="preserve"> </w:t>
      </w:r>
      <w:r w:rsidRPr="005C315D">
        <w:t xml:space="preserve">compared with </w:t>
      </w:r>
      <w:r w:rsidR="00976ECA">
        <w:t>November</w:t>
      </w:r>
      <w:r w:rsidR="00976ECA" w:rsidRPr="005C315D">
        <w:t xml:space="preserve"> </w:t>
      </w:r>
      <w:r w:rsidRPr="005C315D">
        <w:t>2018.</w:t>
      </w:r>
      <w:r w:rsidR="006E734B" w:rsidRPr="005C315D">
        <w:t xml:space="preserve"> </w:t>
      </w:r>
      <w:r w:rsidR="008523B0">
        <w:t xml:space="preserve">It </w:t>
      </w:r>
      <w:r w:rsidR="00132EE2">
        <w:t>wa</w:t>
      </w:r>
      <w:r w:rsidR="008523B0">
        <w:t>s the highest monthly total since March 2018.</w:t>
      </w:r>
    </w:p>
    <w:p w14:paraId="65AA49C0" w14:textId="14DFD1DD" w:rsidR="00397378" w:rsidRPr="00850B51" w:rsidRDefault="003522E8" w:rsidP="00541B11">
      <w:pPr>
        <w:pStyle w:val="Heading3-nonumber"/>
        <w:spacing w:before="240"/>
      </w:pPr>
      <w:r>
        <w:t>C</w:t>
      </w:r>
      <w:r w:rsidR="00397378" w:rsidRPr="00850B51">
        <w:t>omparison</w:t>
      </w:r>
      <w:r w:rsidR="00397378">
        <w:t xml:space="preserve"> by destination</w:t>
      </w:r>
    </w:p>
    <w:p w14:paraId="34AF7FBB" w14:textId="38728334" w:rsidR="00A84DAF" w:rsidRDefault="007928A3" w:rsidP="00B50BE7">
      <w:pPr>
        <w:pStyle w:val="BodyText"/>
      </w:pPr>
      <w:r>
        <w:t xml:space="preserve">The </w:t>
      </w:r>
      <w:r w:rsidR="003522E8">
        <w:t>six</w:t>
      </w:r>
      <w:r>
        <w:t xml:space="preserve"> countries receiving</w:t>
      </w:r>
      <w:r w:rsidR="00FE5B36">
        <w:t xml:space="preserve"> the most</w:t>
      </w:r>
      <w:r>
        <w:t xml:space="preserve"> waste </w:t>
      </w:r>
      <w:r w:rsidR="005830D2" w:rsidRPr="00CE1024">
        <w:t xml:space="preserve">exports </w:t>
      </w:r>
      <w:r w:rsidRPr="00CE1024">
        <w:t xml:space="preserve">from Australia in </w:t>
      </w:r>
      <w:r w:rsidR="00976ECA">
        <w:t>December</w:t>
      </w:r>
      <w:r w:rsidR="00976ECA" w:rsidRPr="00CE1024">
        <w:t xml:space="preserve"> </w:t>
      </w:r>
      <w:r w:rsidRPr="00CE1024">
        <w:t xml:space="preserve">2018 </w:t>
      </w:r>
      <w:r w:rsidR="00B02451" w:rsidRPr="00CE1024">
        <w:t xml:space="preserve">accounted for </w:t>
      </w:r>
      <w:r w:rsidR="00976ECA">
        <w:t>80</w:t>
      </w:r>
      <w:r w:rsidR="00B02451" w:rsidRPr="00CE1024">
        <w:t xml:space="preserve">% of all </w:t>
      </w:r>
      <w:r w:rsidR="00665063" w:rsidRPr="00CE1024">
        <w:t>that was</w:t>
      </w:r>
      <w:r w:rsidR="00B02451" w:rsidRPr="00CE1024">
        <w:t xml:space="preserve"> exported. These countries </w:t>
      </w:r>
      <w:r w:rsidRPr="00CE1024">
        <w:t>were</w:t>
      </w:r>
      <w:r w:rsidR="00C20588" w:rsidRPr="00CE1024">
        <w:t>, in order,</w:t>
      </w:r>
      <w:r w:rsidR="009C42B6" w:rsidRPr="00CE1024">
        <w:t xml:space="preserve"> </w:t>
      </w:r>
      <w:r w:rsidR="002E44F5">
        <w:t xml:space="preserve">Vietnam, </w:t>
      </w:r>
      <w:r w:rsidR="009530D1" w:rsidRPr="00CE1024">
        <w:t xml:space="preserve">Indonesia, China (including Hong Kong and Macau), </w:t>
      </w:r>
      <w:r w:rsidR="00752905" w:rsidRPr="00CE1024">
        <w:t>India,</w:t>
      </w:r>
      <w:r w:rsidR="009530D1" w:rsidRPr="00CE1024">
        <w:t xml:space="preserve"> </w:t>
      </w:r>
      <w:r w:rsidR="00752905" w:rsidRPr="00CE1024">
        <w:t xml:space="preserve">Malaysia and </w:t>
      </w:r>
      <w:r w:rsidR="00976ECA">
        <w:t>Japan</w:t>
      </w:r>
      <w:r w:rsidR="009530D1" w:rsidRPr="00CE1024">
        <w:t>.</w:t>
      </w:r>
      <w:r w:rsidR="00642752">
        <w:t xml:space="preserve"> The first five were also the highest ranked in </w:t>
      </w:r>
      <w:r w:rsidR="00976ECA">
        <w:t>November</w:t>
      </w:r>
      <w:r w:rsidR="00976ECA" w:rsidRPr="00CE1024">
        <w:t xml:space="preserve"> </w:t>
      </w:r>
      <w:r w:rsidR="00752905" w:rsidRPr="00CE1024">
        <w:t>2018</w:t>
      </w:r>
      <w:r w:rsidR="00642752">
        <w:t>, and in the same order</w:t>
      </w:r>
      <w:r w:rsidR="002E44F5">
        <w:t xml:space="preserve">. </w:t>
      </w:r>
      <w:r w:rsidR="00A84DAF">
        <w:t>Japan moved from 17</w:t>
      </w:r>
      <w:r w:rsidR="00A84DAF" w:rsidRPr="00642752">
        <w:rPr>
          <w:vertAlign w:val="superscript"/>
        </w:rPr>
        <w:t>th</w:t>
      </w:r>
      <w:r w:rsidR="00A84DAF">
        <w:t xml:space="preserve"> place to sixth place, </w:t>
      </w:r>
      <w:r w:rsidR="00E46613">
        <w:t xml:space="preserve">having received a </w:t>
      </w:r>
      <w:r w:rsidR="008919C7">
        <w:t>21,000 tonne</w:t>
      </w:r>
      <w:r w:rsidR="00E46613">
        <w:t xml:space="preserve"> shipment of </w:t>
      </w:r>
      <w:r w:rsidR="008919C7">
        <w:t>‘s</w:t>
      </w:r>
      <w:r w:rsidR="008919C7" w:rsidRPr="008919C7">
        <w:t>awdust and wood waste and scrap, in the form of pellets</w:t>
      </w:r>
      <w:r w:rsidR="008919C7">
        <w:t>’</w:t>
      </w:r>
      <w:r w:rsidR="00A84DAF">
        <w:t xml:space="preserve">.  </w:t>
      </w:r>
    </w:p>
    <w:p w14:paraId="07EF0D05" w14:textId="77777777" w:rsidR="00F65DB4" w:rsidRPr="007E5F8F" w:rsidRDefault="00F65DB4" w:rsidP="00B50BE7">
      <w:pPr>
        <w:pStyle w:val="BodyText"/>
      </w:pPr>
    </w:p>
    <w:p w14:paraId="50DC27F6" w14:textId="09CB4A55" w:rsidR="0083200E" w:rsidRDefault="00642752" w:rsidP="00B50BE7">
      <w:pPr>
        <w:pStyle w:val="BodyText"/>
      </w:pPr>
      <w:r w:rsidRPr="004368A9">
        <w:fldChar w:fldCharType="begin"/>
      </w:r>
      <w:r w:rsidRPr="004368A9">
        <w:instrText xml:space="preserve"> REF _Ref524597468 \h  \* MERGEFORMAT </w:instrText>
      </w:r>
      <w:r w:rsidRPr="004368A9">
        <w:fldChar w:fldCharType="separate"/>
      </w:r>
      <w:r w:rsidR="00510A11">
        <w:t xml:space="preserve">Table </w:t>
      </w:r>
      <w:r w:rsidR="00510A11">
        <w:rPr>
          <w:noProof/>
        </w:rPr>
        <w:t>1</w:t>
      </w:r>
      <w:r w:rsidRPr="004368A9">
        <w:fldChar w:fldCharType="end"/>
      </w:r>
      <w:r w:rsidRPr="004368A9">
        <w:t xml:space="preserve"> compares the top six receiving countries in December 2018</w:t>
      </w:r>
      <w:r w:rsidRPr="007E5F8F">
        <w:t xml:space="preserve"> with their </w:t>
      </w:r>
      <w:r>
        <w:t>November</w:t>
      </w:r>
      <w:r w:rsidRPr="007E5F8F">
        <w:t xml:space="preserve"> 2018 volumes and 2017-18 monthly average.</w:t>
      </w:r>
      <w:r>
        <w:t xml:space="preserve"> The</w:t>
      </w:r>
      <w:r w:rsidR="00B74934" w:rsidRPr="007E5F8F">
        <w:t xml:space="preserve"> top six</w:t>
      </w:r>
      <w:r>
        <w:t xml:space="preserve"> mostly</w:t>
      </w:r>
      <w:r w:rsidR="00B74934" w:rsidRPr="007E5F8F">
        <w:t xml:space="preserve"> received more waste their monthly 2017-18 average</w:t>
      </w:r>
      <w:r>
        <w:t xml:space="preserve">. The exceptions were </w:t>
      </w:r>
      <w:r w:rsidR="000774B8">
        <w:t>China</w:t>
      </w:r>
      <w:r w:rsidR="009F7E35" w:rsidRPr="007E5F8F">
        <w:t xml:space="preserve"> </w:t>
      </w:r>
      <w:r w:rsidR="004F2E03" w:rsidRPr="007E5F8F">
        <w:t>(</w:t>
      </w:r>
      <w:r w:rsidR="000774B8">
        <w:t>3,600</w:t>
      </w:r>
      <w:r w:rsidR="009F7E35" w:rsidRPr="007E5F8F">
        <w:t xml:space="preserve"> </w:t>
      </w:r>
      <w:r w:rsidR="009F7E35">
        <w:t xml:space="preserve">tonnes </w:t>
      </w:r>
      <w:r w:rsidR="004F2E03" w:rsidRPr="007E5F8F">
        <w:t xml:space="preserve">or </w:t>
      </w:r>
      <w:r w:rsidR="000774B8">
        <w:t>6</w:t>
      </w:r>
      <w:r w:rsidR="004F2E03" w:rsidRPr="007E5F8F">
        <w:t>% less)</w:t>
      </w:r>
      <w:r w:rsidR="009F7E35">
        <w:t xml:space="preserve"> and Malaysia (</w:t>
      </w:r>
      <w:r w:rsidR="000774B8">
        <w:t xml:space="preserve">5,800 </w:t>
      </w:r>
      <w:r w:rsidR="009F7E35">
        <w:t xml:space="preserve">tonnes or </w:t>
      </w:r>
      <w:r w:rsidR="000774B8">
        <w:t>19%</w:t>
      </w:r>
      <w:r w:rsidR="009F7E35">
        <w:t xml:space="preserve"> less)</w:t>
      </w:r>
      <w:r w:rsidR="00B74934" w:rsidRPr="007E5F8F">
        <w:t xml:space="preserve">. </w:t>
      </w:r>
      <w:r w:rsidR="000E7A91">
        <w:t>Vietnam, Indonesia and China received less waste in December 2018</w:t>
      </w:r>
      <w:r>
        <w:t xml:space="preserve"> than the previous month</w:t>
      </w:r>
      <w:r w:rsidR="000E7A91">
        <w:t xml:space="preserve">. India received an additional 19,300 tonnes (57%), Malaysia 1,600 tonnes (7%) and Japan 21,000 (1545%). </w:t>
      </w:r>
    </w:p>
    <w:p w14:paraId="28F5E0B6" w14:textId="13EF466C" w:rsidR="00B02451" w:rsidRDefault="00B02451" w:rsidP="009C465E">
      <w:pPr>
        <w:pStyle w:val="Caption"/>
      </w:pPr>
      <w:bookmarkStart w:id="2" w:name="_Ref524597468"/>
      <w:r>
        <w:t xml:space="preserve">Table </w:t>
      </w:r>
      <w:r w:rsidR="00EC1C4A">
        <w:rPr>
          <w:noProof/>
        </w:rPr>
        <w:fldChar w:fldCharType="begin"/>
      </w:r>
      <w:r w:rsidR="00EC1C4A">
        <w:rPr>
          <w:noProof/>
        </w:rPr>
        <w:instrText xml:space="preserve"> SEQ Table \* ARABIC </w:instrText>
      </w:r>
      <w:r w:rsidR="00EC1C4A">
        <w:rPr>
          <w:noProof/>
        </w:rPr>
        <w:fldChar w:fldCharType="separate"/>
      </w:r>
      <w:r w:rsidR="00510A11">
        <w:rPr>
          <w:noProof/>
        </w:rPr>
        <w:t>1</w:t>
      </w:r>
      <w:r w:rsidR="00EC1C4A">
        <w:rPr>
          <w:noProof/>
        </w:rPr>
        <w:fldChar w:fldCharType="end"/>
      </w:r>
      <w:bookmarkEnd w:id="2"/>
      <w:r>
        <w:tab/>
        <w:t xml:space="preserve">Comparison of month-to-month waste export </w:t>
      </w:r>
      <w:r w:rsidR="003522E8">
        <w:t>volume by destination</w:t>
      </w:r>
    </w:p>
    <w:tbl>
      <w:tblPr>
        <w:tblStyle w:val="BE-table"/>
        <w:tblW w:w="0" w:type="auto"/>
        <w:tblLook w:val="04A0" w:firstRow="1" w:lastRow="0" w:firstColumn="1" w:lastColumn="0" w:noHBand="0" w:noVBand="1"/>
      </w:tblPr>
      <w:tblGrid>
        <w:gridCol w:w="392"/>
        <w:gridCol w:w="1445"/>
        <w:gridCol w:w="1105"/>
        <w:gridCol w:w="1100"/>
        <w:gridCol w:w="631"/>
        <w:gridCol w:w="1110"/>
        <w:gridCol w:w="1135"/>
        <w:gridCol w:w="1295"/>
        <w:gridCol w:w="809"/>
      </w:tblGrid>
      <w:tr w:rsidR="003522E8" w14:paraId="57D16BA9" w14:textId="77777777" w:rsidTr="00FD30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gridSpan w:val="2"/>
            <w:vMerge w:val="restart"/>
          </w:tcPr>
          <w:p w14:paraId="7BBA5F82" w14:textId="77777777" w:rsidR="003522E8" w:rsidRPr="00175583" w:rsidRDefault="003522E8" w:rsidP="004256CC">
            <w:pPr>
              <w:pStyle w:val="BodyText"/>
              <w:spacing w:beforeLines="0" w:before="0" w:afterLines="0" w:after="0"/>
            </w:pPr>
            <w:r w:rsidRPr="00175583">
              <w:t>Export destination by monthly rank</w:t>
            </w:r>
          </w:p>
        </w:tc>
        <w:tc>
          <w:tcPr>
            <w:tcW w:w="2205" w:type="dxa"/>
            <w:gridSpan w:val="2"/>
          </w:tcPr>
          <w:p w14:paraId="37EF03AD" w14:textId="7BBF59A0" w:rsidR="003522E8" w:rsidRPr="00175583" w:rsidRDefault="000E7A91" w:rsidP="004256CC">
            <w:pPr>
              <w:pStyle w:val="BodyText"/>
              <w:spacing w:beforeLines="0" w:before="0" w:afterLines="0" w:after="0"/>
              <w:jc w:val="center"/>
              <w:cnfStyle w:val="100000000000" w:firstRow="1" w:lastRow="0" w:firstColumn="0" w:lastColumn="0" w:oddVBand="0" w:evenVBand="0" w:oddHBand="0" w:evenHBand="0" w:firstRowFirstColumn="0" w:firstRowLastColumn="0" w:lastRowFirstColumn="0" w:lastRowLastColumn="0"/>
            </w:pPr>
            <w:r>
              <w:t>December</w:t>
            </w:r>
            <w:r w:rsidR="003522E8" w:rsidRPr="00175583">
              <w:t xml:space="preserve"> 18</w:t>
            </w:r>
          </w:p>
        </w:tc>
        <w:tc>
          <w:tcPr>
            <w:tcW w:w="1741" w:type="dxa"/>
            <w:gridSpan w:val="2"/>
          </w:tcPr>
          <w:p w14:paraId="676CCAA7" w14:textId="0D8E7819" w:rsidR="003522E8" w:rsidRPr="00175583" w:rsidRDefault="000E7A91" w:rsidP="004256CC">
            <w:pPr>
              <w:pStyle w:val="BodyText"/>
              <w:spacing w:beforeLines="0" w:before="0" w:afterLines="0" w:after="0"/>
              <w:jc w:val="center"/>
              <w:cnfStyle w:val="100000000000" w:firstRow="1" w:lastRow="0" w:firstColumn="0" w:lastColumn="0" w:oddVBand="0" w:evenVBand="0" w:oddHBand="0" w:evenHBand="0" w:firstRowFirstColumn="0" w:firstRowLastColumn="0" w:lastRowFirstColumn="0" w:lastRowLastColumn="0"/>
            </w:pPr>
            <w:r>
              <w:t>November</w:t>
            </w:r>
            <w:r w:rsidR="003522E8" w:rsidRPr="00175583">
              <w:t xml:space="preserve"> 18</w:t>
            </w:r>
          </w:p>
        </w:tc>
        <w:tc>
          <w:tcPr>
            <w:tcW w:w="1135" w:type="dxa"/>
          </w:tcPr>
          <w:p w14:paraId="53A75B75" w14:textId="77777777" w:rsidR="003522E8" w:rsidRPr="00175583" w:rsidRDefault="003522E8" w:rsidP="004256CC">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p>
        </w:tc>
        <w:tc>
          <w:tcPr>
            <w:tcW w:w="1295" w:type="dxa"/>
            <w:vMerge w:val="restart"/>
          </w:tcPr>
          <w:p w14:paraId="566C7BD5" w14:textId="77777777" w:rsidR="003522E8" w:rsidRPr="00175583" w:rsidRDefault="003522E8" w:rsidP="003522E8">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175583">
              <w:t>2017-18 monthly avg</w:t>
            </w:r>
          </w:p>
        </w:tc>
        <w:tc>
          <w:tcPr>
            <w:tcW w:w="809" w:type="dxa"/>
            <w:vMerge w:val="restart"/>
          </w:tcPr>
          <w:p w14:paraId="1AD77C8A" w14:textId="77777777" w:rsidR="003522E8" w:rsidRPr="003522E8" w:rsidRDefault="003522E8" w:rsidP="003522E8">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175583">
              <w:t>% change</w:t>
            </w:r>
          </w:p>
        </w:tc>
      </w:tr>
      <w:tr w:rsidR="003522E8" w14:paraId="71778CDA" w14:textId="77777777" w:rsidTr="00FD30F3">
        <w:tc>
          <w:tcPr>
            <w:cnfStyle w:val="001000000000" w:firstRow="0" w:lastRow="0" w:firstColumn="1" w:lastColumn="0" w:oddVBand="0" w:evenVBand="0" w:oddHBand="0" w:evenHBand="0" w:firstRowFirstColumn="0" w:firstRowLastColumn="0" w:lastRowFirstColumn="0" w:lastRowLastColumn="0"/>
            <w:tcW w:w="1837" w:type="dxa"/>
            <w:gridSpan w:val="2"/>
            <w:vMerge/>
            <w:shd w:val="clear" w:color="auto" w:fill="B7B7E2" w:themeFill="accent1" w:themeFillTint="66"/>
          </w:tcPr>
          <w:p w14:paraId="181C0EB5" w14:textId="77777777" w:rsidR="003522E8" w:rsidRPr="007928A3" w:rsidRDefault="003522E8" w:rsidP="004256CC">
            <w:pPr>
              <w:pStyle w:val="BodyText"/>
              <w:spacing w:before="0" w:after="0"/>
              <w:jc w:val="right"/>
              <w:rPr>
                <w:b/>
                <w:color w:val="FFFFFF" w:themeColor="background1"/>
              </w:rPr>
            </w:pPr>
          </w:p>
        </w:tc>
        <w:tc>
          <w:tcPr>
            <w:tcW w:w="1105" w:type="dxa"/>
            <w:shd w:val="clear" w:color="auto" w:fill="B7B7E2" w:themeFill="accent1" w:themeFillTint="66"/>
          </w:tcPr>
          <w:p w14:paraId="076D0734" w14:textId="77777777" w:rsidR="003522E8" w:rsidRPr="007928A3" w:rsidRDefault="003522E8" w:rsidP="004256C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8A3">
              <w:rPr>
                <w:b/>
                <w:color w:val="FFFFFF" w:themeColor="background1"/>
              </w:rPr>
              <w:t>Tonnes</w:t>
            </w:r>
          </w:p>
        </w:tc>
        <w:tc>
          <w:tcPr>
            <w:tcW w:w="1100" w:type="dxa"/>
            <w:shd w:val="clear" w:color="auto" w:fill="B7B7E2" w:themeFill="accent1" w:themeFillTint="66"/>
          </w:tcPr>
          <w:p w14:paraId="7CBA1A5F" w14:textId="77777777" w:rsidR="003522E8" w:rsidRPr="007928A3" w:rsidRDefault="003522E8" w:rsidP="004256C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8A3">
              <w:rPr>
                <w:b/>
                <w:color w:val="FFFFFF" w:themeColor="background1"/>
              </w:rPr>
              <w:t>% of total</w:t>
            </w:r>
          </w:p>
        </w:tc>
        <w:tc>
          <w:tcPr>
            <w:tcW w:w="631" w:type="dxa"/>
            <w:shd w:val="clear" w:color="auto" w:fill="B7B7E2" w:themeFill="accent1" w:themeFillTint="66"/>
          </w:tcPr>
          <w:p w14:paraId="0A92AF78" w14:textId="77777777" w:rsidR="003522E8" w:rsidRPr="007928A3" w:rsidRDefault="003522E8" w:rsidP="004256C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Rank</w:t>
            </w:r>
          </w:p>
        </w:tc>
        <w:tc>
          <w:tcPr>
            <w:tcW w:w="1110" w:type="dxa"/>
            <w:shd w:val="clear" w:color="auto" w:fill="B7B7E2" w:themeFill="accent1" w:themeFillTint="66"/>
          </w:tcPr>
          <w:p w14:paraId="386232EF" w14:textId="77777777" w:rsidR="003522E8" w:rsidRPr="007928A3" w:rsidRDefault="003522E8" w:rsidP="004256C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8A3">
              <w:rPr>
                <w:b/>
                <w:color w:val="FFFFFF" w:themeColor="background1"/>
              </w:rPr>
              <w:t>Tonnes</w:t>
            </w:r>
          </w:p>
        </w:tc>
        <w:tc>
          <w:tcPr>
            <w:tcW w:w="1135" w:type="dxa"/>
            <w:shd w:val="clear" w:color="auto" w:fill="B7B7E2" w:themeFill="accent1" w:themeFillTint="66"/>
          </w:tcPr>
          <w:p w14:paraId="2A48D856" w14:textId="77777777" w:rsidR="003522E8" w:rsidRPr="007928A3" w:rsidRDefault="003522E8" w:rsidP="004256CC">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8A3">
              <w:rPr>
                <w:b/>
                <w:color w:val="FFFFFF" w:themeColor="background1"/>
              </w:rPr>
              <w:t>% change</w:t>
            </w:r>
          </w:p>
        </w:tc>
        <w:tc>
          <w:tcPr>
            <w:tcW w:w="1295" w:type="dxa"/>
            <w:vMerge/>
            <w:shd w:val="clear" w:color="auto" w:fill="B7B7E2" w:themeFill="accent1" w:themeFillTint="66"/>
          </w:tcPr>
          <w:p w14:paraId="47A02918" w14:textId="77777777" w:rsidR="003522E8" w:rsidRPr="007928A3" w:rsidRDefault="003522E8" w:rsidP="003522E8">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809" w:type="dxa"/>
            <w:vMerge/>
            <w:shd w:val="clear" w:color="auto" w:fill="B7B7E2" w:themeFill="accent1" w:themeFillTint="66"/>
          </w:tcPr>
          <w:p w14:paraId="66554CFE" w14:textId="77777777" w:rsidR="003522E8" w:rsidRPr="007928A3" w:rsidRDefault="003522E8" w:rsidP="003522E8">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color w:val="FFFFFF" w:themeColor="background1"/>
              </w:rPr>
            </w:pPr>
          </w:p>
        </w:tc>
      </w:tr>
      <w:tr w:rsidR="000E7A91" w14:paraId="35E8CB15" w14:textId="77777777" w:rsidTr="00FD30F3">
        <w:tc>
          <w:tcPr>
            <w:cnfStyle w:val="001000000000" w:firstRow="0" w:lastRow="0" w:firstColumn="1" w:lastColumn="0" w:oddVBand="0" w:evenVBand="0" w:oddHBand="0" w:evenHBand="0" w:firstRowFirstColumn="0" w:firstRowLastColumn="0" w:lastRowFirstColumn="0" w:lastRowLastColumn="0"/>
            <w:tcW w:w="392" w:type="dxa"/>
          </w:tcPr>
          <w:p w14:paraId="12638C92" w14:textId="499F1DDC" w:rsidR="000E7A91" w:rsidRDefault="000E7A91" w:rsidP="000E7A91">
            <w:pPr>
              <w:pStyle w:val="BodyText"/>
              <w:spacing w:before="0" w:after="0"/>
            </w:pPr>
            <w:r w:rsidRPr="00641109">
              <w:t>1</w:t>
            </w:r>
          </w:p>
        </w:tc>
        <w:tc>
          <w:tcPr>
            <w:tcW w:w="1445" w:type="dxa"/>
          </w:tcPr>
          <w:p w14:paraId="10147CCE" w14:textId="2F573198" w:rsidR="000E7A91" w:rsidRDefault="000E7A91" w:rsidP="000E7A91">
            <w:pPr>
              <w:pStyle w:val="BodyText"/>
              <w:spacing w:before="0" w:after="0"/>
              <w:cnfStyle w:val="000000000000" w:firstRow="0" w:lastRow="0" w:firstColumn="0" w:lastColumn="0" w:oddVBand="0" w:evenVBand="0" w:oddHBand="0" w:evenHBand="0" w:firstRowFirstColumn="0" w:firstRowLastColumn="0" w:lastRowFirstColumn="0" w:lastRowLastColumn="0"/>
            </w:pPr>
            <w:r w:rsidRPr="00641109">
              <w:t>Vietnam</w:t>
            </w:r>
          </w:p>
        </w:tc>
        <w:tc>
          <w:tcPr>
            <w:tcW w:w="1105" w:type="dxa"/>
          </w:tcPr>
          <w:p w14:paraId="7D04B46A" w14:textId="0C413988" w:rsidR="000E7A91" w:rsidRPr="0083200E"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17A63">
              <w:t>88,700</w:t>
            </w:r>
          </w:p>
        </w:tc>
        <w:tc>
          <w:tcPr>
            <w:tcW w:w="1100" w:type="dxa"/>
          </w:tcPr>
          <w:p w14:paraId="388A2E96" w14:textId="2AA6E999" w:rsidR="000E7A91" w:rsidRPr="0083200E"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17A63">
              <w:t>22%</w:t>
            </w:r>
          </w:p>
        </w:tc>
        <w:tc>
          <w:tcPr>
            <w:tcW w:w="631" w:type="dxa"/>
          </w:tcPr>
          <w:p w14:paraId="2829EF82" w14:textId="50994C5E" w:rsidR="000E7A91" w:rsidRPr="007928A3"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17A63">
              <w:t>1</w:t>
            </w:r>
          </w:p>
        </w:tc>
        <w:tc>
          <w:tcPr>
            <w:tcW w:w="1110" w:type="dxa"/>
          </w:tcPr>
          <w:p w14:paraId="6BD61ED9" w14:textId="1F4CBF4C" w:rsidR="000E7A91" w:rsidRPr="007928A3"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17A63">
              <w:t>102,900</w:t>
            </w:r>
          </w:p>
        </w:tc>
        <w:tc>
          <w:tcPr>
            <w:tcW w:w="1135" w:type="dxa"/>
          </w:tcPr>
          <w:p w14:paraId="106A55C2" w14:textId="4559BA53" w:rsidR="000E7A91" w:rsidRPr="007928A3"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17A63">
              <w:t>-14%</w:t>
            </w:r>
          </w:p>
        </w:tc>
        <w:tc>
          <w:tcPr>
            <w:tcW w:w="1295" w:type="dxa"/>
          </w:tcPr>
          <w:p w14:paraId="5A68AEBE" w14:textId="2D817F7D" w:rsidR="000E7A91" w:rsidRPr="00397378"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17A63">
              <w:t>50,300</w:t>
            </w:r>
          </w:p>
        </w:tc>
        <w:tc>
          <w:tcPr>
            <w:tcW w:w="809" w:type="dxa"/>
          </w:tcPr>
          <w:p w14:paraId="7D04A2DC" w14:textId="392942EF" w:rsidR="000E7A91" w:rsidRPr="003522E8"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17A63">
              <w:t>76%</w:t>
            </w:r>
          </w:p>
        </w:tc>
      </w:tr>
      <w:tr w:rsidR="000E7A91" w14:paraId="55ABB803" w14:textId="77777777" w:rsidTr="00FD30F3">
        <w:tc>
          <w:tcPr>
            <w:cnfStyle w:val="001000000000" w:firstRow="0" w:lastRow="0" w:firstColumn="1" w:lastColumn="0" w:oddVBand="0" w:evenVBand="0" w:oddHBand="0" w:evenHBand="0" w:firstRowFirstColumn="0" w:firstRowLastColumn="0" w:lastRowFirstColumn="0" w:lastRowLastColumn="0"/>
            <w:tcW w:w="392" w:type="dxa"/>
          </w:tcPr>
          <w:p w14:paraId="3EC3B387" w14:textId="0A806ED2" w:rsidR="000E7A91" w:rsidRDefault="000E7A91" w:rsidP="000E7A91">
            <w:pPr>
              <w:pStyle w:val="BodyText"/>
              <w:spacing w:before="0" w:after="0"/>
            </w:pPr>
            <w:r w:rsidRPr="00641109">
              <w:t>2</w:t>
            </w:r>
          </w:p>
        </w:tc>
        <w:tc>
          <w:tcPr>
            <w:tcW w:w="1445" w:type="dxa"/>
          </w:tcPr>
          <w:p w14:paraId="74CB2625" w14:textId="2B36C748" w:rsidR="000E7A91" w:rsidRDefault="000E7A91" w:rsidP="000E7A91">
            <w:pPr>
              <w:pStyle w:val="BodyText"/>
              <w:spacing w:before="0" w:after="0"/>
              <w:cnfStyle w:val="000000000000" w:firstRow="0" w:lastRow="0" w:firstColumn="0" w:lastColumn="0" w:oddVBand="0" w:evenVBand="0" w:oddHBand="0" w:evenHBand="0" w:firstRowFirstColumn="0" w:firstRowLastColumn="0" w:lastRowFirstColumn="0" w:lastRowLastColumn="0"/>
            </w:pPr>
            <w:r w:rsidRPr="00641109">
              <w:t>Indonesia</w:t>
            </w:r>
          </w:p>
        </w:tc>
        <w:tc>
          <w:tcPr>
            <w:tcW w:w="1105" w:type="dxa"/>
          </w:tcPr>
          <w:p w14:paraId="30834D0F" w14:textId="4B906F86" w:rsidR="000E7A91" w:rsidRPr="0083200E"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17A63">
              <w:t>76,700</w:t>
            </w:r>
          </w:p>
        </w:tc>
        <w:tc>
          <w:tcPr>
            <w:tcW w:w="1100" w:type="dxa"/>
          </w:tcPr>
          <w:p w14:paraId="382FF66A" w14:textId="1F7DABBC" w:rsidR="000E7A91" w:rsidRPr="0083200E"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17A63">
              <w:t>19%</w:t>
            </w:r>
          </w:p>
        </w:tc>
        <w:tc>
          <w:tcPr>
            <w:tcW w:w="631" w:type="dxa"/>
          </w:tcPr>
          <w:p w14:paraId="230D22AA" w14:textId="2160B416" w:rsidR="000E7A91" w:rsidRPr="007928A3"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17A63">
              <w:t>2</w:t>
            </w:r>
          </w:p>
        </w:tc>
        <w:tc>
          <w:tcPr>
            <w:tcW w:w="1110" w:type="dxa"/>
          </w:tcPr>
          <w:p w14:paraId="49F7ABA6" w14:textId="36297DCD" w:rsidR="000E7A91" w:rsidRPr="007928A3"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17A63">
              <w:t>84,500</w:t>
            </w:r>
          </w:p>
        </w:tc>
        <w:tc>
          <w:tcPr>
            <w:tcW w:w="1135" w:type="dxa"/>
          </w:tcPr>
          <w:p w14:paraId="3D80DB9E" w14:textId="5A419715" w:rsidR="000E7A91" w:rsidRPr="007928A3"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17A63">
              <w:t>-9%</w:t>
            </w:r>
          </w:p>
        </w:tc>
        <w:tc>
          <w:tcPr>
            <w:tcW w:w="1295" w:type="dxa"/>
          </w:tcPr>
          <w:p w14:paraId="13760DD9" w14:textId="4307FC29" w:rsidR="000E7A91" w:rsidRPr="00397378"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17A63">
              <w:t>60,600</w:t>
            </w:r>
          </w:p>
        </w:tc>
        <w:tc>
          <w:tcPr>
            <w:tcW w:w="809" w:type="dxa"/>
          </w:tcPr>
          <w:p w14:paraId="32FE0251" w14:textId="4F6FC4CF" w:rsidR="000E7A91" w:rsidRPr="003522E8"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17A63">
              <w:t>27%</w:t>
            </w:r>
          </w:p>
        </w:tc>
      </w:tr>
      <w:tr w:rsidR="000E7A91" w14:paraId="76B4CBFD" w14:textId="77777777" w:rsidTr="00FD30F3">
        <w:tc>
          <w:tcPr>
            <w:cnfStyle w:val="001000000000" w:firstRow="0" w:lastRow="0" w:firstColumn="1" w:lastColumn="0" w:oddVBand="0" w:evenVBand="0" w:oddHBand="0" w:evenHBand="0" w:firstRowFirstColumn="0" w:firstRowLastColumn="0" w:lastRowFirstColumn="0" w:lastRowLastColumn="0"/>
            <w:tcW w:w="392" w:type="dxa"/>
          </w:tcPr>
          <w:p w14:paraId="37BF3C15" w14:textId="47F311EA" w:rsidR="000E7A91" w:rsidRDefault="000E7A91" w:rsidP="000E7A91">
            <w:pPr>
              <w:pStyle w:val="BodyText"/>
              <w:spacing w:before="0" w:after="0"/>
            </w:pPr>
            <w:r w:rsidRPr="00641109">
              <w:t>3</w:t>
            </w:r>
          </w:p>
        </w:tc>
        <w:tc>
          <w:tcPr>
            <w:tcW w:w="1445" w:type="dxa"/>
          </w:tcPr>
          <w:p w14:paraId="3E70C82C" w14:textId="100550EB" w:rsidR="000E7A91" w:rsidRDefault="000E7A91" w:rsidP="000E7A91">
            <w:pPr>
              <w:pStyle w:val="BodyText"/>
              <w:spacing w:before="0" w:after="0"/>
              <w:cnfStyle w:val="000000000000" w:firstRow="0" w:lastRow="0" w:firstColumn="0" w:lastColumn="0" w:oddVBand="0" w:evenVBand="0" w:oddHBand="0" w:evenHBand="0" w:firstRowFirstColumn="0" w:firstRowLastColumn="0" w:lastRowFirstColumn="0" w:lastRowLastColumn="0"/>
            </w:pPr>
            <w:r w:rsidRPr="00641109">
              <w:t xml:space="preserve">China </w:t>
            </w:r>
          </w:p>
        </w:tc>
        <w:tc>
          <w:tcPr>
            <w:tcW w:w="1105" w:type="dxa"/>
          </w:tcPr>
          <w:p w14:paraId="07BC11F6" w14:textId="1E059BDB" w:rsidR="000E7A91" w:rsidRPr="0083200E"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17A63">
              <w:t>58,500</w:t>
            </w:r>
          </w:p>
        </w:tc>
        <w:tc>
          <w:tcPr>
            <w:tcW w:w="1100" w:type="dxa"/>
          </w:tcPr>
          <w:p w14:paraId="5509B2E7" w14:textId="19365768" w:rsidR="000E7A91" w:rsidRPr="0083200E"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17A63">
              <w:t>14%</w:t>
            </w:r>
          </w:p>
        </w:tc>
        <w:tc>
          <w:tcPr>
            <w:tcW w:w="631" w:type="dxa"/>
          </w:tcPr>
          <w:p w14:paraId="70212C05" w14:textId="7C9C6CAD" w:rsidR="000E7A91" w:rsidRPr="007928A3"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17A63">
              <w:t>3</w:t>
            </w:r>
          </w:p>
        </w:tc>
        <w:tc>
          <w:tcPr>
            <w:tcW w:w="1110" w:type="dxa"/>
          </w:tcPr>
          <w:p w14:paraId="43A2AF6E" w14:textId="25806E63" w:rsidR="000E7A91" w:rsidRPr="007928A3"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17A63">
              <w:t>64,800</w:t>
            </w:r>
          </w:p>
        </w:tc>
        <w:tc>
          <w:tcPr>
            <w:tcW w:w="1135" w:type="dxa"/>
          </w:tcPr>
          <w:p w14:paraId="5330F34A" w14:textId="60F3B30A" w:rsidR="000E7A91" w:rsidRPr="007928A3"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17A63">
              <w:t>-10%</w:t>
            </w:r>
          </w:p>
        </w:tc>
        <w:tc>
          <w:tcPr>
            <w:tcW w:w="1295" w:type="dxa"/>
          </w:tcPr>
          <w:p w14:paraId="17F2400B" w14:textId="28CA6AF7" w:rsidR="000E7A91" w:rsidRPr="00397378"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17A63">
              <w:t>62,100</w:t>
            </w:r>
          </w:p>
        </w:tc>
        <w:tc>
          <w:tcPr>
            <w:tcW w:w="809" w:type="dxa"/>
          </w:tcPr>
          <w:p w14:paraId="438F9786" w14:textId="6F09B1EF" w:rsidR="000E7A91" w:rsidRPr="003522E8"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17A63">
              <w:t>-6%</w:t>
            </w:r>
          </w:p>
        </w:tc>
      </w:tr>
      <w:tr w:rsidR="000E7A91" w14:paraId="08069064" w14:textId="77777777" w:rsidTr="00FD30F3">
        <w:tc>
          <w:tcPr>
            <w:cnfStyle w:val="001000000000" w:firstRow="0" w:lastRow="0" w:firstColumn="1" w:lastColumn="0" w:oddVBand="0" w:evenVBand="0" w:oddHBand="0" w:evenHBand="0" w:firstRowFirstColumn="0" w:firstRowLastColumn="0" w:lastRowFirstColumn="0" w:lastRowLastColumn="0"/>
            <w:tcW w:w="392" w:type="dxa"/>
          </w:tcPr>
          <w:p w14:paraId="1102A0B9" w14:textId="7C26AF92" w:rsidR="000E7A91" w:rsidRDefault="000E7A91" w:rsidP="000E7A91">
            <w:pPr>
              <w:pStyle w:val="BodyText"/>
              <w:spacing w:before="0" w:after="0"/>
            </w:pPr>
            <w:r w:rsidRPr="00641109">
              <w:t>4</w:t>
            </w:r>
          </w:p>
        </w:tc>
        <w:tc>
          <w:tcPr>
            <w:tcW w:w="1445" w:type="dxa"/>
          </w:tcPr>
          <w:p w14:paraId="2CDC9DC5" w14:textId="3CF9D472" w:rsidR="000E7A91" w:rsidRDefault="000E7A91" w:rsidP="000E7A91">
            <w:pPr>
              <w:pStyle w:val="BodyText"/>
              <w:spacing w:before="0" w:after="0"/>
              <w:cnfStyle w:val="000000000000" w:firstRow="0" w:lastRow="0" w:firstColumn="0" w:lastColumn="0" w:oddVBand="0" w:evenVBand="0" w:oddHBand="0" w:evenHBand="0" w:firstRowFirstColumn="0" w:firstRowLastColumn="0" w:lastRowFirstColumn="0" w:lastRowLastColumn="0"/>
            </w:pPr>
            <w:r w:rsidRPr="00641109">
              <w:t>India</w:t>
            </w:r>
          </w:p>
        </w:tc>
        <w:tc>
          <w:tcPr>
            <w:tcW w:w="1105" w:type="dxa"/>
          </w:tcPr>
          <w:p w14:paraId="269D49C3" w14:textId="1C69EEB6" w:rsidR="000E7A91" w:rsidRPr="0083200E"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17A63">
              <w:t>52,800</w:t>
            </w:r>
          </w:p>
        </w:tc>
        <w:tc>
          <w:tcPr>
            <w:tcW w:w="1100" w:type="dxa"/>
          </w:tcPr>
          <w:p w14:paraId="7B238458" w14:textId="7FD3F11E" w:rsidR="000E7A91" w:rsidRPr="0083200E"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17A63">
              <w:t>13%</w:t>
            </w:r>
          </w:p>
        </w:tc>
        <w:tc>
          <w:tcPr>
            <w:tcW w:w="631" w:type="dxa"/>
          </w:tcPr>
          <w:p w14:paraId="1C992140" w14:textId="2D2E038B" w:rsidR="000E7A91" w:rsidRPr="007928A3"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17A63">
              <w:t>4</w:t>
            </w:r>
          </w:p>
        </w:tc>
        <w:tc>
          <w:tcPr>
            <w:tcW w:w="1110" w:type="dxa"/>
          </w:tcPr>
          <w:p w14:paraId="399D62B3" w14:textId="226209DC" w:rsidR="000E7A91" w:rsidRPr="007928A3"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17A63">
              <w:t>33,500</w:t>
            </w:r>
          </w:p>
        </w:tc>
        <w:tc>
          <w:tcPr>
            <w:tcW w:w="1135" w:type="dxa"/>
          </w:tcPr>
          <w:p w14:paraId="65E04DAF" w14:textId="5C92FE1C" w:rsidR="000E7A91" w:rsidRPr="007928A3"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17A63">
              <w:t>57%</w:t>
            </w:r>
          </w:p>
        </w:tc>
        <w:tc>
          <w:tcPr>
            <w:tcW w:w="1295" w:type="dxa"/>
          </w:tcPr>
          <w:p w14:paraId="6911188D" w14:textId="2E8BB38C" w:rsidR="000E7A91" w:rsidRPr="00397378"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17A63">
              <w:t>42,400</w:t>
            </w:r>
          </w:p>
        </w:tc>
        <w:tc>
          <w:tcPr>
            <w:tcW w:w="809" w:type="dxa"/>
          </w:tcPr>
          <w:p w14:paraId="4FE7BB3A" w14:textId="37899628" w:rsidR="000E7A91" w:rsidRPr="003522E8"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17A63">
              <w:t>24%</w:t>
            </w:r>
          </w:p>
        </w:tc>
      </w:tr>
      <w:tr w:rsidR="000E7A91" w14:paraId="67DDDB0F" w14:textId="77777777" w:rsidTr="00FD30F3">
        <w:tc>
          <w:tcPr>
            <w:cnfStyle w:val="001000000000" w:firstRow="0" w:lastRow="0" w:firstColumn="1" w:lastColumn="0" w:oddVBand="0" w:evenVBand="0" w:oddHBand="0" w:evenHBand="0" w:firstRowFirstColumn="0" w:firstRowLastColumn="0" w:lastRowFirstColumn="0" w:lastRowLastColumn="0"/>
            <w:tcW w:w="392" w:type="dxa"/>
          </w:tcPr>
          <w:p w14:paraId="7EDE0A84" w14:textId="27B526B2" w:rsidR="000E7A91" w:rsidRDefault="000E7A91" w:rsidP="000E7A91">
            <w:pPr>
              <w:pStyle w:val="BodyText"/>
              <w:spacing w:before="0" w:after="0"/>
            </w:pPr>
            <w:r w:rsidRPr="00641109">
              <w:t>5</w:t>
            </w:r>
          </w:p>
        </w:tc>
        <w:tc>
          <w:tcPr>
            <w:tcW w:w="1445" w:type="dxa"/>
          </w:tcPr>
          <w:p w14:paraId="27466104" w14:textId="1695397C" w:rsidR="000E7A91" w:rsidRDefault="000E7A91" w:rsidP="000E7A91">
            <w:pPr>
              <w:pStyle w:val="BodyText"/>
              <w:spacing w:before="0" w:after="0"/>
              <w:cnfStyle w:val="000000000000" w:firstRow="0" w:lastRow="0" w:firstColumn="0" w:lastColumn="0" w:oddVBand="0" w:evenVBand="0" w:oddHBand="0" w:evenHBand="0" w:firstRowFirstColumn="0" w:firstRowLastColumn="0" w:lastRowFirstColumn="0" w:lastRowLastColumn="0"/>
            </w:pPr>
            <w:r w:rsidRPr="00641109">
              <w:t>Malaysia</w:t>
            </w:r>
          </w:p>
        </w:tc>
        <w:tc>
          <w:tcPr>
            <w:tcW w:w="1105" w:type="dxa"/>
          </w:tcPr>
          <w:p w14:paraId="5204A20E" w14:textId="55F36A3E" w:rsidR="000E7A91" w:rsidRPr="0083200E"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17A63">
              <w:t>25,400</w:t>
            </w:r>
          </w:p>
        </w:tc>
        <w:tc>
          <w:tcPr>
            <w:tcW w:w="1100" w:type="dxa"/>
          </w:tcPr>
          <w:p w14:paraId="16C9D77E" w14:textId="0508D680" w:rsidR="000E7A91" w:rsidRPr="0083200E"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17A63">
              <w:t>6%</w:t>
            </w:r>
          </w:p>
        </w:tc>
        <w:tc>
          <w:tcPr>
            <w:tcW w:w="631" w:type="dxa"/>
          </w:tcPr>
          <w:p w14:paraId="585CBF89" w14:textId="56967A6C" w:rsidR="000E7A91" w:rsidRPr="007928A3"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17A63">
              <w:t>5</w:t>
            </w:r>
          </w:p>
        </w:tc>
        <w:tc>
          <w:tcPr>
            <w:tcW w:w="1110" w:type="dxa"/>
          </w:tcPr>
          <w:p w14:paraId="792CBE89" w14:textId="5D10063F" w:rsidR="000E7A91" w:rsidRPr="007928A3"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17A63">
              <w:t>23,700</w:t>
            </w:r>
          </w:p>
        </w:tc>
        <w:tc>
          <w:tcPr>
            <w:tcW w:w="1135" w:type="dxa"/>
          </w:tcPr>
          <w:p w14:paraId="449690D2" w14:textId="2437271A" w:rsidR="000E7A91" w:rsidRPr="007928A3"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17A63">
              <w:t>7%</w:t>
            </w:r>
          </w:p>
        </w:tc>
        <w:tc>
          <w:tcPr>
            <w:tcW w:w="1295" w:type="dxa"/>
          </w:tcPr>
          <w:p w14:paraId="5F3E964A" w14:textId="2A7D9CC4" w:rsidR="000E7A91" w:rsidRPr="00397378"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17A63">
              <w:t>31,200</w:t>
            </w:r>
          </w:p>
        </w:tc>
        <w:tc>
          <w:tcPr>
            <w:tcW w:w="809" w:type="dxa"/>
          </w:tcPr>
          <w:p w14:paraId="7F187217" w14:textId="37315080" w:rsidR="000E7A91" w:rsidRPr="003522E8"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17A63">
              <w:t>-19%</w:t>
            </w:r>
          </w:p>
        </w:tc>
      </w:tr>
      <w:tr w:rsidR="000E7A91" w14:paraId="4BD416FF" w14:textId="77777777" w:rsidTr="00FD30F3">
        <w:tc>
          <w:tcPr>
            <w:cnfStyle w:val="001000000000" w:firstRow="0" w:lastRow="0" w:firstColumn="1" w:lastColumn="0" w:oddVBand="0" w:evenVBand="0" w:oddHBand="0" w:evenHBand="0" w:firstRowFirstColumn="0" w:firstRowLastColumn="0" w:lastRowFirstColumn="0" w:lastRowLastColumn="0"/>
            <w:tcW w:w="392" w:type="dxa"/>
          </w:tcPr>
          <w:p w14:paraId="4529AE48" w14:textId="0CA3878E" w:rsidR="000E7A91" w:rsidRDefault="000E7A91" w:rsidP="000E7A91">
            <w:pPr>
              <w:pStyle w:val="BodyText"/>
              <w:spacing w:before="0" w:after="0"/>
            </w:pPr>
            <w:r w:rsidRPr="00641109">
              <w:t>6</w:t>
            </w:r>
          </w:p>
        </w:tc>
        <w:tc>
          <w:tcPr>
            <w:tcW w:w="1445" w:type="dxa"/>
          </w:tcPr>
          <w:p w14:paraId="6B0FE635" w14:textId="14B9EC35" w:rsidR="000E7A91" w:rsidRDefault="008919C7" w:rsidP="000E7A91">
            <w:pPr>
              <w:pStyle w:val="BodyText"/>
              <w:spacing w:before="0" w:after="0"/>
              <w:cnfStyle w:val="000000000000" w:firstRow="0" w:lastRow="0" w:firstColumn="0" w:lastColumn="0" w:oddVBand="0" w:evenVBand="0" w:oddHBand="0" w:evenHBand="0" w:firstRowFirstColumn="0" w:firstRowLastColumn="0" w:lastRowFirstColumn="0" w:lastRowLastColumn="0"/>
            </w:pPr>
            <w:r>
              <w:t>Japan</w:t>
            </w:r>
          </w:p>
        </w:tc>
        <w:tc>
          <w:tcPr>
            <w:tcW w:w="1105" w:type="dxa"/>
          </w:tcPr>
          <w:p w14:paraId="5BFF683A" w14:textId="2521CE5D" w:rsidR="000E7A91" w:rsidRPr="0083200E"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17A63">
              <w:t>22,300</w:t>
            </w:r>
          </w:p>
        </w:tc>
        <w:tc>
          <w:tcPr>
            <w:tcW w:w="1100" w:type="dxa"/>
          </w:tcPr>
          <w:p w14:paraId="704E6557" w14:textId="3BCC9501" w:rsidR="000E7A91" w:rsidRPr="0083200E"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17A63">
              <w:t>5%</w:t>
            </w:r>
          </w:p>
        </w:tc>
        <w:tc>
          <w:tcPr>
            <w:tcW w:w="631" w:type="dxa"/>
          </w:tcPr>
          <w:p w14:paraId="0A92A681" w14:textId="06444FFF" w:rsidR="000E7A91" w:rsidRPr="007928A3"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17A63">
              <w:t>17</w:t>
            </w:r>
          </w:p>
        </w:tc>
        <w:tc>
          <w:tcPr>
            <w:tcW w:w="1110" w:type="dxa"/>
          </w:tcPr>
          <w:p w14:paraId="370A6BEB" w14:textId="567AB09F" w:rsidR="000E7A91" w:rsidRPr="007928A3"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17A63">
              <w:t>1,400</w:t>
            </w:r>
          </w:p>
        </w:tc>
        <w:tc>
          <w:tcPr>
            <w:tcW w:w="1135" w:type="dxa"/>
          </w:tcPr>
          <w:p w14:paraId="25DAF409" w14:textId="327D3939" w:rsidR="000E7A91" w:rsidRPr="007928A3"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17A63">
              <w:t>1545%</w:t>
            </w:r>
          </w:p>
        </w:tc>
        <w:tc>
          <w:tcPr>
            <w:tcW w:w="1295" w:type="dxa"/>
          </w:tcPr>
          <w:p w14:paraId="5BD0B2B1" w14:textId="3BFAEEFB" w:rsidR="000E7A91" w:rsidRPr="00397378"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17A63">
              <w:t>2,900</w:t>
            </w:r>
          </w:p>
        </w:tc>
        <w:tc>
          <w:tcPr>
            <w:tcW w:w="809" w:type="dxa"/>
          </w:tcPr>
          <w:p w14:paraId="70641DB2" w14:textId="66B3863F" w:rsidR="000E7A91" w:rsidRPr="003522E8"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517A63">
              <w:t>663%</w:t>
            </w:r>
          </w:p>
        </w:tc>
      </w:tr>
      <w:tr w:rsidR="000E7A91" w14:paraId="3C624401" w14:textId="77777777" w:rsidTr="00C70F65">
        <w:tc>
          <w:tcPr>
            <w:cnfStyle w:val="001000000000" w:firstRow="0" w:lastRow="0" w:firstColumn="1" w:lastColumn="0" w:oddVBand="0" w:evenVBand="0" w:oddHBand="0" w:evenHBand="0" w:firstRowFirstColumn="0" w:firstRowLastColumn="0" w:lastRowFirstColumn="0" w:lastRowLastColumn="0"/>
            <w:tcW w:w="1837" w:type="dxa"/>
            <w:gridSpan w:val="2"/>
          </w:tcPr>
          <w:p w14:paraId="22830CAE" w14:textId="77777777" w:rsidR="000E7A91" w:rsidRDefault="000E7A91" w:rsidP="000E7A91">
            <w:pPr>
              <w:pStyle w:val="BodyText"/>
              <w:spacing w:before="0" w:after="0"/>
            </w:pPr>
            <w:r>
              <w:t>Top 6 total</w:t>
            </w:r>
          </w:p>
        </w:tc>
        <w:tc>
          <w:tcPr>
            <w:tcW w:w="1105" w:type="dxa"/>
          </w:tcPr>
          <w:p w14:paraId="188A3319" w14:textId="562F4D0C" w:rsidR="000E7A91" w:rsidRPr="0083200E"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157E4">
              <w:t>324,400</w:t>
            </w:r>
          </w:p>
        </w:tc>
        <w:tc>
          <w:tcPr>
            <w:tcW w:w="1100" w:type="dxa"/>
          </w:tcPr>
          <w:p w14:paraId="08D70F4A" w14:textId="290F5648" w:rsidR="000E7A91" w:rsidRPr="0083200E"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9157E4">
              <w:t>80%</w:t>
            </w:r>
          </w:p>
        </w:tc>
        <w:tc>
          <w:tcPr>
            <w:tcW w:w="631" w:type="dxa"/>
            <w:vMerge w:val="restart"/>
          </w:tcPr>
          <w:p w14:paraId="3D724F1E" w14:textId="78A2D9E1" w:rsidR="000E7A91" w:rsidRDefault="000E7A91" w:rsidP="000E7A91">
            <w:pPr>
              <w:pStyle w:val="BodyText"/>
              <w:spacing w:before="0" w:after="0"/>
              <w:cnfStyle w:val="000000000000" w:firstRow="0" w:lastRow="0" w:firstColumn="0" w:lastColumn="0" w:oddVBand="0" w:evenVBand="0" w:oddHBand="0" w:evenHBand="0" w:firstRowFirstColumn="0" w:firstRowLastColumn="0" w:lastRowFirstColumn="0" w:lastRowLastColumn="0"/>
            </w:pPr>
          </w:p>
        </w:tc>
        <w:tc>
          <w:tcPr>
            <w:tcW w:w="1110" w:type="dxa"/>
          </w:tcPr>
          <w:p w14:paraId="65520571" w14:textId="2B45D473" w:rsidR="000E7A91" w:rsidRPr="007928A3"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82B1B">
              <w:t>310,900</w:t>
            </w:r>
          </w:p>
        </w:tc>
        <w:tc>
          <w:tcPr>
            <w:tcW w:w="1135" w:type="dxa"/>
          </w:tcPr>
          <w:p w14:paraId="16A7AE33" w14:textId="1B4EC4B3" w:rsidR="000E7A91"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E82B1B">
              <w:t>4%</w:t>
            </w:r>
          </w:p>
        </w:tc>
        <w:tc>
          <w:tcPr>
            <w:tcW w:w="2104" w:type="dxa"/>
            <w:gridSpan w:val="2"/>
            <w:vMerge w:val="restart"/>
          </w:tcPr>
          <w:p w14:paraId="5DAFCD42" w14:textId="77777777" w:rsidR="000E7A91"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p>
        </w:tc>
      </w:tr>
      <w:tr w:rsidR="000E7A91" w14:paraId="05A4868C" w14:textId="77777777" w:rsidTr="00C70F65">
        <w:tc>
          <w:tcPr>
            <w:cnfStyle w:val="001000000000" w:firstRow="0" w:lastRow="0" w:firstColumn="1" w:lastColumn="0" w:oddVBand="0" w:evenVBand="0" w:oddHBand="0" w:evenHBand="0" w:firstRowFirstColumn="0" w:firstRowLastColumn="0" w:lastRowFirstColumn="0" w:lastRowLastColumn="0"/>
            <w:tcW w:w="1837" w:type="dxa"/>
            <w:gridSpan w:val="2"/>
          </w:tcPr>
          <w:p w14:paraId="20D7AAD7" w14:textId="77777777" w:rsidR="000E7A91" w:rsidRPr="009D1226" w:rsidRDefault="000E7A91" w:rsidP="000E7A91">
            <w:pPr>
              <w:pStyle w:val="BodyText"/>
              <w:spacing w:before="0" w:after="0"/>
              <w:rPr>
                <w:b/>
              </w:rPr>
            </w:pPr>
            <w:r w:rsidRPr="009D1226">
              <w:rPr>
                <w:b/>
              </w:rPr>
              <w:t>Monthly total</w:t>
            </w:r>
          </w:p>
        </w:tc>
        <w:tc>
          <w:tcPr>
            <w:tcW w:w="1105" w:type="dxa"/>
          </w:tcPr>
          <w:p w14:paraId="0CC1B0BB" w14:textId="2E6CC658" w:rsidR="000E7A91" w:rsidRPr="000E7A91"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0E7A91">
              <w:rPr>
                <w:b/>
              </w:rPr>
              <w:t>406,900</w:t>
            </w:r>
          </w:p>
        </w:tc>
        <w:tc>
          <w:tcPr>
            <w:tcW w:w="1100" w:type="dxa"/>
          </w:tcPr>
          <w:p w14:paraId="7DA5B95E" w14:textId="4BAC5BF5" w:rsidR="000E7A91" w:rsidRPr="000E7A91"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0E7A91">
              <w:rPr>
                <w:b/>
              </w:rPr>
              <w:t>-</w:t>
            </w:r>
          </w:p>
        </w:tc>
        <w:tc>
          <w:tcPr>
            <w:tcW w:w="631" w:type="dxa"/>
            <w:vMerge/>
          </w:tcPr>
          <w:p w14:paraId="59C53745" w14:textId="77777777" w:rsidR="000E7A91" w:rsidRPr="000E7A91" w:rsidRDefault="000E7A91" w:rsidP="000E7A91">
            <w:pPr>
              <w:pStyle w:val="BodyText"/>
              <w:spacing w:before="0" w:after="0"/>
              <w:cnfStyle w:val="000000000000" w:firstRow="0" w:lastRow="0" w:firstColumn="0" w:lastColumn="0" w:oddVBand="0" w:evenVBand="0" w:oddHBand="0" w:evenHBand="0" w:firstRowFirstColumn="0" w:firstRowLastColumn="0" w:lastRowFirstColumn="0" w:lastRowLastColumn="0"/>
              <w:rPr>
                <w:b/>
              </w:rPr>
            </w:pPr>
          </w:p>
        </w:tc>
        <w:tc>
          <w:tcPr>
            <w:tcW w:w="1110" w:type="dxa"/>
          </w:tcPr>
          <w:p w14:paraId="7DE63019" w14:textId="2C195F73" w:rsidR="000E7A91" w:rsidRPr="000E7A91"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0E7A91">
              <w:rPr>
                <w:b/>
              </w:rPr>
              <w:t>376,900</w:t>
            </w:r>
          </w:p>
        </w:tc>
        <w:tc>
          <w:tcPr>
            <w:tcW w:w="1135" w:type="dxa"/>
          </w:tcPr>
          <w:p w14:paraId="02D02DB7" w14:textId="23596F75" w:rsidR="000E7A91" w:rsidRPr="000E7A91"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0E7A91">
              <w:rPr>
                <w:b/>
              </w:rPr>
              <w:t>8%</w:t>
            </w:r>
          </w:p>
        </w:tc>
        <w:tc>
          <w:tcPr>
            <w:tcW w:w="2104" w:type="dxa"/>
            <w:gridSpan w:val="2"/>
            <w:vMerge/>
          </w:tcPr>
          <w:p w14:paraId="66E8A23A" w14:textId="77777777" w:rsidR="000E7A91" w:rsidRDefault="000E7A91" w:rsidP="000E7A91">
            <w:pPr>
              <w:pStyle w:val="BodyText"/>
              <w:spacing w:before="0" w:after="0"/>
              <w:jc w:val="right"/>
              <w:cnfStyle w:val="000000000000" w:firstRow="0" w:lastRow="0" w:firstColumn="0" w:lastColumn="0" w:oddVBand="0" w:evenVBand="0" w:oddHBand="0" w:evenHBand="0" w:firstRowFirstColumn="0" w:firstRowLastColumn="0" w:lastRowFirstColumn="0" w:lastRowLastColumn="0"/>
            </w:pPr>
          </w:p>
        </w:tc>
      </w:tr>
    </w:tbl>
    <w:p w14:paraId="13CA5A3D" w14:textId="37BDC11D" w:rsidR="008B2842" w:rsidRDefault="008B2842" w:rsidP="00B50BE7">
      <w:pPr>
        <w:pStyle w:val="BodyText"/>
      </w:pPr>
    </w:p>
    <w:p w14:paraId="2331061C" w14:textId="51624F87" w:rsidR="003905AB" w:rsidRDefault="00FD30F3" w:rsidP="00FD30F3">
      <w:pPr>
        <w:pStyle w:val="BodyText"/>
      </w:pPr>
      <w:r w:rsidRPr="007E5F8F">
        <w:fldChar w:fldCharType="begin"/>
      </w:r>
      <w:r w:rsidRPr="007E5F8F">
        <w:instrText xml:space="preserve"> REF _Ref526509035 \h </w:instrText>
      </w:r>
      <w:r w:rsidR="007E5F8F">
        <w:instrText xml:space="preserve"> \* MERGEFORMAT </w:instrText>
      </w:r>
      <w:r w:rsidRPr="007E5F8F">
        <w:fldChar w:fldCharType="separate"/>
      </w:r>
      <w:r w:rsidR="00510A11">
        <w:t xml:space="preserve">Figure </w:t>
      </w:r>
      <w:r w:rsidR="00510A11">
        <w:rPr>
          <w:noProof/>
        </w:rPr>
        <w:t>1</w:t>
      </w:r>
      <w:r w:rsidRPr="007E5F8F">
        <w:fldChar w:fldCharType="end"/>
      </w:r>
      <w:r w:rsidRPr="007E5F8F">
        <w:t xml:space="preserve"> </w:t>
      </w:r>
      <w:r w:rsidR="00F65DB4" w:rsidRPr="007E5F8F">
        <w:t xml:space="preserve">(overleaf) </w:t>
      </w:r>
      <w:r w:rsidRPr="007E5F8F">
        <w:t>presents the monthly</w:t>
      </w:r>
      <w:r w:rsidR="009C42B6" w:rsidRPr="007E5F8F">
        <w:t xml:space="preserve"> trend in</w:t>
      </w:r>
      <w:r w:rsidRPr="007E5F8F">
        <w:t xml:space="preserve"> exports of waste from Australia to the top six receiving countries and the other destinations</w:t>
      </w:r>
      <w:r w:rsidR="004F2E03" w:rsidRPr="007E5F8F">
        <w:t xml:space="preserve"> (by total quantity)</w:t>
      </w:r>
      <w:r w:rsidRPr="007E5F8F">
        <w:t xml:space="preserve"> between July 2017 and </w:t>
      </w:r>
      <w:r w:rsidR="000E7A91">
        <w:t>December</w:t>
      </w:r>
      <w:r w:rsidR="000E7A91" w:rsidRPr="007E5F8F">
        <w:t xml:space="preserve"> </w:t>
      </w:r>
      <w:r w:rsidRPr="007E5F8F">
        <w:t>2018.</w:t>
      </w:r>
      <w:r w:rsidR="007A0C03" w:rsidRPr="007E5F8F">
        <w:t xml:space="preserve"> </w:t>
      </w:r>
      <w:r w:rsidR="00215B3A" w:rsidRPr="007E5F8F">
        <w:t>Examined</w:t>
      </w:r>
      <w:r w:rsidR="007A0C03" w:rsidRPr="007E5F8F">
        <w:t xml:space="preserve"> over this timeframe</w:t>
      </w:r>
      <w:r w:rsidR="00215B3A" w:rsidRPr="007E5F8F">
        <w:t>,</w:t>
      </w:r>
      <w:r w:rsidR="007A0C03" w:rsidRPr="007E5F8F">
        <w:t xml:space="preserve"> </w:t>
      </w:r>
      <w:r w:rsidR="00215B3A" w:rsidRPr="007E5F8F">
        <w:t xml:space="preserve">the top six </w:t>
      </w:r>
      <w:r w:rsidR="007A0C03" w:rsidRPr="007E5F8F">
        <w:t xml:space="preserve">includes </w:t>
      </w:r>
      <w:r w:rsidR="004F2E03" w:rsidRPr="007E5F8F">
        <w:t>Thailand</w:t>
      </w:r>
      <w:r w:rsidR="007A0C03" w:rsidRPr="007E5F8F">
        <w:t xml:space="preserve"> but </w:t>
      </w:r>
      <w:r w:rsidR="004F2E03" w:rsidRPr="007E5F8F">
        <w:t xml:space="preserve">not </w:t>
      </w:r>
      <w:r w:rsidR="000E7A91">
        <w:t>Japan</w:t>
      </w:r>
      <w:r w:rsidR="004F2E03" w:rsidRPr="007E5F8F">
        <w:t xml:space="preserve">. </w:t>
      </w:r>
      <w:r w:rsidR="003A6C54" w:rsidRPr="007E5F8F">
        <w:t>Expo</w:t>
      </w:r>
      <w:r w:rsidR="003A6C54">
        <w:t>rts to China</w:t>
      </w:r>
      <w:r w:rsidR="00885649">
        <w:t xml:space="preserve"> </w:t>
      </w:r>
      <w:r w:rsidR="000D318A">
        <w:t>have remained relatively stable since May 2018.</w:t>
      </w:r>
      <w:r w:rsidR="003905AB">
        <w:t xml:space="preserve"> During this same period, exports to the other countries in the top 6 grew by 16% and overall exports grew by 2%.</w:t>
      </w:r>
      <w:r w:rsidR="000D318A">
        <w:t xml:space="preserve"> </w:t>
      </w:r>
    </w:p>
    <w:p w14:paraId="10A5D4BD" w14:textId="77777777" w:rsidR="003905AB" w:rsidRDefault="003905AB">
      <w:r>
        <w:br w:type="page"/>
      </w:r>
    </w:p>
    <w:p w14:paraId="08A125CC" w14:textId="60AE5DB6" w:rsidR="00FD30F3" w:rsidRDefault="00FD30F3" w:rsidP="00FD30F3">
      <w:pPr>
        <w:pStyle w:val="Caption"/>
      </w:pPr>
      <w:bookmarkStart w:id="3" w:name="_Ref526509035"/>
      <w:r>
        <w:lastRenderedPageBreak/>
        <w:t xml:space="preserve">Figure </w:t>
      </w:r>
      <w:r w:rsidR="00E34057">
        <w:rPr>
          <w:noProof/>
        </w:rPr>
        <w:fldChar w:fldCharType="begin"/>
      </w:r>
      <w:r w:rsidR="00E34057">
        <w:rPr>
          <w:noProof/>
        </w:rPr>
        <w:instrText xml:space="preserve"> SEQ Figure \* ARABIC </w:instrText>
      </w:r>
      <w:r w:rsidR="00E34057">
        <w:rPr>
          <w:noProof/>
        </w:rPr>
        <w:fldChar w:fldCharType="separate"/>
      </w:r>
      <w:r w:rsidR="00510A11">
        <w:rPr>
          <w:noProof/>
        </w:rPr>
        <w:t>1</w:t>
      </w:r>
      <w:r w:rsidR="00E34057">
        <w:rPr>
          <w:noProof/>
        </w:rPr>
        <w:fldChar w:fldCharType="end"/>
      </w:r>
      <w:bookmarkEnd w:id="3"/>
      <w:r>
        <w:tab/>
      </w:r>
      <w:r w:rsidRPr="00FD30F3">
        <w:t>Monthly exports of waste from Australia by destination</w:t>
      </w:r>
      <w:r>
        <w:t>,</w:t>
      </w:r>
      <w:r w:rsidR="00A675B6">
        <w:t xml:space="preserve"> ranked by total quantity received,</w:t>
      </w:r>
      <w:r w:rsidR="0043219D">
        <w:t xml:space="preserve"> </w:t>
      </w:r>
      <w:r>
        <w:t xml:space="preserve">July </w:t>
      </w:r>
      <w:r w:rsidRPr="007E5F8F">
        <w:t xml:space="preserve">2017 – </w:t>
      </w:r>
      <w:r w:rsidR="000E7A91">
        <w:t xml:space="preserve">December </w:t>
      </w:r>
      <w:r w:rsidRPr="007E5F8F">
        <w:t>2018</w:t>
      </w:r>
    </w:p>
    <w:p w14:paraId="1152657C" w14:textId="44DF1B25" w:rsidR="00F65DB4" w:rsidRDefault="000E7A91" w:rsidP="00A675B6">
      <w:pPr>
        <w:pStyle w:val="BodyText"/>
      </w:pPr>
      <w:r w:rsidRPr="000E7A91">
        <w:t xml:space="preserve"> </w:t>
      </w:r>
      <w:r w:rsidRPr="000E7A91">
        <w:rPr>
          <w:noProof/>
          <w:lang w:eastAsia="en-AU"/>
        </w:rPr>
        <w:drawing>
          <wp:inline distT="0" distB="0" distL="0" distR="0" wp14:anchorId="37DC8425" wp14:editId="207050C6">
            <wp:extent cx="5667375" cy="2514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7375" cy="2514600"/>
                    </a:xfrm>
                    <a:prstGeom prst="rect">
                      <a:avLst/>
                    </a:prstGeom>
                    <a:noFill/>
                    <a:ln>
                      <a:noFill/>
                    </a:ln>
                  </pic:spPr>
                </pic:pic>
              </a:graphicData>
            </a:graphic>
          </wp:inline>
        </w:drawing>
      </w:r>
    </w:p>
    <w:p w14:paraId="10489EC0" w14:textId="75CAE47B" w:rsidR="00FD30F3" w:rsidRPr="00A675B6" w:rsidRDefault="00FD30F3" w:rsidP="00A675B6">
      <w:pPr>
        <w:pStyle w:val="BodyText"/>
      </w:pPr>
    </w:p>
    <w:p w14:paraId="54F4A489" w14:textId="3BDC5F81" w:rsidR="004256CC" w:rsidRDefault="004256CC" w:rsidP="00305B22">
      <w:pPr>
        <w:pStyle w:val="Heading3-nonumber"/>
      </w:pPr>
      <w:r>
        <w:t>C</w:t>
      </w:r>
      <w:r w:rsidRPr="00850B51">
        <w:t>omparison</w:t>
      </w:r>
      <w:r>
        <w:t xml:space="preserve"> by material</w:t>
      </w:r>
    </w:p>
    <w:p w14:paraId="4858F575" w14:textId="73F423DB" w:rsidR="00192FBE" w:rsidRDefault="00192FBE" w:rsidP="00192FBE">
      <w:pPr>
        <w:pStyle w:val="BodyText"/>
      </w:pPr>
      <w:r>
        <w:fldChar w:fldCharType="begin"/>
      </w:r>
      <w:r>
        <w:instrText xml:space="preserve"> REF _Ref524605817 \h </w:instrText>
      </w:r>
      <w:r>
        <w:fldChar w:fldCharType="separate"/>
      </w:r>
      <w:r w:rsidR="00510A11">
        <w:t xml:space="preserve">Table </w:t>
      </w:r>
      <w:r w:rsidR="00510A11">
        <w:rPr>
          <w:noProof/>
        </w:rPr>
        <w:t>2</w:t>
      </w:r>
      <w:r>
        <w:fldChar w:fldCharType="end"/>
      </w:r>
      <w:r>
        <w:t xml:space="preserve"> presents a comparison of waste export </w:t>
      </w:r>
      <w:r w:rsidRPr="007E5F8F">
        <w:t xml:space="preserve">volumes between </w:t>
      </w:r>
      <w:r w:rsidR="0026691B">
        <w:t>November</w:t>
      </w:r>
      <w:r w:rsidR="0026691B" w:rsidRPr="007E5F8F">
        <w:t xml:space="preserve"> </w:t>
      </w:r>
      <w:r w:rsidR="003A6C54" w:rsidRPr="007E5F8F">
        <w:t xml:space="preserve">2018 </w:t>
      </w:r>
      <w:r w:rsidR="00E2225F" w:rsidRPr="007E5F8F">
        <w:t xml:space="preserve">and </w:t>
      </w:r>
      <w:r w:rsidR="0026691B">
        <w:t>December</w:t>
      </w:r>
      <w:r w:rsidR="00442670" w:rsidRPr="007E5F8F">
        <w:t xml:space="preserve"> </w:t>
      </w:r>
      <w:r w:rsidRPr="007E5F8F">
        <w:t>2018 and the monthly average from 2017-18 as well as the year to date volumes.</w:t>
      </w:r>
    </w:p>
    <w:p w14:paraId="026CB6AE" w14:textId="77777777" w:rsidR="00225C83" w:rsidRPr="00192FBE" w:rsidRDefault="00225C83" w:rsidP="00192FBE">
      <w:pPr>
        <w:pStyle w:val="BodyText"/>
      </w:pPr>
    </w:p>
    <w:p w14:paraId="17CD739B" w14:textId="14773712" w:rsidR="00192FBE" w:rsidRDefault="00192FBE" w:rsidP="004256CC">
      <w:pPr>
        <w:pStyle w:val="BodyText"/>
      </w:pPr>
      <w:r w:rsidRPr="00192FBE">
        <w:rPr>
          <w:i/>
          <w:color w:val="000099"/>
        </w:rPr>
        <w:t>Month to month</w:t>
      </w:r>
      <w:r>
        <w:rPr>
          <w:i/>
          <w:color w:val="000099"/>
        </w:rPr>
        <w:t xml:space="preserve"> </w:t>
      </w:r>
      <w:r w:rsidRPr="00CC6832">
        <w:rPr>
          <w:i/>
          <w:color w:val="000099"/>
        </w:rPr>
        <w:t xml:space="preserve">– </w:t>
      </w:r>
      <w:r w:rsidR="0026691B">
        <w:rPr>
          <w:color w:val="000000" w:themeColor="text1"/>
        </w:rPr>
        <w:t>December</w:t>
      </w:r>
      <w:r w:rsidR="0026691B" w:rsidRPr="00CC6832">
        <w:rPr>
          <w:color w:val="000000" w:themeColor="text1"/>
        </w:rPr>
        <w:t xml:space="preserve"> </w:t>
      </w:r>
      <w:r w:rsidR="00885649" w:rsidRPr="00CC6832">
        <w:rPr>
          <w:color w:val="000000" w:themeColor="text1"/>
        </w:rPr>
        <w:t xml:space="preserve">2018 saw </w:t>
      </w:r>
      <w:r w:rsidR="00442670">
        <w:rPr>
          <w:color w:val="000000" w:themeColor="text1"/>
        </w:rPr>
        <w:t>increased</w:t>
      </w:r>
      <w:r w:rsidR="00442670" w:rsidRPr="00CC6832">
        <w:rPr>
          <w:color w:val="000000" w:themeColor="text1"/>
        </w:rPr>
        <w:t xml:space="preserve"> </w:t>
      </w:r>
      <w:r w:rsidR="00885649" w:rsidRPr="00CC6832">
        <w:rPr>
          <w:color w:val="000000" w:themeColor="text1"/>
        </w:rPr>
        <w:t>e</w:t>
      </w:r>
      <w:r w:rsidR="003522E8" w:rsidRPr="00CC6832">
        <w:t>xports of metals</w:t>
      </w:r>
      <w:r w:rsidR="005F3024" w:rsidRPr="00CC6832">
        <w:t xml:space="preserve"> (</w:t>
      </w:r>
      <w:r w:rsidR="0026691B">
        <w:t>4</w:t>
      </w:r>
      <w:r w:rsidR="00E2225F" w:rsidRPr="00CC6832">
        <w:t>%</w:t>
      </w:r>
      <w:r w:rsidR="005F3024" w:rsidRPr="00CC6832">
        <w:t xml:space="preserve">), </w:t>
      </w:r>
      <w:r w:rsidR="0026691B">
        <w:t>hazardous waste</w:t>
      </w:r>
      <w:r w:rsidR="005F3024" w:rsidRPr="00CC6832">
        <w:t xml:space="preserve"> (</w:t>
      </w:r>
      <w:r w:rsidR="0026691B">
        <w:t>166</w:t>
      </w:r>
      <w:r w:rsidR="005F3024" w:rsidRPr="00CC6832">
        <w:t>%)</w:t>
      </w:r>
      <w:r w:rsidR="0026691B">
        <w:t xml:space="preserve"> and ‘other’ (12%) </w:t>
      </w:r>
      <w:r w:rsidR="00885649" w:rsidRPr="00CC6832">
        <w:t xml:space="preserve">compared with </w:t>
      </w:r>
      <w:r w:rsidR="0026691B">
        <w:t>November</w:t>
      </w:r>
      <w:r w:rsidR="003A6C54" w:rsidRPr="00CC6832">
        <w:t>. Exports of</w:t>
      </w:r>
      <w:r w:rsidR="00442670">
        <w:t xml:space="preserve"> </w:t>
      </w:r>
      <w:r w:rsidR="0026691B">
        <w:t>plastics declined by 8%, and paper &amp; cardboard by 2%</w:t>
      </w:r>
      <w:r w:rsidR="003A6C54" w:rsidRPr="00CC6832">
        <w:t xml:space="preserve">. The </w:t>
      </w:r>
      <w:r w:rsidR="005F3024" w:rsidRPr="00CC6832">
        <w:t xml:space="preserve">large </w:t>
      </w:r>
      <w:r w:rsidR="0026691B">
        <w:t>increase</w:t>
      </w:r>
      <w:r w:rsidR="0026691B" w:rsidRPr="00CC6832">
        <w:t xml:space="preserve"> </w:t>
      </w:r>
      <w:r w:rsidR="003A6C54" w:rsidRPr="00CC6832">
        <w:t xml:space="preserve">in exports of hazardous waste </w:t>
      </w:r>
      <w:r w:rsidR="005830D2" w:rsidRPr="00CC6832">
        <w:t xml:space="preserve">is </w:t>
      </w:r>
      <w:r w:rsidR="003522E8" w:rsidRPr="00CC6832">
        <w:t>representative of a trend which experiences sharp spikes</w:t>
      </w:r>
      <w:r w:rsidR="00E3613A" w:rsidRPr="00CC6832">
        <w:t xml:space="preserve"> </w:t>
      </w:r>
      <w:r w:rsidR="003A6C54" w:rsidRPr="00CC6832">
        <w:t>(as seen in July</w:t>
      </w:r>
      <w:r w:rsidR="00A5533E" w:rsidRPr="00CC6832">
        <w:t xml:space="preserve"> and </w:t>
      </w:r>
      <w:r w:rsidR="0026691B">
        <w:t>Sep</w:t>
      </w:r>
      <w:r w:rsidR="00561237">
        <w:t>tember</w:t>
      </w:r>
      <w:r w:rsidR="003A6C54" w:rsidRPr="00CC6832">
        <w:t xml:space="preserve"> 2018 data)</w:t>
      </w:r>
      <w:r w:rsidR="005830D2" w:rsidRPr="00CC6832">
        <w:t xml:space="preserve">, </w:t>
      </w:r>
      <w:r w:rsidR="00885649" w:rsidRPr="00CC6832">
        <w:t>probably</w:t>
      </w:r>
      <w:r w:rsidR="005830D2" w:rsidRPr="00CC6832">
        <w:t xml:space="preserve"> due to the removal of waste </w:t>
      </w:r>
      <w:r w:rsidR="003522E8" w:rsidRPr="00CC6832">
        <w:t>from stockpile</w:t>
      </w:r>
      <w:r w:rsidR="001231DB" w:rsidRPr="00CC6832">
        <w:t>s</w:t>
      </w:r>
      <w:r w:rsidR="003522E8" w:rsidRPr="00CC6832">
        <w:t xml:space="preserve"> for export.</w:t>
      </w:r>
    </w:p>
    <w:p w14:paraId="2E82184B" w14:textId="77777777" w:rsidR="00225C83" w:rsidRDefault="00225C83" w:rsidP="004256CC">
      <w:pPr>
        <w:pStyle w:val="BodyText"/>
      </w:pPr>
    </w:p>
    <w:p w14:paraId="3FD8BC94" w14:textId="36EAED02" w:rsidR="00192FBE" w:rsidRDefault="00192FBE" w:rsidP="00192FBE">
      <w:pPr>
        <w:pStyle w:val="BodyText"/>
      </w:pPr>
      <w:r w:rsidRPr="00192FBE">
        <w:rPr>
          <w:i/>
          <w:color w:val="000099"/>
        </w:rPr>
        <w:t>2017-18 monthly average –</w:t>
      </w:r>
      <w:r>
        <w:t xml:space="preserve"> </w:t>
      </w:r>
      <w:r w:rsidR="00885649">
        <w:t xml:space="preserve">The </w:t>
      </w:r>
      <w:r w:rsidR="00885649" w:rsidRPr="00CC6832">
        <w:t xml:space="preserve">quantity of </w:t>
      </w:r>
      <w:r w:rsidRPr="00CC6832">
        <w:t>metals</w:t>
      </w:r>
      <w:r w:rsidR="00D26CF3" w:rsidRPr="00CC6832">
        <w:t xml:space="preserve"> and plastics </w:t>
      </w:r>
      <w:r w:rsidRPr="00CC6832">
        <w:t xml:space="preserve">exported in </w:t>
      </w:r>
      <w:r w:rsidR="0026691B">
        <w:t>December</w:t>
      </w:r>
      <w:r w:rsidR="0026691B" w:rsidRPr="00CC6832">
        <w:t xml:space="preserve"> </w:t>
      </w:r>
      <w:r w:rsidRPr="00CC6832">
        <w:t>2018</w:t>
      </w:r>
      <w:r w:rsidR="00885649" w:rsidRPr="00CC6832">
        <w:t xml:space="preserve"> was greater than</w:t>
      </w:r>
      <w:r w:rsidRPr="00CC6832">
        <w:t xml:space="preserve"> the monthly average for 2017-18 </w:t>
      </w:r>
      <w:r w:rsidR="00885649" w:rsidRPr="00CC6832">
        <w:t>but</w:t>
      </w:r>
      <w:r w:rsidR="00561237">
        <w:t xml:space="preserve"> exports of</w:t>
      </w:r>
      <w:r w:rsidRPr="00CC6832">
        <w:t xml:space="preserve"> paper and cardboard</w:t>
      </w:r>
      <w:r w:rsidR="003A6C54" w:rsidRPr="00CC6832">
        <w:t>,</w:t>
      </w:r>
      <w:r w:rsidRPr="00CC6832">
        <w:t xml:space="preserve"> </w:t>
      </w:r>
      <w:r w:rsidR="00D26CF3" w:rsidRPr="00CC6832">
        <w:t xml:space="preserve">hazardous waste and ‘other’ </w:t>
      </w:r>
      <w:r w:rsidRPr="00CC6832">
        <w:t>w</w:t>
      </w:r>
      <w:r w:rsidR="00885649" w:rsidRPr="00CC6832">
        <w:t>ere below their 2017-18 average</w:t>
      </w:r>
      <w:r w:rsidRPr="00CC6832">
        <w:t xml:space="preserve">. Overall, </w:t>
      </w:r>
      <w:r w:rsidR="0026691B">
        <w:t>December</w:t>
      </w:r>
      <w:r w:rsidR="0026691B" w:rsidRPr="00CC6832">
        <w:t xml:space="preserve"> </w:t>
      </w:r>
      <w:r w:rsidRPr="00CC6832">
        <w:t xml:space="preserve">2018 total exports of waste </w:t>
      </w:r>
      <w:r w:rsidR="003A6C54" w:rsidRPr="00CC6832">
        <w:t xml:space="preserve">were slightly </w:t>
      </w:r>
      <w:r w:rsidR="007C497D">
        <w:t>higher</w:t>
      </w:r>
      <w:r w:rsidR="007C497D" w:rsidRPr="00CC6832">
        <w:t xml:space="preserve"> </w:t>
      </w:r>
      <w:r w:rsidR="003A6C54" w:rsidRPr="00CC6832">
        <w:t>(</w:t>
      </w:r>
      <w:r w:rsidR="0026691B">
        <w:t>10</w:t>
      </w:r>
      <w:r w:rsidR="003A6C54" w:rsidRPr="00CC6832">
        <w:t>%) than the monthly average for 2017</w:t>
      </w:r>
      <w:r w:rsidR="003A6C54">
        <w:t>-18</w:t>
      </w:r>
      <w:r>
        <w:t>.</w:t>
      </w:r>
    </w:p>
    <w:p w14:paraId="7B59F037" w14:textId="77777777" w:rsidR="00225C83" w:rsidRPr="00D26CF3" w:rsidRDefault="00225C83" w:rsidP="00D26CF3">
      <w:pPr>
        <w:pStyle w:val="BodyText"/>
      </w:pPr>
    </w:p>
    <w:p w14:paraId="78C7473D" w14:textId="73DABB8F" w:rsidR="00192FBE" w:rsidRDefault="00192FBE" w:rsidP="00192FBE">
      <w:pPr>
        <w:pStyle w:val="BodyText"/>
      </w:pPr>
      <w:r w:rsidRPr="00192FBE">
        <w:rPr>
          <w:i/>
          <w:color w:val="000099"/>
        </w:rPr>
        <w:t>Year to date</w:t>
      </w:r>
      <w:r>
        <w:rPr>
          <w:i/>
          <w:color w:val="000099"/>
        </w:rPr>
        <w:t xml:space="preserve"> – </w:t>
      </w:r>
      <w:r>
        <w:t xml:space="preserve">The total </w:t>
      </w:r>
      <w:r w:rsidR="009C465E">
        <w:t>year-</w:t>
      </w:r>
      <w:r w:rsidR="009C465E" w:rsidRPr="00CC6832">
        <w:t xml:space="preserve">to-date </w:t>
      </w:r>
      <w:r w:rsidRPr="00CC6832">
        <w:t>waste export</w:t>
      </w:r>
      <w:r w:rsidR="00CC4449">
        <w:t xml:space="preserve">s </w:t>
      </w:r>
      <w:r w:rsidR="0026691B">
        <w:t>in December</w:t>
      </w:r>
      <w:r w:rsidR="00CC4449">
        <w:t xml:space="preserve"> </w:t>
      </w:r>
      <w:r w:rsidRPr="00CC6832">
        <w:t>201</w:t>
      </w:r>
      <w:r w:rsidR="00CC4449">
        <w:t xml:space="preserve">8 were about </w:t>
      </w:r>
      <w:r w:rsidR="0026691B">
        <w:t>2.21</w:t>
      </w:r>
      <w:r w:rsidR="00CC4449">
        <w:t xml:space="preserve"> million tonnes, </w:t>
      </w:r>
      <w:r w:rsidRPr="00CC6832">
        <w:t xml:space="preserve">compared </w:t>
      </w:r>
      <w:r w:rsidR="00CC4449">
        <w:t xml:space="preserve">with </w:t>
      </w:r>
      <w:r w:rsidR="008F748B">
        <w:t>2.37</w:t>
      </w:r>
      <w:r w:rsidR="00CC4449">
        <w:t xml:space="preserve"> million tonnes in the equivalent period last financial year </w:t>
      </w:r>
      <w:r w:rsidR="00BB578F" w:rsidRPr="00721788">
        <w:t>(</w:t>
      </w:r>
      <w:r w:rsidR="008F748B">
        <w:t>7</w:t>
      </w:r>
      <w:r w:rsidR="00BB578F" w:rsidRPr="00721788">
        <w:t>% less</w:t>
      </w:r>
      <w:r w:rsidR="00BB578F" w:rsidRPr="00CC6832">
        <w:t>).</w:t>
      </w:r>
      <w:r w:rsidR="00BB578F">
        <w:t xml:space="preserve"> </w:t>
      </w:r>
    </w:p>
    <w:p w14:paraId="1004E853" w14:textId="12872048" w:rsidR="005830D2" w:rsidRDefault="003522E8" w:rsidP="009C465E">
      <w:pPr>
        <w:pStyle w:val="Caption"/>
      </w:pPr>
      <w:bookmarkStart w:id="4" w:name="_Ref524605817"/>
      <w:r>
        <w:t xml:space="preserve">Table </w:t>
      </w:r>
      <w:r w:rsidR="001469F7">
        <w:rPr>
          <w:noProof/>
        </w:rPr>
        <w:fldChar w:fldCharType="begin"/>
      </w:r>
      <w:r w:rsidR="001469F7">
        <w:rPr>
          <w:noProof/>
        </w:rPr>
        <w:instrText xml:space="preserve"> SEQ Table \* ARABIC </w:instrText>
      </w:r>
      <w:r w:rsidR="001469F7">
        <w:rPr>
          <w:noProof/>
        </w:rPr>
        <w:fldChar w:fldCharType="separate"/>
      </w:r>
      <w:r w:rsidR="00510A11">
        <w:rPr>
          <w:noProof/>
        </w:rPr>
        <w:t>2</w:t>
      </w:r>
      <w:r w:rsidR="001469F7">
        <w:rPr>
          <w:noProof/>
        </w:rPr>
        <w:fldChar w:fldCharType="end"/>
      </w:r>
      <w:bookmarkEnd w:id="4"/>
      <w:r>
        <w:tab/>
      </w:r>
      <w:r w:rsidR="005830D2">
        <w:t>Comparison of waste export volume by material</w:t>
      </w:r>
    </w:p>
    <w:tbl>
      <w:tblPr>
        <w:tblStyle w:val="BE-table"/>
        <w:tblW w:w="9072" w:type="dxa"/>
        <w:jc w:val="center"/>
        <w:tblLayout w:type="fixed"/>
        <w:tblLook w:val="04A0" w:firstRow="1" w:lastRow="0" w:firstColumn="1" w:lastColumn="0" w:noHBand="0" w:noVBand="1"/>
      </w:tblPr>
      <w:tblGrid>
        <w:gridCol w:w="1555"/>
        <w:gridCol w:w="992"/>
        <w:gridCol w:w="992"/>
        <w:gridCol w:w="709"/>
        <w:gridCol w:w="1134"/>
        <w:gridCol w:w="709"/>
        <w:gridCol w:w="1134"/>
        <w:gridCol w:w="1134"/>
        <w:gridCol w:w="713"/>
      </w:tblGrid>
      <w:tr w:rsidR="005C6724" w:rsidRPr="004256CC" w14:paraId="0504E936" w14:textId="77777777" w:rsidTr="005C6724">
        <w:trPr>
          <w:cnfStyle w:val="100000000000" w:firstRow="1" w:lastRow="0" w:firstColumn="0" w:lastColumn="0" w:oddVBand="0" w:evenVBand="0" w:oddHBand="0" w:evenHBand="0" w:firstRowFirstColumn="0" w:firstRowLastColumn="0" w:lastRowFirstColumn="0" w:lastRowLastColumn="0"/>
          <w:trHeight w:val="132"/>
          <w:jc w:val="center"/>
        </w:trPr>
        <w:tc>
          <w:tcPr>
            <w:cnfStyle w:val="001000000000" w:firstRow="0" w:lastRow="0" w:firstColumn="1" w:lastColumn="0" w:oddVBand="0" w:evenVBand="0" w:oddHBand="0" w:evenHBand="0" w:firstRowFirstColumn="0" w:firstRowLastColumn="0" w:lastRowFirstColumn="0" w:lastRowLastColumn="0"/>
            <w:tcW w:w="1555" w:type="dxa"/>
            <w:vMerge w:val="restart"/>
            <w:noWrap/>
            <w:tcMar>
              <w:left w:w="57" w:type="dxa"/>
              <w:right w:w="57" w:type="dxa"/>
            </w:tcMar>
            <w:hideMark/>
          </w:tcPr>
          <w:p w14:paraId="275160B1" w14:textId="77777777" w:rsidR="005830D2" w:rsidRPr="00721788" w:rsidRDefault="005830D2" w:rsidP="005830D2">
            <w:pPr>
              <w:pStyle w:val="BodyText"/>
              <w:spacing w:beforeLines="0" w:before="0" w:afterLines="0" w:after="0"/>
            </w:pPr>
            <w:r w:rsidRPr="00721788">
              <w:t>Material category</w:t>
            </w:r>
          </w:p>
        </w:tc>
        <w:tc>
          <w:tcPr>
            <w:tcW w:w="1984" w:type="dxa"/>
            <w:gridSpan w:val="2"/>
            <w:noWrap/>
            <w:tcMar>
              <w:left w:w="57" w:type="dxa"/>
              <w:right w:w="57" w:type="dxa"/>
            </w:tcMar>
            <w:vAlign w:val="center"/>
            <w:hideMark/>
          </w:tcPr>
          <w:p w14:paraId="77F7240A" w14:textId="77777777" w:rsidR="005830D2" w:rsidRPr="00721788" w:rsidRDefault="005830D2" w:rsidP="005830D2">
            <w:pPr>
              <w:pStyle w:val="BodyText"/>
              <w:spacing w:beforeLines="0" w:before="0" w:afterLines="0" w:after="0"/>
              <w:jc w:val="center"/>
              <w:cnfStyle w:val="100000000000" w:firstRow="1" w:lastRow="0" w:firstColumn="0" w:lastColumn="0" w:oddVBand="0" w:evenVBand="0" w:oddHBand="0" w:evenHBand="0" w:firstRowFirstColumn="0" w:firstRowLastColumn="0" w:lastRowFirstColumn="0" w:lastRowLastColumn="0"/>
            </w:pPr>
            <w:r w:rsidRPr="00721788">
              <w:t>Month</w:t>
            </w:r>
          </w:p>
        </w:tc>
        <w:tc>
          <w:tcPr>
            <w:tcW w:w="709" w:type="dxa"/>
            <w:vMerge w:val="restart"/>
            <w:tcMar>
              <w:left w:w="57" w:type="dxa"/>
              <w:right w:w="57" w:type="dxa"/>
            </w:tcMar>
            <w:vAlign w:val="center"/>
          </w:tcPr>
          <w:p w14:paraId="5F2E873F" w14:textId="77777777" w:rsidR="005830D2" w:rsidRPr="00721788" w:rsidRDefault="005830D2" w:rsidP="005830D2">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721788">
              <w:t>% change</w:t>
            </w:r>
          </w:p>
        </w:tc>
        <w:tc>
          <w:tcPr>
            <w:tcW w:w="1134" w:type="dxa"/>
            <w:vMerge w:val="restart"/>
            <w:noWrap/>
            <w:tcMar>
              <w:left w:w="57" w:type="dxa"/>
              <w:right w:w="57" w:type="dxa"/>
            </w:tcMar>
            <w:vAlign w:val="center"/>
            <w:hideMark/>
          </w:tcPr>
          <w:p w14:paraId="17076038" w14:textId="77777777" w:rsidR="005830D2" w:rsidRPr="00721788" w:rsidRDefault="005830D2" w:rsidP="005830D2">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721788">
              <w:t>Monthly avg 2017-18</w:t>
            </w:r>
          </w:p>
        </w:tc>
        <w:tc>
          <w:tcPr>
            <w:tcW w:w="709" w:type="dxa"/>
            <w:vMerge w:val="restart"/>
            <w:noWrap/>
            <w:tcMar>
              <w:left w:w="57" w:type="dxa"/>
              <w:right w:w="57" w:type="dxa"/>
            </w:tcMar>
            <w:vAlign w:val="center"/>
            <w:hideMark/>
          </w:tcPr>
          <w:p w14:paraId="11030024" w14:textId="77777777" w:rsidR="005830D2" w:rsidRPr="00721788" w:rsidRDefault="005830D2" w:rsidP="005830D2">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721788">
              <w:t> % change</w:t>
            </w:r>
          </w:p>
        </w:tc>
        <w:tc>
          <w:tcPr>
            <w:tcW w:w="2268" w:type="dxa"/>
            <w:gridSpan w:val="2"/>
            <w:tcMar>
              <w:left w:w="57" w:type="dxa"/>
              <w:right w:w="57" w:type="dxa"/>
            </w:tcMar>
          </w:tcPr>
          <w:p w14:paraId="3B29169B" w14:textId="414B8B3D" w:rsidR="005830D2" w:rsidRPr="00721788" w:rsidRDefault="005830D2" w:rsidP="005830D2">
            <w:pPr>
              <w:pStyle w:val="BodyText"/>
              <w:spacing w:beforeLines="0" w:before="0" w:afterLines="0" w:after="0"/>
              <w:jc w:val="center"/>
              <w:cnfStyle w:val="100000000000" w:firstRow="1" w:lastRow="0" w:firstColumn="0" w:lastColumn="0" w:oddVBand="0" w:evenVBand="0" w:oddHBand="0" w:evenHBand="0" w:firstRowFirstColumn="0" w:firstRowLastColumn="0" w:lastRowFirstColumn="0" w:lastRowLastColumn="0"/>
            </w:pPr>
            <w:r w:rsidRPr="00721788">
              <w:t>Year to date (Jul</w:t>
            </w:r>
            <w:r w:rsidR="00A675B6" w:rsidRPr="00721788">
              <w:t>-</w:t>
            </w:r>
            <w:r w:rsidR="008F748B">
              <w:t>Dec</w:t>
            </w:r>
            <w:r w:rsidRPr="00721788">
              <w:t>)</w:t>
            </w:r>
          </w:p>
        </w:tc>
        <w:tc>
          <w:tcPr>
            <w:tcW w:w="713" w:type="dxa"/>
            <w:vMerge w:val="restart"/>
            <w:tcMar>
              <w:left w:w="57" w:type="dxa"/>
              <w:right w:w="57" w:type="dxa"/>
            </w:tcMar>
            <w:vAlign w:val="center"/>
          </w:tcPr>
          <w:p w14:paraId="3255149F" w14:textId="77777777" w:rsidR="005830D2" w:rsidRPr="004256CC" w:rsidRDefault="005830D2" w:rsidP="005830D2">
            <w:pPr>
              <w:pStyle w:val="BodyText"/>
              <w:spacing w:beforeLines="0" w:before="0" w:afterLines="0" w:after="0"/>
              <w:jc w:val="right"/>
              <w:cnfStyle w:val="100000000000" w:firstRow="1" w:lastRow="0" w:firstColumn="0" w:lastColumn="0" w:oddVBand="0" w:evenVBand="0" w:oddHBand="0" w:evenHBand="0" w:firstRowFirstColumn="0" w:firstRowLastColumn="0" w:lastRowFirstColumn="0" w:lastRowLastColumn="0"/>
            </w:pPr>
            <w:r w:rsidRPr="00721788">
              <w:t>% change</w:t>
            </w:r>
          </w:p>
        </w:tc>
      </w:tr>
      <w:tr w:rsidR="005C6724" w:rsidRPr="004256CC" w14:paraId="7FF8A04F" w14:textId="77777777" w:rsidTr="005C6724">
        <w:trPr>
          <w:trHeight w:val="70"/>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B7B7E2" w:themeFill="accent1" w:themeFillTint="66"/>
            <w:noWrap/>
            <w:tcMar>
              <w:left w:w="57" w:type="dxa"/>
              <w:right w:w="57" w:type="dxa"/>
            </w:tcMar>
            <w:hideMark/>
          </w:tcPr>
          <w:p w14:paraId="2873811A" w14:textId="77777777" w:rsidR="005830D2" w:rsidRPr="004256CC" w:rsidRDefault="005830D2" w:rsidP="005830D2">
            <w:pPr>
              <w:pStyle w:val="BodyText"/>
              <w:spacing w:before="0" w:after="0"/>
              <w:rPr>
                <w:b/>
                <w:bCs/>
                <w:color w:val="FFFFFF" w:themeColor="background1"/>
              </w:rPr>
            </w:pPr>
          </w:p>
        </w:tc>
        <w:tc>
          <w:tcPr>
            <w:tcW w:w="992" w:type="dxa"/>
            <w:shd w:val="clear" w:color="auto" w:fill="B7B7E2" w:themeFill="accent1" w:themeFillTint="66"/>
            <w:noWrap/>
            <w:tcMar>
              <w:left w:w="57" w:type="dxa"/>
              <w:right w:w="57" w:type="dxa"/>
            </w:tcMar>
            <w:vAlign w:val="center"/>
            <w:hideMark/>
          </w:tcPr>
          <w:p w14:paraId="722C9D08" w14:textId="45D02938" w:rsidR="005830D2" w:rsidRPr="004256CC" w:rsidRDefault="008F748B" w:rsidP="005830D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Nov</w:t>
            </w:r>
            <w:r w:rsidR="005830D2">
              <w:rPr>
                <w:b/>
                <w:bCs/>
                <w:color w:val="FFFFFF" w:themeColor="background1"/>
              </w:rPr>
              <w:t xml:space="preserve"> </w:t>
            </w:r>
            <w:r w:rsidR="005830D2" w:rsidRPr="004256CC">
              <w:rPr>
                <w:b/>
                <w:bCs/>
                <w:color w:val="FFFFFF" w:themeColor="background1"/>
              </w:rPr>
              <w:t>18</w:t>
            </w:r>
          </w:p>
        </w:tc>
        <w:tc>
          <w:tcPr>
            <w:tcW w:w="992" w:type="dxa"/>
            <w:shd w:val="clear" w:color="auto" w:fill="B7B7E2" w:themeFill="accent1" w:themeFillTint="66"/>
            <w:noWrap/>
            <w:tcMar>
              <w:left w:w="57" w:type="dxa"/>
              <w:right w:w="57" w:type="dxa"/>
            </w:tcMar>
            <w:vAlign w:val="center"/>
            <w:hideMark/>
          </w:tcPr>
          <w:p w14:paraId="34912CE6" w14:textId="19942C04" w:rsidR="005830D2" w:rsidRPr="004256CC" w:rsidRDefault="008F748B" w:rsidP="005830D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Dec</w:t>
            </w:r>
            <w:r w:rsidR="005830D2">
              <w:rPr>
                <w:b/>
                <w:bCs/>
                <w:color w:val="FFFFFF" w:themeColor="background1"/>
              </w:rPr>
              <w:t xml:space="preserve"> </w:t>
            </w:r>
            <w:r w:rsidR="005830D2" w:rsidRPr="004256CC">
              <w:rPr>
                <w:b/>
                <w:bCs/>
                <w:color w:val="FFFFFF" w:themeColor="background1"/>
              </w:rPr>
              <w:t>18</w:t>
            </w:r>
          </w:p>
        </w:tc>
        <w:tc>
          <w:tcPr>
            <w:tcW w:w="709" w:type="dxa"/>
            <w:vMerge/>
            <w:shd w:val="clear" w:color="auto" w:fill="B7B7E2" w:themeFill="accent1" w:themeFillTint="66"/>
            <w:noWrap/>
            <w:tcMar>
              <w:left w:w="57" w:type="dxa"/>
              <w:right w:w="57" w:type="dxa"/>
            </w:tcMar>
            <w:vAlign w:val="center"/>
            <w:hideMark/>
          </w:tcPr>
          <w:p w14:paraId="40744A19" w14:textId="77777777" w:rsidR="005830D2" w:rsidRPr="004256CC" w:rsidRDefault="005830D2" w:rsidP="005830D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1134" w:type="dxa"/>
            <w:vMerge/>
            <w:shd w:val="clear" w:color="auto" w:fill="B7B7E2" w:themeFill="accent1" w:themeFillTint="66"/>
            <w:noWrap/>
            <w:tcMar>
              <w:left w:w="57" w:type="dxa"/>
              <w:right w:w="57" w:type="dxa"/>
            </w:tcMar>
            <w:hideMark/>
          </w:tcPr>
          <w:p w14:paraId="484B730E" w14:textId="77777777" w:rsidR="005830D2" w:rsidRPr="004256CC" w:rsidRDefault="005830D2" w:rsidP="005830D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709" w:type="dxa"/>
            <w:vMerge/>
            <w:shd w:val="clear" w:color="auto" w:fill="B7B7E2" w:themeFill="accent1" w:themeFillTint="66"/>
            <w:noWrap/>
            <w:tcMar>
              <w:left w:w="57" w:type="dxa"/>
              <w:right w:w="57" w:type="dxa"/>
            </w:tcMar>
            <w:hideMark/>
          </w:tcPr>
          <w:p w14:paraId="1189AEFD" w14:textId="77777777" w:rsidR="005830D2" w:rsidRPr="004256CC" w:rsidRDefault="005830D2" w:rsidP="005830D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p>
        </w:tc>
        <w:tc>
          <w:tcPr>
            <w:tcW w:w="1134" w:type="dxa"/>
            <w:shd w:val="clear" w:color="auto" w:fill="B7B7E2" w:themeFill="accent1" w:themeFillTint="66"/>
            <w:tcMar>
              <w:left w:w="57" w:type="dxa"/>
              <w:right w:w="57" w:type="dxa"/>
            </w:tcMar>
            <w:vAlign w:val="center"/>
          </w:tcPr>
          <w:p w14:paraId="6A0ADDA6" w14:textId="77777777" w:rsidR="005830D2" w:rsidRPr="004256CC" w:rsidRDefault="005830D2" w:rsidP="005830D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20</w:t>
            </w:r>
            <w:r w:rsidRPr="004256CC">
              <w:rPr>
                <w:b/>
                <w:bCs/>
                <w:color w:val="FFFFFF" w:themeColor="background1"/>
              </w:rPr>
              <w:t>1</w:t>
            </w:r>
            <w:r>
              <w:rPr>
                <w:b/>
                <w:bCs/>
                <w:color w:val="FFFFFF" w:themeColor="background1"/>
              </w:rPr>
              <w:t>7</w:t>
            </w:r>
            <w:r w:rsidRPr="004256CC">
              <w:rPr>
                <w:b/>
                <w:bCs/>
                <w:color w:val="FFFFFF" w:themeColor="background1"/>
              </w:rPr>
              <w:t>-1</w:t>
            </w:r>
            <w:r>
              <w:rPr>
                <w:b/>
                <w:bCs/>
                <w:color w:val="FFFFFF" w:themeColor="background1"/>
              </w:rPr>
              <w:t>8</w:t>
            </w:r>
          </w:p>
        </w:tc>
        <w:tc>
          <w:tcPr>
            <w:tcW w:w="1134" w:type="dxa"/>
            <w:shd w:val="clear" w:color="auto" w:fill="B7B7E2" w:themeFill="accent1" w:themeFillTint="66"/>
            <w:tcMar>
              <w:left w:w="57" w:type="dxa"/>
              <w:right w:w="57" w:type="dxa"/>
            </w:tcMar>
            <w:vAlign w:val="center"/>
          </w:tcPr>
          <w:p w14:paraId="3DE61CEB" w14:textId="77777777" w:rsidR="005830D2" w:rsidRPr="004256CC" w:rsidRDefault="005830D2" w:rsidP="005830D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2018</w:t>
            </w:r>
            <w:r w:rsidRPr="004256CC">
              <w:rPr>
                <w:b/>
                <w:bCs/>
                <w:color w:val="FFFFFF" w:themeColor="background1"/>
              </w:rPr>
              <w:t>-1</w:t>
            </w:r>
            <w:r>
              <w:rPr>
                <w:b/>
                <w:bCs/>
                <w:color w:val="FFFFFF" w:themeColor="background1"/>
              </w:rPr>
              <w:t>9</w:t>
            </w:r>
          </w:p>
        </w:tc>
        <w:tc>
          <w:tcPr>
            <w:tcW w:w="713" w:type="dxa"/>
            <w:vMerge/>
            <w:shd w:val="clear" w:color="auto" w:fill="B7B7E2" w:themeFill="accent1" w:themeFillTint="66"/>
            <w:tcMar>
              <w:left w:w="57" w:type="dxa"/>
              <w:right w:w="57" w:type="dxa"/>
            </w:tcMar>
          </w:tcPr>
          <w:p w14:paraId="3FF047A0" w14:textId="77777777" w:rsidR="005830D2" w:rsidRPr="004256CC" w:rsidRDefault="005830D2" w:rsidP="005830D2">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bCs/>
                <w:color w:val="FFFFFF" w:themeColor="background1"/>
              </w:rPr>
            </w:pPr>
          </w:p>
        </w:tc>
      </w:tr>
      <w:tr w:rsidR="008F748B" w:rsidRPr="004256CC" w14:paraId="12CC61CE" w14:textId="77777777" w:rsidTr="005C6724">
        <w:trPr>
          <w:trHeight w:val="7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02AF914" w14:textId="77777777" w:rsidR="008F748B" w:rsidRPr="004256CC" w:rsidRDefault="008F748B" w:rsidP="008F748B">
            <w:pPr>
              <w:pStyle w:val="BodyText"/>
              <w:spacing w:before="0" w:after="0"/>
            </w:pPr>
            <w:r w:rsidRPr="004256CC">
              <w:t>Metals</w:t>
            </w:r>
          </w:p>
        </w:tc>
        <w:tc>
          <w:tcPr>
            <w:tcW w:w="992" w:type="dxa"/>
            <w:noWrap/>
          </w:tcPr>
          <w:p w14:paraId="0BA229D8" w14:textId="3BE05049" w:rsidR="008F748B" w:rsidRPr="004256CC"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0779FB">
              <w:t>230,700</w:t>
            </w:r>
          </w:p>
        </w:tc>
        <w:tc>
          <w:tcPr>
            <w:tcW w:w="992" w:type="dxa"/>
            <w:noWrap/>
          </w:tcPr>
          <w:p w14:paraId="672BF213" w14:textId="45D350A9" w:rsidR="008F748B" w:rsidRPr="004256CC"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0779FB">
              <w:t>239,900</w:t>
            </w:r>
          </w:p>
        </w:tc>
        <w:tc>
          <w:tcPr>
            <w:tcW w:w="709" w:type="dxa"/>
            <w:noWrap/>
          </w:tcPr>
          <w:p w14:paraId="1BF2AA5F" w14:textId="24E737A3" w:rsidR="008F748B" w:rsidRPr="004256CC"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0779FB">
              <w:t>4%</w:t>
            </w:r>
          </w:p>
        </w:tc>
        <w:tc>
          <w:tcPr>
            <w:tcW w:w="1134" w:type="dxa"/>
            <w:noWrap/>
          </w:tcPr>
          <w:p w14:paraId="477EC325" w14:textId="3593CCE8" w:rsidR="008F748B" w:rsidRPr="004256CC"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0779FB">
              <w:t>203,800</w:t>
            </w:r>
          </w:p>
        </w:tc>
        <w:tc>
          <w:tcPr>
            <w:tcW w:w="709" w:type="dxa"/>
            <w:noWrap/>
          </w:tcPr>
          <w:p w14:paraId="65114AF7" w14:textId="6E11B919" w:rsidR="008F748B" w:rsidRPr="004256CC"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0779FB">
              <w:t>18%</w:t>
            </w:r>
          </w:p>
        </w:tc>
        <w:tc>
          <w:tcPr>
            <w:tcW w:w="1134" w:type="dxa"/>
          </w:tcPr>
          <w:p w14:paraId="6375CE7A" w14:textId="71AB03EF" w:rsidR="008F748B" w:rsidRPr="004256CC"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0779FB">
              <w:t>1,289,500</w:t>
            </w:r>
          </w:p>
        </w:tc>
        <w:tc>
          <w:tcPr>
            <w:tcW w:w="1134" w:type="dxa"/>
          </w:tcPr>
          <w:p w14:paraId="397F1BFA" w14:textId="7899C2DF" w:rsidR="008F748B" w:rsidRPr="004256CC"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0779FB">
              <w:t>1,327,000</w:t>
            </w:r>
          </w:p>
        </w:tc>
        <w:tc>
          <w:tcPr>
            <w:tcW w:w="713" w:type="dxa"/>
          </w:tcPr>
          <w:p w14:paraId="5C6110BF" w14:textId="4E9F8524" w:rsidR="008F748B" w:rsidRPr="004256CC"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0779FB">
              <w:t>3%</w:t>
            </w:r>
          </w:p>
        </w:tc>
      </w:tr>
      <w:tr w:rsidR="008F748B" w:rsidRPr="004256CC" w14:paraId="262982A5" w14:textId="77777777" w:rsidTr="005C6724">
        <w:trPr>
          <w:trHeight w:val="7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14:paraId="45D0DD53" w14:textId="77777777" w:rsidR="008F748B" w:rsidRPr="004256CC" w:rsidRDefault="008F748B" w:rsidP="008F748B">
            <w:pPr>
              <w:pStyle w:val="BodyText"/>
              <w:spacing w:before="0" w:after="0"/>
            </w:pPr>
            <w:r w:rsidRPr="004256CC">
              <w:t>Plastics</w:t>
            </w:r>
          </w:p>
        </w:tc>
        <w:tc>
          <w:tcPr>
            <w:tcW w:w="992" w:type="dxa"/>
            <w:noWrap/>
          </w:tcPr>
          <w:p w14:paraId="78C7898C" w14:textId="648B787A" w:rsidR="008F748B" w:rsidRPr="004256CC"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0779FB">
              <w:t>16,100</w:t>
            </w:r>
          </w:p>
        </w:tc>
        <w:tc>
          <w:tcPr>
            <w:tcW w:w="992" w:type="dxa"/>
            <w:noWrap/>
          </w:tcPr>
          <w:p w14:paraId="19F4BC3E" w14:textId="0819CAF4" w:rsidR="008F748B" w:rsidRPr="004256CC"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0779FB">
              <w:t>14,800</w:t>
            </w:r>
          </w:p>
        </w:tc>
        <w:tc>
          <w:tcPr>
            <w:tcW w:w="709" w:type="dxa"/>
            <w:noWrap/>
          </w:tcPr>
          <w:p w14:paraId="5CE65E14" w14:textId="6AACA4D5" w:rsidR="008F748B" w:rsidRPr="004256CC"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0779FB">
              <w:t>-8%</w:t>
            </w:r>
          </w:p>
        </w:tc>
        <w:tc>
          <w:tcPr>
            <w:tcW w:w="1134" w:type="dxa"/>
            <w:noWrap/>
          </w:tcPr>
          <w:p w14:paraId="0CB41104" w14:textId="35BB428A" w:rsidR="008F748B" w:rsidRPr="004256CC"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0779FB">
              <w:t>13,200</w:t>
            </w:r>
          </w:p>
        </w:tc>
        <w:tc>
          <w:tcPr>
            <w:tcW w:w="709" w:type="dxa"/>
            <w:noWrap/>
          </w:tcPr>
          <w:p w14:paraId="72FD8192" w14:textId="1A87A908" w:rsidR="008F748B" w:rsidRPr="004256CC"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0779FB">
              <w:t>12%</w:t>
            </w:r>
          </w:p>
        </w:tc>
        <w:tc>
          <w:tcPr>
            <w:tcW w:w="1134" w:type="dxa"/>
          </w:tcPr>
          <w:p w14:paraId="0260A3F2" w14:textId="17298B83" w:rsidR="008F748B" w:rsidRPr="004256CC"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0779FB">
              <w:t>77,500</w:t>
            </w:r>
          </w:p>
        </w:tc>
        <w:tc>
          <w:tcPr>
            <w:tcW w:w="1134" w:type="dxa"/>
          </w:tcPr>
          <w:p w14:paraId="507E2F97" w14:textId="5395173E" w:rsidR="008F748B" w:rsidRPr="004256CC"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0779FB">
              <w:t>84,700</w:t>
            </w:r>
          </w:p>
        </w:tc>
        <w:tc>
          <w:tcPr>
            <w:tcW w:w="713" w:type="dxa"/>
          </w:tcPr>
          <w:p w14:paraId="13F481F0" w14:textId="17905890" w:rsidR="008F748B" w:rsidRPr="004256CC"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0779FB">
              <w:t>9%</w:t>
            </w:r>
          </w:p>
        </w:tc>
      </w:tr>
      <w:tr w:rsidR="008F748B" w:rsidRPr="004256CC" w14:paraId="4692D985" w14:textId="77777777" w:rsidTr="005C6724">
        <w:trPr>
          <w:trHeight w:val="7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14:paraId="2185BF19" w14:textId="77777777" w:rsidR="008F748B" w:rsidRPr="004256CC" w:rsidRDefault="008F748B" w:rsidP="008F748B">
            <w:pPr>
              <w:pStyle w:val="BodyText"/>
              <w:spacing w:before="0" w:after="0"/>
            </w:pPr>
            <w:r w:rsidRPr="004256CC">
              <w:t>Paper &amp; cardboard</w:t>
            </w:r>
          </w:p>
        </w:tc>
        <w:tc>
          <w:tcPr>
            <w:tcW w:w="992" w:type="dxa"/>
            <w:noWrap/>
          </w:tcPr>
          <w:p w14:paraId="2300DCAE" w14:textId="47113312" w:rsidR="008F748B" w:rsidRPr="004256CC"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0779FB">
              <w:t>100,900</w:t>
            </w:r>
          </w:p>
        </w:tc>
        <w:tc>
          <w:tcPr>
            <w:tcW w:w="992" w:type="dxa"/>
            <w:noWrap/>
          </w:tcPr>
          <w:p w14:paraId="731EB455" w14:textId="4BC5357F" w:rsidR="008F748B" w:rsidRPr="004256CC"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0779FB">
              <w:t>99,100</w:t>
            </w:r>
          </w:p>
        </w:tc>
        <w:tc>
          <w:tcPr>
            <w:tcW w:w="709" w:type="dxa"/>
            <w:noWrap/>
          </w:tcPr>
          <w:p w14:paraId="7BF918C3" w14:textId="504D37B3" w:rsidR="008F748B" w:rsidRPr="004256CC"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0779FB">
              <w:t>-2%</w:t>
            </w:r>
          </w:p>
        </w:tc>
        <w:tc>
          <w:tcPr>
            <w:tcW w:w="1134" w:type="dxa"/>
            <w:noWrap/>
          </w:tcPr>
          <w:p w14:paraId="1E37E2A9" w14:textId="76D5D93A" w:rsidR="008F748B" w:rsidRPr="004256CC"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0779FB">
              <w:t>109,800</w:t>
            </w:r>
          </w:p>
        </w:tc>
        <w:tc>
          <w:tcPr>
            <w:tcW w:w="709" w:type="dxa"/>
            <w:noWrap/>
          </w:tcPr>
          <w:p w14:paraId="60FF1D92" w14:textId="3E8F11DE" w:rsidR="008F748B" w:rsidRPr="004256CC"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0779FB">
              <w:t>-10%</w:t>
            </w:r>
          </w:p>
        </w:tc>
        <w:tc>
          <w:tcPr>
            <w:tcW w:w="1134" w:type="dxa"/>
          </w:tcPr>
          <w:p w14:paraId="361E6260" w14:textId="4243D46A" w:rsidR="008F748B" w:rsidRPr="004256CC"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0779FB">
              <w:t>724,200</w:t>
            </w:r>
          </w:p>
        </w:tc>
        <w:tc>
          <w:tcPr>
            <w:tcW w:w="1134" w:type="dxa"/>
          </w:tcPr>
          <w:p w14:paraId="46B0CBC6" w14:textId="011DB227" w:rsidR="008F748B" w:rsidRPr="004256CC"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0779FB">
              <w:t>562,600</w:t>
            </w:r>
          </w:p>
        </w:tc>
        <w:tc>
          <w:tcPr>
            <w:tcW w:w="713" w:type="dxa"/>
          </w:tcPr>
          <w:p w14:paraId="07864F0A" w14:textId="4B4A779B" w:rsidR="008F748B" w:rsidRPr="004256CC"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0779FB">
              <w:t>-22%</w:t>
            </w:r>
          </w:p>
        </w:tc>
      </w:tr>
      <w:tr w:rsidR="008F748B" w:rsidRPr="004256CC" w14:paraId="3AF1FE53" w14:textId="77777777" w:rsidTr="005C6724">
        <w:trPr>
          <w:trHeight w:val="7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AAFA793" w14:textId="77777777" w:rsidR="008F748B" w:rsidRPr="004256CC" w:rsidRDefault="008F748B" w:rsidP="008F748B">
            <w:pPr>
              <w:pStyle w:val="BodyText"/>
              <w:spacing w:before="0" w:after="0"/>
            </w:pPr>
            <w:r w:rsidRPr="004256CC">
              <w:t>Other</w:t>
            </w:r>
          </w:p>
        </w:tc>
        <w:tc>
          <w:tcPr>
            <w:tcW w:w="992" w:type="dxa"/>
            <w:noWrap/>
          </w:tcPr>
          <w:p w14:paraId="0FBC673B" w14:textId="34E51A8B" w:rsidR="008F748B" w:rsidRPr="004256CC"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0779FB">
              <w:t>16,000</w:t>
            </w:r>
          </w:p>
        </w:tc>
        <w:tc>
          <w:tcPr>
            <w:tcW w:w="992" w:type="dxa"/>
            <w:noWrap/>
          </w:tcPr>
          <w:p w14:paraId="49D0F815" w14:textId="07013A26" w:rsidR="008F748B" w:rsidRPr="004256CC"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0779FB">
              <w:t>17,900</w:t>
            </w:r>
          </w:p>
        </w:tc>
        <w:tc>
          <w:tcPr>
            <w:tcW w:w="709" w:type="dxa"/>
            <w:noWrap/>
          </w:tcPr>
          <w:p w14:paraId="70CA1990" w14:textId="57119368" w:rsidR="008F748B" w:rsidRPr="004256CC"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0779FB">
              <w:t>12%</w:t>
            </w:r>
          </w:p>
        </w:tc>
        <w:tc>
          <w:tcPr>
            <w:tcW w:w="1134" w:type="dxa"/>
            <w:noWrap/>
          </w:tcPr>
          <w:p w14:paraId="1443A4A6" w14:textId="34769332" w:rsidR="008F748B" w:rsidRPr="004256CC"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0779FB">
              <w:t>23,800</w:t>
            </w:r>
          </w:p>
        </w:tc>
        <w:tc>
          <w:tcPr>
            <w:tcW w:w="709" w:type="dxa"/>
            <w:noWrap/>
          </w:tcPr>
          <w:p w14:paraId="0210272F" w14:textId="5EAB8056" w:rsidR="008F748B" w:rsidRPr="004256CC"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0779FB">
              <w:t>-25%</w:t>
            </w:r>
          </w:p>
        </w:tc>
        <w:tc>
          <w:tcPr>
            <w:tcW w:w="1134" w:type="dxa"/>
          </w:tcPr>
          <w:p w14:paraId="40BBF65D" w14:textId="39E0E64F" w:rsidR="008F748B" w:rsidRPr="004256CC"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0779FB">
              <w:t>160,900</w:t>
            </w:r>
          </w:p>
        </w:tc>
        <w:tc>
          <w:tcPr>
            <w:tcW w:w="1134" w:type="dxa"/>
          </w:tcPr>
          <w:p w14:paraId="05E721C9" w14:textId="2F26ADA3" w:rsidR="008F748B" w:rsidRPr="004256CC"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0779FB">
              <w:t>106,400</w:t>
            </w:r>
          </w:p>
        </w:tc>
        <w:tc>
          <w:tcPr>
            <w:tcW w:w="713" w:type="dxa"/>
          </w:tcPr>
          <w:p w14:paraId="0F07D7E4" w14:textId="26A7C5D8" w:rsidR="008F748B" w:rsidRPr="004256CC"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0779FB">
              <w:t>-34%</w:t>
            </w:r>
          </w:p>
        </w:tc>
      </w:tr>
      <w:tr w:rsidR="008F748B" w:rsidRPr="004256CC" w14:paraId="4AE8B89C" w14:textId="77777777" w:rsidTr="005C6724">
        <w:trPr>
          <w:trHeight w:val="7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14:paraId="70B68E57" w14:textId="77777777" w:rsidR="008F748B" w:rsidRPr="004256CC" w:rsidRDefault="008F748B" w:rsidP="008F748B">
            <w:pPr>
              <w:pStyle w:val="BodyText"/>
              <w:spacing w:before="0" w:after="0"/>
            </w:pPr>
            <w:r w:rsidRPr="004256CC">
              <w:t>Hazardous</w:t>
            </w:r>
          </w:p>
        </w:tc>
        <w:tc>
          <w:tcPr>
            <w:tcW w:w="992" w:type="dxa"/>
            <w:noWrap/>
          </w:tcPr>
          <w:p w14:paraId="267F97CB" w14:textId="6176B394" w:rsidR="008F748B" w:rsidRPr="004256CC"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0779FB">
              <w:t>13,200</w:t>
            </w:r>
          </w:p>
        </w:tc>
        <w:tc>
          <w:tcPr>
            <w:tcW w:w="992" w:type="dxa"/>
            <w:noWrap/>
          </w:tcPr>
          <w:p w14:paraId="07EF07B6" w14:textId="6015D869" w:rsidR="008F748B" w:rsidRPr="004256CC"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0779FB">
              <w:t>35,200</w:t>
            </w:r>
          </w:p>
        </w:tc>
        <w:tc>
          <w:tcPr>
            <w:tcW w:w="709" w:type="dxa"/>
            <w:noWrap/>
          </w:tcPr>
          <w:p w14:paraId="78079719" w14:textId="6C8ACBA1" w:rsidR="008F748B" w:rsidRPr="004256CC"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0779FB">
              <w:t>166%</w:t>
            </w:r>
          </w:p>
        </w:tc>
        <w:tc>
          <w:tcPr>
            <w:tcW w:w="1134" w:type="dxa"/>
            <w:noWrap/>
          </w:tcPr>
          <w:p w14:paraId="563C8CF2" w14:textId="1F50A5A8" w:rsidR="008F748B" w:rsidRPr="004256CC"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0779FB">
              <w:t>17,900</w:t>
            </w:r>
          </w:p>
        </w:tc>
        <w:tc>
          <w:tcPr>
            <w:tcW w:w="709" w:type="dxa"/>
            <w:noWrap/>
          </w:tcPr>
          <w:p w14:paraId="6BF80B49" w14:textId="52259B52" w:rsidR="008F748B" w:rsidRPr="004256CC"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0779FB">
              <w:t>96%</w:t>
            </w:r>
          </w:p>
        </w:tc>
        <w:tc>
          <w:tcPr>
            <w:tcW w:w="1134" w:type="dxa"/>
          </w:tcPr>
          <w:p w14:paraId="25D5D486" w14:textId="176B50C8" w:rsidR="008F748B" w:rsidRPr="004256CC"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0779FB">
              <w:t>116,200</w:t>
            </w:r>
          </w:p>
        </w:tc>
        <w:tc>
          <w:tcPr>
            <w:tcW w:w="1134" w:type="dxa"/>
          </w:tcPr>
          <w:p w14:paraId="1746ECD4" w14:textId="1F7FD297" w:rsidR="008F748B" w:rsidRPr="004256CC"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0779FB">
              <w:t>131,000</w:t>
            </w:r>
          </w:p>
        </w:tc>
        <w:tc>
          <w:tcPr>
            <w:tcW w:w="713" w:type="dxa"/>
          </w:tcPr>
          <w:p w14:paraId="16F833D2" w14:textId="7FFD4FD2" w:rsidR="008F748B" w:rsidRPr="004256CC"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pPr>
            <w:r w:rsidRPr="000779FB">
              <w:t>13%</w:t>
            </w:r>
          </w:p>
        </w:tc>
      </w:tr>
      <w:tr w:rsidR="008F748B" w:rsidRPr="004256CC" w14:paraId="2D1BD7A7" w14:textId="77777777" w:rsidTr="005C6724">
        <w:trPr>
          <w:trHeight w:val="70"/>
          <w:jc w:val="center"/>
        </w:trPr>
        <w:tc>
          <w:tcPr>
            <w:cnfStyle w:val="001000000000" w:firstRow="0" w:lastRow="0" w:firstColumn="1" w:lastColumn="0" w:oddVBand="0" w:evenVBand="0" w:oddHBand="0" w:evenHBand="0" w:firstRowFirstColumn="0" w:firstRowLastColumn="0" w:lastRowFirstColumn="0" w:lastRowLastColumn="0"/>
            <w:tcW w:w="1555" w:type="dxa"/>
            <w:noWrap/>
            <w:hideMark/>
          </w:tcPr>
          <w:p w14:paraId="5CFF10C9" w14:textId="77777777" w:rsidR="008F748B" w:rsidRPr="009D1226" w:rsidRDefault="008F748B" w:rsidP="008F748B">
            <w:pPr>
              <w:pStyle w:val="BodyText"/>
              <w:spacing w:before="0" w:after="0"/>
              <w:rPr>
                <w:b/>
              </w:rPr>
            </w:pPr>
            <w:r w:rsidRPr="009D1226">
              <w:rPr>
                <w:b/>
              </w:rPr>
              <w:t>Total</w:t>
            </w:r>
          </w:p>
        </w:tc>
        <w:tc>
          <w:tcPr>
            <w:tcW w:w="992" w:type="dxa"/>
            <w:noWrap/>
          </w:tcPr>
          <w:p w14:paraId="4033E03D" w14:textId="0350B4ED" w:rsidR="008F748B" w:rsidRPr="008F748B"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8F748B">
              <w:rPr>
                <w:b/>
              </w:rPr>
              <w:t>376,900</w:t>
            </w:r>
          </w:p>
        </w:tc>
        <w:tc>
          <w:tcPr>
            <w:tcW w:w="992" w:type="dxa"/>
            <w:noWrap/>
          </w:tcPr>
          <w:p w14:paraId="212E493F" w14:textId="1D999905" w:rsidR="008F748B" w:rsidRPr="008F748B"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8F748B">
              <w:rPr>
                <w:b/>
              </w:rPr>
              <w:t>406,900</w:t>
            </w:r>
          </w:p>
        </w:tc>
        <w:tc>
          <w:tcPr>
            <w:tcW w:w="709" w:type="dxa"/>
            <w:noWrap/>
          </w:tcPr>
          <w:p w14:paraId="07BCBB80" w14:textId="3C668B35" w:rsidR="008F748B" w:rsidRPr="008F748B"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8F748B">
              <w:rPr>
                <w:b/>
              </w:rPr>
              <w:t>8%</w:t>
            </w:r>
          </w:p>
        </w:tc>
        <w:tc>
          <w:tcPr>
            <w:tcW w:w="1134" w:type="dxa"/>
            <w:noWrap/>
          </w:tcPr>
          <w:p w14:paraId="6E71C728" w14:textId="5C0AE199" w:rsidR="008F748B" w:rsidRPr="008F748B"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8F748B">
              <w:rPr>
                <w:b/>
              </w:rPr>
              <w:t>368,500</w:t>
            </w:r>
          </w:p>
        </w:tc>
        <w:tc>
          <w:tcPr>
            <w:tcW w:w="709" w:type="dxa"/>
            <w:noWrap/>
          </w:tcPr>
          <w:p w14:paraId="1DF24970" w14:textId="75C90CD0" w:rsidR="008F748B" w:rsidRPr="008F748B"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8F748B">
              <w:rPr>
                <w:b/>
              </w:rPr>
              <w:t>10%</w:t>
            </w:r>
          </w:p>
        </w:tc>
        <w:tc>
          <w:tcPr>
            <w:tcW w:w="1134" w:type="dxa"/>
          </w:tcPr>
          <w:p w14:paraId="72F8038F" w14:textId="638250A4" w:rsidR="008F748B" w:rsidRPr="008F748B"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8F748B">
              <w:rPr>
                <w:b/>
              </w:rPr>
              <w:t>2,368,500</w:t>
            </w:r>
          </w:p>
        </w:tc>
        <w:tc>
          <w:tcPr>
            <w:tcW w:w="1134" w:type="dxa"/>
          </w:tcPr>
          <w:p w14:paraId="2FAD75CB" w14:textId="0E524BE1" w:rsidR="008F748B" w:rsidRPr="008F748B"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8F748B">
              <w:rPr>
                <w:b/>
              </w:rPr>
              <w:t>2,211,700</w:t>
            </w:r>
          </w:p>
        </w:tc>
        <w:tc>
          <w:tcPr>
            <w:tcW w:w="713" w:type="dxa"/>
          </w:tcPr>
          <w:p w14:paraId="2C8CB581" w14:textId="55B59BCC" w:rsidR="008F748B" w:rsidRPr="008F748B" w:rsidRDefault="008F748B" w:rsidP="008F748B">
            <w:pPr>
              <w:pStyle w:val="BodyText"/>
              <w:spacing w:before="0" w:after="0"/>
              <w:jc w:val="right"/>
              <w:cnfStyle w:val="000000000000" w:firstRow="0" w:lastRow="0" w:firstColumn="0" w:lastColumn="0" w:oddVBand="0" w:evenVBand="0" w:oddHBand="0" w:evenHBand="0" w:firstRowFirstColumn="0" w:firstRowLastColumn="0" w:lastRowFirstColumn="0" w:lastRowLastColumn="0"/>
              <w:rPr>
                <w:b/>
              </w:rPr>
            </w:pPr>
            <w:r w:rsidRPr="008F748B">
              <w:rPr>
                <w:b/>
              </w:rPr>
              <w:t>-7%</w:t>
            </w:r>
          </w:p>
        </w:tc>
      </w:tr>
    </w:tbl>
    <w:p w14:paraId="1883CEDD" w14:textId="5BFE4015" w:rsidR="000C2908" w:rsidRDefault="000C2908" w:rsidP="005830D2">
      <w:pPr>
        <w:pStyle w:val="BodyText"/>
      </w:pPr>
    </w:p>
    <w:p w14:paraId="4DF3FA34" w14:textId="7A1A17E3" w:rsidR="008F748B" w:rsidRDefault="009C465E" w:rsidP="005830D2">
      <w:pPr>
        <w:pStyle w:val="BodyText"/>
      </w:pPr>
      <w:r w:rsidRPr="00D80CED">
        <w:fldChar w:fldCharType="begin"/>
      </w:r>
      <w:r w:rsidRPr="00D80CED">
        <w:instrText xml:space="preserve"> REF _Ref526509038 \h </w:instrText>
      </w:r>
      <w:r w:rsidR="00D80CED">
        <w:instrText xml:space="preserve"> \* MERGEFORMAT </w:instrText>
      </w:r>
      <w:r w:rsidRPr="00D80CED">
        <w:fldChar w:fldCharType="separate"/>
      </w:r>
      <w:r w:rsidR="00510A11">
        <w:t xml:space="preserve">Figure </w:t>
      </w:r>
      <w:r w:rsidR="00510A11">
        <w:rPr>
          <w:noProof/>
        </w:rPr>
        <w:t>2</w:t>
      </w:r>
      <w:r w:rsidRPr="00D80CED">
        <w:fldChar w:fldCharType="end"/>
      </w:r>
      <w:r w:rsidRPr="00D80CED">
        <w:t xml:space="preserve"> </w:t>
      </w:r>
      <w:r w:rsidR="008F748B">
        <w:t xml:space="preserve">(overleaf) </w:t>
      </w:r>
      <w:r w:rsidRPr="00D80CED">
        <w:t xml:space="preserve">presents the monthly trend in exports of waste from Australia by material type between July 2017 and </w:t>
      </w:r>
      <w:r w:rsidR="008F748B">
        <w:t>December</w:t>
      </w:r>
      <w:r w:rsidR="008F748B" w:rsidRPr="00D80CED">
        <w:t xml:space="preserve"> </w:t>
      </w:r>
      <w:r w:rsidRPr="00D80CED">
        <w:t>2018.</w:t>
      </w:r>
      <w:r>
        <w:t xml:space="preserve"> </w:t>
      </w:r>
      <w:r w:rsidR="00516C79">
        <w:t>M</w:t>
      </w:r>
      <w:r w:rsidR="00736DE2">
        <w:t xml:space="preserve">onthly </w:t>
      </w:r>
      <w:r w:rsidR="00BB578F">
        <w:t>export</w:t>
      </w:r>
      <w:r w:rsidR="00736DE2">
        <w:t>s</w:t>
      </w:r>
      <w:r w:rsidR="00516C79">
        <w:t xml:space="preserve"> in all categories </w:t>
      </w:r>
      <w:r w:rsidR="00D80CED">
        <w:t xml:space="preserve">have </w:t>
      </w:r>
      <w:r w:rsidR="00CC4449">
        <w:t>remained</w:t>
      </w:r>
      <w:r w:rsidR="00D80CED">
        <w:t xml:space="preserve"> steady </w:t>
      </w:r>
      <w:r w:rsidR="00736DE2">
        <w:t>this financial year</w:t>
      </w:r>
      <w:r w:rsidR="00D80CED">
        <w:t xml:space="preserve"> </w:t>
      </w:r>
      <w:r w:rsidR="00516C79">
        <w:t>relative to</w:t>
      </w:r>
      <w:r w:rsidR="00736DE2">
        <w:t xml:space="preserve"> the </w:t>
      </w:r>
      <w:r w:rsidR="00516C79">
        <w:t>volatility of 2017-18</w:t>
      </w:r>
      <w:r w:rsidR="00736DE2">
        <w:t>.</w:t>
      </w:r>
      <w:r w:rsidR="008F748B">
        <w:br w:type="page"/>
      </w:r>
    </w:p>
    <w:p w14:paraId="3704F971" w14:textId="4E2D0E90" w:rsidR="00FD30F3" w:rsidRDefault="00FD30F3" w:rsidP="00FD30F3">
      <w:pPr>
        <w:pStyle w:val="Caption"/>
      </w:pPr>
      <w:bookmarkStart w:id="5" w:name="_Ref526509038"/>
      <w:r>
        <w:lastRenderedPageBreak/>
        <w:t xml:space="preserve">Figure </w:t>
      </w:r>
      <w:r w:rsidR="00E34057">
        <w:rPr>
          <w:noProof/>
        </w:rPr>
        <w:fldChar w:fldCharType="begin"/>
      </w:r>
      <w:r w:rsidR="00E34057">
        <w:rPr>
          <w:noProof/>
        </w:rPr>
        <w:instrText xml:space="preserve"> SEQ Figure \* ARABIC </w:instrText>
      </w:r>
      <w:r w:rsidR="00E34057">
        <w:rPr>
          <w:noProof/>
        </w:rPr>
        <w:fldChar w:fldCharType="separate"/>
      </w:r>
      <w:r w:rsidR="00510A11">
        <w:rPr>
          <w:noProof/>
        </w:rPr>
        <w:t>2</w:t>
      </w:r>
      <w:r w:rsidR="00E34057">
        <w:rPr>
          <w:noProof/>
        </w:rPr>
        <w:fldChar w:fldCharType="end"/>
      </w:r>
      <w:bookmarkEnd w:id="5"/>
      <w:r>
        <w:tab/>
      </w:r>
      <w:r w:rsidR="00D16A39">
        <w:t xml:space="preserve">Monthly </w:t>
      </w:r>
      <w:r w:rsidRPr="00FD30F3">
        <w:t>exports of waste from Australia by material type</w:t>
      </w:r>
      <w:r w:rsidR="009C465E">
        <w:t xml:space="preserve">, July </w:t>
      </w:r>
      <w:r w:rsidR="009C465E" w:rsidRPr="00B224F5">
        <w:t xml:space="preserve">2017 – </w:t>
      </w:r>
      <w:r w:rsidR="008F748B">
        <w:t>December</w:t>
      </w:r>
      <w:r w:rsidR="009C465E" w:rsidRPr="00B224F5">
        <w:t xml:space="preserve"> 2018</w:t>
      </w:r>
    </w:p>
    <w:p w14:paraId="54E23D11" w14:textId="5D03F697" w:rsidR="00FD30F3" w:rsidRDefault="008F748B" w:rsidP="00FD30F3">
      <w:pPr>
        <w:pStyle w:val="BodyText"/>
      </w:pPr>
      <w:r w:rsidRPr="008F748B">
        <w:rPr>
          <w:noProof/>
          <w:lang w:eastAsia="en-AU"/>
        </w:rPr>
        <w:drawing>
          <wp:inline distT="0" distB="0" distL="0" distR="0" wp14:anchorId="0CFC17FD" wp14:editId="6BE2E19D">
            <wp:extent cx="5734050" cy="2514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4050" cy="2514600"/>
                    </a:xfrm>
                    <a:prstGeom prst="rect">
                      <a:avLst/>
                    </a:prstGeom>
                    <a:noFill/>
                    <a:ln>
                      <a:noFill/>
                    </a:ln>
                  </pic:spPr>
                </pic:pic>
              </a:graphicData>
            </a:graphic>
          </wp:inline>
        </w:drawing>
      </w:r>
    </w:p>
    <w:p w14:paraId="064D86ED" w14:textId="77777777" w:rsidR="00FD30F3" w:rsidRDefault="00FD30F3" w:rsidP="00FD30F3">
      <w:pPr>
        <w:pStyle w:val="BodyText"/>
      </w:pPr>
    </w:p>
    <w:p w14:paraId="4B6A50E2" w14:textId="4CFED8C8" w:rsidR="00A9344A" w:rsidRDefault="00A9344A" w:rsidP="00A9344A">
      <w:pPr>
        <w:pStyle w:val="Heading3-nonumber"/>
      </w:pPr>
      <w:r>
        <w:t>The current status of waste import restrictions</w:t>
      </w:r>
    </w:p>
    <w:p w14:paraId="0AD1FF14" w14:textId="0BFB4B3F" w:rsidR="00750BDD" w:rsidRDefault="003D0563" w:rsidP="00A9344A">
      <w:pPr>
        <w:pStyle w:val="BodyText"/>
      </w:pPr>
      <w:r>
        <w:fldChar w:fldCharType="begin"/>
      </w:r>
      <w:r>
        <w:instrText xml:space="preserve"> REF _Ref524954387 \h </w:instrText>
      </w:r>
      <w:r>
        <w:fldChar w:fldCharType="separate"/>
      </w:r>
      <w:r w:rsidR="00510A11">
        <w:t xml:space="preserve">Table </w:t>
      </w:r>
      <w:r w:rsidR="00510A11">
        <w:rPr>
          <w:noProof/>
        </w:rPr>
        <w:t>3</w:t>
      </w:r>
      <w:r>
        <w:fldChar w:fldCharType="end"/>
      </w:r>
      <w:r w:rsidR="00A9344A">
        <w:t xml:space="preserve"> </w:t>
      </w:r>
      <w:r w:rsidR="00750BDD">
        <w:t>presents our understanding of</w:t>
      </w:r>
      <w:r w:rsidR="00482856">
        <w:t xml:space="preserve"> </w:t>
      </w:r>
      <w:r w:rsidR="006C0A94">
        <w:t xml:space="preserve">waste import restrictions </w:t>
      </w:r>
      <w:r w:rsidR="00460A12">
        <w:t xml:space="preserve">which countries have implemented or are planning to implement. </w:t>
      </w:r>
      <w:r w:rsidR="00B224F5">
        <w:t>T</w:t>
      </w:r>
      <w:r w:rsidR="00460A12">
        <w:t>his</w:t>
      </w:r>
      <w:r w:rsidR="00750BDD">
        <w:t xml:space="preserve"> </w:t>
      </w:r>
      <w:r w:rsidR="00460A12">
        <w:t>information has been compiled based on the best publicly available sources, sometimes translated from</w:t>
      </w:r>
      <w:r w:rsidR="00BA4A65">
        <w:t xml:space="preserve"> local</w:t>
      </w:r>
      <w:r w:rsidR="00460A12">
        <w:t xml:space="preserve"> languages</w:t>
      </w:r>
      <w:r w:rsidR="00BA4A65">
        <w:t>. It</w:t>
      </w:r>
      <w:r w:rsidR="00460A12">
        <w:t xml:space="preserve"> therefore may not match the most up-to-date information available through official channels.</w:t>
      </w:r>
    </w:p>
    <w:p w14:paraId="3D221811" w14:textId="35BAD48F" w:rsidR="003D0563" w:rsidRDefault="003D0563" w:rsidP="003D0563">
      <w:pPr>
        <w:pStyle w:val="Caption"/>
      </w:pPr>
      <w:bookmarkStart w:id="6" w:name="_Ref524954387"/>
      <w:r>
        <w:t xml:space="preserve">Table </w:t>
      </w:r>
      <w:r w:rsidR="001C0F90">
        <w:rPr>
          <w:noProof/>
        </w:rPr>
        <w:fldChar w:fldCharType="begin"/>
      </w:r>
      <w:r w:rsidR="001C0F90">
        <w:rPr>
          <w:noProof/>
        </w:rPr>
        <w:instrText xml:space="preserve"> SEQ Table \* ARABIC </w:instrText>
      </w:r>
      <w:r w:rsidR="001C0F90">
        <w:rPr>
          <w:noProof/>
        </w:rPr>
        <w:fldChar w:fldCharType="separate"/>
      </w:r>
      <w:r w:rsidR="00510A11">
        <w:rPr>
          <w:noProof/>
        </w:rPr>
        <w:t>3</w:t>
      </w:r>
      <w:r w:rsidR="001C0F90">
        <w:rPr>
          <w:noProof/>
        </w:rPr>
        <w:fldChar w:fldCharType="end"/>
      </w:r>
      <w:bookmarkEnd w:id="6"/>
      <w:r>
        <w:tab/>
        <w:t>Current status of waste import restrictions</w:t>
      </w:r>
    </w:p>
    <w:tbl>
      <w:tblPr>
        <w:tblStyle w:val="BE-table"/>
        <w:tblW w:w="0" w:type="auto"/>
        <w:tblInd w:w="-431" w:type="dxa"/>
        <w:tblLayout w:type="fixed"/>
        <w:tblLook w:val="04A0" w:firstRow="1" w:lastRow="0" w:firstColumn="1" w:lastColumn="0" w:noHBand="0" w:noVBand="1"/>
      </w:tblPr>
      <w:tblGrid>
        <w:gridCol w:w="935"/>
        <w:gridCol w:w="2610"/>
        <w:gridCol w:w="1417"/>
        <w:gridCol w:w="993"/>
        <w:gridCol w:w="992"/>
        <w:gridCol w:w="850"/>
        <w:gridCol w:w="1656"/>
      </w:tblGrid>
      <w:tr w:rsidR="00E162A4" w14:paraId="0A7B2002" w14:textId="24BDD73F" w:rsidTr="006261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dxa"/>
            <w:vMerge w:val="restart"/>
            <w:vAlign w:val="bottom"/>
          </w:tcPr>
          <w:p w14:paraId="2CCB7B02" w14:textId="681C0BB1" w:rsidR="009C7A35" w:rsidRPr="00397677" w:rsidRDefault="009C7A35" w:rsidP="00BA4A65">
            <w:pPr>
              <w:pStyle w:val="BodyText"/>
              <w:spacing w:beforeLines="0" w:before="0" w:afterLines="0" w:after="0"/>
            </w:pPr>
            <w:r w:rsidRPr="00397677">
              <w:t>Country</w:t>
            </w:r>
          </w:p>
        </w:tc>
        <w:tc>
          <w:tcPr>
            <w:tcW w:w="2610" w:type="dxa"/>
            <w:vMerge w:val="restart"/>
            <w:vAlign w:val="bottom"/>
          </w:tcPr>
          <w:p w14:paraId="153AC9F4" w14:textId="7C1BFD00" w:rsidR="009C7A35" w:rsidRPr="00397677" w:rsidRDefault="009C7A35"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Scope of ban</w:t>
            </w:r>
          </w:p>
        </w:tc>
        <w:tc>
          <w:tcPr>
            <w:tcW w:w="1417" w:type="dxa"/>
            <w:vMerge w:val="restart"/>
            <w:vAlign w:val="bottom"/>
          </w:tcPr>
          <w:p w14:paraId="0B626166" w14:textId="22727974" w:rsidR="009C7A35" w:rsidRPr="00397677" w:rsidRDefault="009C7A35"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 xml:space="preserve">Announced </w:t>
            </w:r>
            <w:r>
              <w:t xml:space="preserve">&amp; </w:t>
            </w:r>
            <w:r w:rsidRPr="00397677">
              <w:t>implemented</w:t>
            </w:r>
          </w:p>
        </w:tc>
        <w:tc>
          <w:tcPr>
            <w:tcW w:w="2835" w:type="dxa"/>
            <w:gridSpan w:val="3"/>
            <w:vAlign w:val="bottom"/>
          </w:tcPr>
          <w:p w14:paraId="583F2BAB" w14:textId="1DB429CF" w:rsidR="009C7A35" w:rsidRPr="00397677" w:rsidRDefault="009C7A35"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rsidRPr="00397677">
              <w:t>Associated export volumes</w:t>
            </w:r>
          </w:p>
        </w:tc>
        <w:tc>
          <w:tcPr>
            <w:tcW w:w="1656" w:type="dxa"/>
            <w:vMerge w:val="restart"/>
            <w:vAlign w:val="bottom"/>
          </w:tcPr>
          <w:p w14:paraId="21F75F6F" w14:textId="04058336" w:rsidR="009C7A35" w:rsidRPr="00397677" w:rsidRDefault="00482856" w:rsidP="00BA4A65">
            <w:pPr>
              <w:pStyle w:val="BodyText"/>
              <w:spacing w:beforeLines="0" w:before="0" w:afterLines="0" w:after="0"/>
              <w:cnfStyle w:val="100000000000" w:firstRow="1" w:lastRow="0" w:firstColumn="0" w:lastColumn="0" w:oddVBand="0" w:evenVBand="0" w:oddHBand="0" w:evenHBand="0" w:firstRowFirstColumn="0" w:firstRowLastColumn="0" w:lastRowFirstColumn="0" w:lastRowLastColumn="0"/>
            </w:pPr>
            <w:r>
              <w:t>Impact and u</w:t>
            </w:r>
            <w:r w:rsidR="009C7A35">
              <w:t>ncertainties</w:t>
            </w:r>
          </w:p>
        </w:tc>
      </w:tr>
      <w:tr w:rsidR="006261B0" w14:paraId="7A6749F3" w14:textId="2A14ED1B" w:rsidTr="006261B0">
        <w:tc>
          <w:tcPr>
            <w:cnfStyle w:val="001000000000" w:firstRow="0" w:lastRow="0" w:firstColumn="1" w:lastColumn="0" w:oddVBand="0" w:evenVBand="0" w:oddHBand="0" w:evenHBand="0" w:firstRowFirstColumn="0" w:firstRowLastColumn="0" w:lastRowFirstColumn="0" w:lastRowLastColumn="0"/>
            <w:tcW w:w="935" w:type="dxa"/>
            <w:vMerge/>
            <w:shd w:val="clear" w:color="auto" w:fill="B7B7E2" w:themeFill="accent1" w:themeFillTint="66"/>
          </w:tcPr>
          <w:p w14:paraId="30879AE2" w14:textId="5A22DAF2" w:rsidR="009C7A35" w:rsidRPr="00397677" w:rsidRDefault="009C7A35" w:rsidP="00BA4A65">
            <w:pPr>
              <w:pStyle w:val="BodyText"/>
              <w:spacing w:before="0" w:after="0"/>
              <w:rPr>
                <w:b/>
                <w:color w:val="FFFFFF" w:themeColor="background1"/>
              </w:rPr>
            </w:pPr>
          </w:p>
        </w:tc>
        <w:tc>
          <w:tcPr>
            <w:tcW w:w="2610" w:type="dxa"/>
            <w:vMerge/>
            <w:shd w:val="clear" w:color="auto" w:fill="B7B7E2" w:themeFill="accent1" w:themeFillTint="66"/>
          </w:tcPr>
          <w:p w14:paraId="5D4DA5BE" w14:textId="77777777"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1417" w:type="dxa"/>
            <w:vMerge/>
            <w:shd w:val="clear" w:color="auto" w:fill="B7B7E2" w:themeFill="accent1" w:themeFillTint="66"/>
          </w:tcPr>
          <w:p w14:paraId="06DC5B78" w14:textId="77777777"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993" w:type="dxa"/>
            <w:shd w:val="clear" w:color="auto" w:fill="B7B7E2" w:themeFill="accent1" w:themeFillTint="66"/>
          </w:tcPr>
          <w:p w14:paraId="17F277C7" w14:textId="64E8B63F"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sidRPr="00397677">
              <w:rPr>
                <w:b/>
                <w:color w:val="FFFFFF" w:themeColor="background1"/>
              </w:rPr>
              <w:t>Material</w:t>
            </w:r>
          </w:p>
        </w:tc>
        <w:tc>
          <w:tcPr>
            <w:tcW w:w="992" w:type="dxa"/>
            <w:shd w:val="clear" w:color="auto" w:fill="B7B7E2" w:themeFill="accent1" w:themeFillTint="66"/>
          </w:tcPr>
          <w:p w14:paraId="4BE9C26B" w14:textId="2A4242C4"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sidRPr="00397677">
              <w:rPr>
                <w:b/>
                <w:color w:val="FFFFFF" w:themeColor="background1"/>
              </w:rPr>
              <w:t>2017-18</w:t>
            </w:r>
          </w:p>
        </w:tc>
        <w:tc>
          <w:tcPr>
            <w:tcW w:w="850" w:type="dxa"/>
            <w:shd w:val="clear" w:color="auto" w:fill="B7B7E2" w:themeFill="accent1" w:themeFillTint="66"/>
          </w:tcPr>
          <w:p w14:paraId="4EADBE38" w14:textId="4AA72051" w:rsidR="009C7A35" w:rsidRPr="00397677" w:rsidRDefault="00802BBD"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Dec</w:t>
            </w:r>
            <w:r w:rsidR="001F036C">
              <w:rPr>
                <w:b/>
                <w:color w:val="FFFFFF" w:themeColor="background1"/>
              </w:rPr>
              <w:t xml:space="preserve"> </w:t>
            </w:r>
            <w:r w:rsidR="009C7A35" w:rsidRPr="00397677">
              <w:rPr>
                <w:b/>
                <w:color w:val="FFFFFF" w:themeColor="background1"/>
              </w:rPr>
              <w:t>18</w:t>
            </w:r>
          </w:p>
        </w:tc>
        <w:tc>
          <w:tcPr>
            <w:tcW w:w="1656" w:type="dxa"/>
            <w:vMerge/>
            <w:shd w:val="clear" w:color="auto" w:fill="B7B7E2" w:themeFill="accent1" w:themeFillTint="66"/>
          </w:tcPr>
          <w:p w14:paraId="7FD8FF18" w14:textId="4142FCE8" w:rsidR="009C7A35" w:rsidRPr="00397677" w:rsidRDefault="009C7A35" w:rsidP="00BA4A65">
            <w:pPr>
              <w:pStyle w:val="BodyText"/>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r>
      <w:tr w:rsidR="00E162A4" w14:paraId="5BEB39F8" w14:textId="77777777" w:rsidTr="006261B0">
        <w:tc>
          <w:tcPr>
            <w:cnfStyle w:val="001000000000" w:firstRow="0" w:lastRow="0" w:firstColumn="1" w:lastColumn="0" w:oddVBand="0" w:evenVBand="0" w:oddHBand="0" w:evenHBand="0" w:firstRowFirstColumn="0" w:firstRowLastColumn="0" w:lastRowFirstColumn="0" w:lastRowLastColumn="0"/>
            <w:tcW w:w="935" w:type="dxa"/>
          </w:tcPr>
          <w:p w14:paraId="59632B33" w14:textId="06366410" w:rsidR="009C7A35" w:rsidRDefault="009C7A35" w:rsidP="006261B0">
            <w:pPr>
              <w:pStyle w:val="BodyText"/>
            </w:pPr>
            <w:r>
              <w:t>China</w:t>
            </w:r>
          </w:p>
        </w:tc>
        <w:tc>
          <w:tcPr>
            <w:tcW w:w="2610" w:type="dxa"/>
          </w:tcPr>
          <w:p w14:paraId="7250B053" w14:textId="77777777"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t>R</w:t>
            </w:r>
            <w:r w:rsidRPr="00BA4A65">
              <w:t>estricted the import of certain materials</w:t>
            </w:r>
            <w:r>
              <w:t xml:space="preserve"> covering </w:t>
            </w:r>
            <w:r w:rsidR="00482856">
              <w:t>specific commodity</w:t>
            </w:r>
            <w:r>
              <w:t xml:space="preserve"> codes</w:t>
            </w:r>
            <w:r w:rsidRPr="00BA4A65">
              <w:t>, mainly by specifying a threshold contamination rate of 0.5%</w:t>
            </w:r>
            <w:r>
              <w:rPr>
                <w:vertAlign w:val="superscript"/>
              </w:rPr>
              <w:t>1</w:t>
            </w:r>
            <w:r>
              <w:t>.</w:t>
            </w:r>
            <w:r w:rsidR="008B1DA0">
              <w:t xml:space="preserve"> </w:t>
            </w:r>
          </w:p>
          <w:p w14:paraId="4C7D2E13" w14:textId="6D8428B3" w:rsidR="008B1DA0" w:rsidRPr="009C7A35" w:rsidRDefault="003E405B" w:rsidP="006261B0">
            <w:pPr>
              <w:pStyle w:val="BodyText"/>
              <w:cnfStyle w:val="000000000000" w:firstRow="0" w:lastRow="0" w:firstColumn="0" w:lastColumn="0" w:oddVBand="0" w:evenVBand="0" w:oddHBand="0" w:evenHBand="0" w:firstRowFirstColumn="0" w:firstRowLastColumn="0" w:lastRowFirstColumn="0" w:lastRowLastColumn="0"/>
            </w:pPr>
            <w:r>
              <w:t>A</w:t>
            </w:r>
            <w:r w:rsidR="008B1DA0">
              <w:t xml:space="preserve"> ban </w:t>
            </w:r>
            <w:r>
              <w:t xml:space="preserve">(issued in April 2018) </w:t>
            </w:r>
            <w:r w:rsidR="008B1DA0">
              <w:t xml:space="preserve">on the import of </w:t>
            </w:r>
            <w:r w:rsidR="001F036C">
              <w:t>32</w:t>
            </w:r>
            <w:r w:rsidR="008B1DA0">
              <w:t xml:space="preserve"> varieties of solid waste</w:t>
            </w:r>
            <w:r w:rsidR="001F036C">
              <w:t xml:space="preserve"> codes</w:t>
            </w:r>
            <w:r>
              <w:t xml:space="preserve"> which</w:t>
            </w:r>
            <w:r w:rsidR="008B1DA0">
              <w:t xml:space="preserve"> w</w:t>
            </w:r>
            <w:r w:rsidR="001F036C">
              <w:t>ere previously restricted. 16 of these are banned from 31 December and the other 16 to take effect from 31 December 2019</w:t>
            </w:r>
            <w:r w:rsidR="00137604">
              <w:rPr>
                <w:vertAlign w:val="superscript"/>
              </w:rPr>
              <w:t>2</w:t>
            </w:r>
            <w:r w:rsidR="001F036C">
              <w:t xml:space="preserve">. </w:t>
            </w:r>
          </w:p>
        </w:tc>
        <w:tc>
          <w:tcPr>
            <w:tcW w:w="1417" w:type="dxa"/>
          </w:tcPr>
          <w:p w14:paraId="446AD224" w14:textId="261BE2F3"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t>Ann.: Jul &amp; Nov-17, Apr-18</w:t>
            </w:r>
            <w:r w:rsidR="00482856">
              <w:t>.</w:t>
            </w:r>
          </w:p>
          <w:p w14:paraId="6A7A1F32" w14:textId="77777777"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p>
          <w:p w14:paraId="795D73FA" w14:textId="2AC2D4D0"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t xml:space="preserve">Imp.: Jan &amp; Mar-18, </w:t>
            </w:r>
            <w:r w:rsidR="00137604">
              <w:t>Dec-</w:t>
            </w:r>
            <w:r>
              <w:t>18</w:t>
            </w:r>
            <w:r w:rsidR="00137604">
              <w:t>, Dec-19</w:t>
            </w:r>
          </w:p>
        </w:tc>
        <w:tc>
          <w:tcPr>
            <w:tcW w:w="993" w:type="dxa"/>
          </w:tcPr>
          <w:p w14:paraId="11373F4D" w14:textId="1E37B362"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t>Plastic, paper, metals, other</w:t>
            </w:r>
          </w:p>
        </w:tc>
        <w:tc>
          <w:tcPr>
            <w:tcW w:w="992" w:type="dxa"/>
          </w:tcPr>
          <w:p w14:paraId="34E77050" w14:textId="1127AF9E"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t>745,700 (62,100</w:t>
            </w:r>
            <w:r w:rsidR="00482856">
              <w:t>/mth</w:t>
            </w:r>
            <w:r>
              <w:t>)</w:t>
            </w:r>
          </w:p>
          <w:p w14:paraId="74D55765" w14:textId="77777777"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p>
          <w:p w14:paraId="0F841BA8" w14:textId="66136572"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t>16-17 = 1.26 Mt (105,300</w:t>
            </w:r>
            <w:r w:rsidR="00482856">
              <w:t>/mth</w:t>
            </w:r>
            <w:r>
              <w:t>)</w:t>
            </w:r>
          </w:p>
        </w:tc>
        <w:tc>
          <w:tcPr>
            <w:tcW w:w="850" w:type="dxa"/>
          </w:tcPr>
          <w:p w14:paraId="5A25B5BA" w14:textId="6E8FCB25" w:rsidR="009C7A35" w:rsidRPr="00B224F5" w:rsidRDefault="008F748B" w:rsidP="006261B0">
            <w:pPr>
              <w:pStyle w:val="BodyText"/>
              <w:cnfStyle w:val="000000000000" w:firstRow="0" w:lastRow="0" w:firstColumn="0" w:lastColumn="0" w:oddVBand="0" w:evenVBand="0" w:oddHBand="0" w:evenHBand="0" w:firstRowFirstColumn="0" w:firstRowLastColumn="0" w:lastRowFirstColumn="0" w:lastRowLastColumn="0"/>
            </w:pPr>
            <w:r>
              <w:t>58,500</w:t>
            </w:r>
          </w:p>
        </w:tc>
        <w:tc>
          <w:tcPr>
            <w:tcW w:w="1656" w:type="dxa"/>
          </w:tcPr>
          <w:p w14:paraId="10ACE0BF" w14:textId="77777777" w:rsidR="009C7A35" w:rsidRDefault="006C0A94" w:rsidP="006261B0">
            <w:pPr>
              <w:pStyle w:val="BodyText"/>
              <w:cnfStyle w:val="000000000000" w:firstRow="0" w:lastRow="0" w:firstColumn="0" w:lastColumn="0" w:oddVBand="0" w:evenVBand="0" w:oddHBand="0" w:evenHBand="0" w:firstRowFirstColumn="0" w:firstRowLastColumn="0" w:lastRowFirstColumn="0" w:lastRowLastColumn="0"/>
            </w:pPr>
            <w:r>
              <w:t>I</w:t>
            </w:r>
            <w:r w:rsidR="00482856">
              <w:t>mpact evident. Uncertainty w</w:t>
            </w:r>
            <w:r w:rsidR="00671A53">
              <w:t xml:space="preserve">hether newer announcements </w:t>
            </w:r>
            <w:r w:rsidR="00482856">
              <w:t>override</w:t>
            </w:r>
            <w:r w:rsidR="00671A53">
              <w:t xml:space="preserve"> older ones.</w:t>
            </w:r>
          </w:p>
          <w:p w14:paraId="6BB64AD8" w14:textId="1D71415B" w:rsidR="001F036C" w:rsidRDefault="001F036C" w:rsidP="006261B0">
            <w:pPr>
              <w:pStyle w:val="BodyText"/>
              <w:cnfStyle w:val="000000000000" w:firstRow="0" w:lastRow="0" w:firstColumn="0" w:lastColumn="0" w:oddVBand="0" w:evenVBand="0" w:oddHBand="0" w:evenHBand="0" w:firstRowFirstColumn="0" w:firstRowLastColumn="0" w:lastRowFirstColumn="0" w:lastRowLastColumn="0"/>
            </w:pPr>
            <w:r w:rsidRPr="00441933">
              <w:t>Total tonnes exported in the last six months affected by 2018 banned codes =</w:t>
            </w:r>
            <w:r w:rsidR="00137604" w:rsidRPr="00441933">
              <w:t xml:space="preserve"> </w:t>
            </w:r>
            <w:r w:rsidR="00461BB4" w:rsidRPr="00441933">
              <w:t>42,000</w:t>
            </w:r>
            <w:r w:rsidR="00137604" w:rsidRPr="00441933">
              <w:t xml:space="preserve"> tonnes</w:t>
            </w:r>
            <w:r w:rsidR="00C12FBC" w:rsidRPr="00441933">
              <w:t>.</w:t>
            </w:r>
          </w:p>
          <w:p w14:paraId="2CD0A8DF" w14:textId="5F595D2F" w:rsidR="001F036C" w:rsidRDefault="001F036C" w:rsidP="006261B0">
            <w:pPr>
              <w:pStyle w:val="BodyText"/>
              <w:cnfStyle w:val="000000000000" w:firstRow="0" w:lastRow="0" w:firstColumn="0" w:lastColumn="0" w:oddVBand="0" w:evenVBand="0" w:oddHBand="0" w:evenHBand="0" w:firstRowFirstColumn="0" w:firstRowLastColumn="0" w:lastRowFirstColumn="0" w:lastRowLastColumn="0"/>
            </w:pPr>
            <w:r>
              <w:t xml:space="preserve">Total exported in the last six months </w:t>
            </w:r>
            <w:r w:rsidR="00137604">
              <w:t xml:space="preserve">that would be </w:t>
            </w:r>
            <w:r>
              <w:t>affected</w:t>
            </w:r>
            <w:r w:rsidR="00137604">
              <w:t xml:space="preserve"> by</w:t>
            </w:r>
            <w:r>
              <w:t xml:space="preserve"> 2019 banned codes =</w:t>
            </w:r>
            <w:r w:rsidR="00137604">
              <w:t xml:space="preserve"> 0 tonnes.</w:t>
            </w:r>
          </w:p>
        </w:tc>
      </w:tr>
      <w:tr w:rsidR="00E162A4" w14:paraId="3FDF5B74" w14:textId="77777777" w:rsidTr="006261B0">
        <w:tc>
          <w:tcPr>
            <w:cnfStyle w:val="001000000000" w:firstRow="0" w:lastRow="0" w:firstColumn="1" w:lastColumn="0" w:oddVBand="0" w:evenVBand="0" w:oddHBand="0" w:evenHBand="0" w:firstRowFirstColumn="0" w:firstRowLastColumn="0" w:lastRowFirstColumn="0" w:lastRowLastColumn="0"/>
            <w:tcW w:w="935" w:type="dxa"/>
          </w:tcPr>
          <w:p w14:paraId="72CDD44B" w14:textId="0B02E1A3" w:rsidR="009C7A35" w:rsidRDefault="009C7A35" w:rsidP="006261B0">
            <w:pPr>
              <w:pStyle w:val="BodyText"/>
            </w:pPr>
            <w:r>
              <w:t>Malaysia</w:t>
            </w:r>
          </w:p>
        </w:tc>
        <w:tc>
          <w:tcPr>
            <w:tcW w:w="2610" w:type="dxa"/>
          </w:tcPr>
          <w:p w14:paraId="5D56354F" w14:textId="4CE70A67"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t xml:space="preserve">Import permits revoked from </w:t>
            </w:r>
            <w:r w:rsidRPr="00460A12">
              <w:t xml:space="preserve">114 factories that process </w:t>
            </w:r>
            <w:r>
              <w:t xml:space="preserve">imported </w:t>
            </w:r>
            <w:r w:rsidRPr="00460A12">
              <w:t>plastic waste</w:t>
            </w:r>
            <w:r w:rsidR="00137604">
              <w:rPr>
                <w:vertAlign w:val="superscript"/>
              </w:rPr>
              <w:t>3</w:t>
            </w:r>
            <w:r>
              <w:t xml:space="preserve">. </w:t>
            </w:r>
            <w:r w:rsidR="005D787D">
              <w:t xml:space="preserve">Import of </w:t>
            </w:r>
            <w:r w:rsidR="00360F6D">
              <w:t xml:space="preserve">non-recyclable </w:t>
            </w:r>
            <w:r w:rsidR="005D787D">
              <w:t>plastic waste to be banned</w:t>
            </w:r>
            <w:r w:rsidR="003505D5">
              <w:rPr>
                <w:vertAlign w:val="superscript"/>
              </w:rPr>
              <w:t>4</w:t>
            </w:r>
            <w:r w:rsidR="005D787D">
              <w:t xml:space="preserve">. </w:t>
            </w:r>
          </w:p>
        </w:tc>
        <w:tc>
          <w:tcPr>
            <w:tcW w:w="1417" w:type="dxa"/>
          </w:tcPr>
          <w:p w14:paraId="4F47FF79" w14:textId="592BE9DF"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t>Jul-18</w:t>
            </w:r>
            <w:r w:rsidR="006C0A94">
              <w:t>.</w:t>
            </w:r>
          </w:p>
        </w:tc>
        <w:tc>
          <w:tcPr>
            <w:tcW w:w="993" w:type="dxa"/>
          </w:tcPr>
          <w:p w14:paraId="1820B4C1" w14:textId="78818ED7"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t>Plastic</w:t>
            </w:r>
          </w:p>
        </w:tc>
        <w:tc>
          <w:tcPr>
            <w:tcW w:w="992" w:type="dxa"/>
          </w:tcPr>
          <w:p w14:paraId="1731CCAC" w14:textId="77777777" w:rsidR="008F748B" w:rsidRDefault="009C7A35" w:rsidP="008F748B">
            <w:pPr>
              <w:pStyle w:val="BodyText"/>
              <w:cnfStyle w:val="000000000000" w:firstRow="0" w:lastRow="0" w:firstColumn="0" w:lastColumn="0" w:oddVBand="0" w:evenVBand="0" w:oddHBand="0" w:evenHBand="0" w:firstRowFirstColumn="0" w:firstRowLastColumn="0" w:lastRowFirstColumn="0" w:lastRowLastColumn="0"/>
            </w:pPr>
            <w:r>
              <w:t>71,300 (5,900/</w:t>
            </w:r>
          </w:p>
          <w:p w14:paraId="39C303E4" w14:textId="611C5690" w:rsidR="009C7A35" w:rsidRDefault="009C7A35" w:rsidP="008F748B">
            <w:pPr>
              <w:pStyle w:val="BodyText"/>
              <w:cnfStyle w:val="000000000000" w:firstRow="0" w:lastRow="0" w:firstColumn="0" w:lastColumn="0" w:oddVBand="0" w:evenVBand="0" w:oddHBand="0" w:evenHBand="0" w:firstRowFirstColumn="0" w:firstRowLastColumn="0" w:lastRowFirstColumn="0" w:lastRowLastColumn="0"/>
            </w:pPr>
            <w:r>
              <w:t>mth)</w:t>
            </w:r>
          </w:p>
        </w:tc>
        <w:tc>
          <w:tcPr>
            <w:tcW w:w="850" w:type="dxa"/>
          </w:tcPr>
          <w:p w14:paraId="09790903" w14:textId="1CE4FDBA" w:rsidR="009C7A35" w:rsidRPr="00B224F5" w:rsidRDefault="008F748B" w:rsidP="006261B0">
            <w:pPr>
              <w:pStyle w:val="BodyText"/>
              <w:cnfStyle w:val="000000000000" w:firstRow="0" w:lastRow="0" w:firstColumn="0" w:lastColumn="0" w:oddVBand="0" w:evenVBand="0" w:oddHBand="0" w:evenHBand="0" w:firstRowFirstColumn="0" w:firstRowLastColumn="0" w:lastRowFirstColumn="0" w:lastRowLastColumn="0"/>
            </w:pPr>
            <w:r>
              <w:t>2,900</w:t>
            </w:r>
          </w:p>
        </w:tc>
        <w:tc>
          <w:tcPr>
            <w:tcW w:w="1656" w:type="dxa"/>
          </w:tcPr>
          <w:p w14:paraId="6870865C" w14:textId="4EAC5C31" w:rsidR="009C7A35" w:rsidRDefault="00482856" w:rsidP="006261B0">
            <w:pPr>
              <w:pStyle w:val="BodyText"/>
              <w:cnfStyle w:val="000000000000" w:firstRow="0" w:lastRow="0" w:firstColumn="0" w:lastColumn="0" w:oddVBand="0" w:evenVBand="0" w:oddHBand="0" w:evenHBand="0" w:firstRowFirstColumn="0" w:firstRowLastColumn="0" w:lastRowFirstColumn="0" w:lastRowLastColumn="0"/>
            </w:pPr>
            <w:r>
              <w:t>No impact apparent</w:t>
            </w:r>
          </w:p>
        </w:tc>
      </w:tr>
      <w:tr w:rsidR="00E162A4" w14:paraId="721D32D7" w14:textId="77777777" w:rsidTr="006261B0">
        <w:tc>
          <w:tcPr>
            <w:cnfStyle w:val="001000000000" w:firstRow="0" w:lastRow="0" w:firstColumn="1" w:lastColumn="0" w:oddVBand="0" w:evenVBand="0" w:oddHBand="0" w:evenHBand="0" w:firstRowFirstColumn="0" w:firstRowLastColumn="0" w:lastRowFirstColumn="0" w:lastRowLastColumn="0"/>
            <w:tcW w:w="935" w:type="dxa"/>
          </w:tcPr>
          <w:p w14:paraId="2513CC2B" w14:textId="7C7125F4" w:rsidR="009C7A35" w:rsidRDefault="009C7A35" w:rsidP="006261B0">
            <w:pPr>
              <w:pStyle w:val="BodyText"/>
            </w:pPr>
            <w:r>
              <w:t>Thailand</w:t>
            </w:r>
          </w:p>
        </w:tc>
        <w:tc>
          <w:tcPr>
            <w:tcW w:w="2610" w:type="dxa"/>
          </w:tcPr>
          <w:p w14:paraId="038C43A6" w14:textId="1CB3ADEE"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t>R</w:t>
            </w:r>
            <w:r w:rsidRPr="00750BDD">
              <w:t>evoked a broad plastic scrap import allowance</w:t>
            </w:r>
            <w:r>
              <w:t xml:space="preserve">, meaning plastic waste and </w:t>
            </w:r>
            <w:r>
              <w:lastRenderedPageBreak/>
              <w:t>scrap is banned from import</w:t>
            </w:r>
            <w:r w:rsidR="00B20ADC">
              <w:t xml:space="preserve"> by 2021</w:t>
            </w:r>
            <w:r w:rsidR="003505D5">
              <w:rPr>
                <w:vertAlign w:val="superscript"/>
              </w:rPr>
              <w:t>5,6,7</w:t>
            </w:r>
            <w:r>
              <w:t xml:space="preserve">. </w:t>
            </w:r>
            <w:r w:rsidR="00671A53">
              <w:t>Looking to</w:t>
            </w:r>
            <w:r>
              <w:t xml:space="preserve"> ban imports of e</w:t>
            </w:r>
            <w:r w:rsidR="00671A53">
              <w:noBreakHyphen/>
            </w:r>
            <w:r>
              <w:t>waste within 2 years</w:t>
            </w:r>
            <w:r w:rsidR="003505D5">
              <w:rPr>
                <w:vertAlign w:val="superscript"/>
              </w:rPr>
              <w:t>5</w:t>
            </w:r>
            <w:r>
              <w:t>.</w:t>
            </w:r>
          </w:p>
        </w:tc>
        <w:tc>
          <w:tcPr>
            <w:tcW w:w="1417" w:type="dxa"/>
          </w:tcPr>
          <w:p w14:paraId="370BE95C" w14:textId="503B9650" w:rsidR="009C7A35" w:rsidRDefault="00482856" w:rsidP="006261B0">
            <w:pPr>
              <w:pStyle w:val="BodyText"/>
              <w:cnfStyle w:val="000000000000" w:firstRow="0" w:lastRow="0" w:firstColumn="0" w:lastColumn="0" w:oddVBand="0" w:evenVBand="0" w:oddHBand="0" w:evenHBand="0" w:firstRowFirstColumn="0" w:firstRowLastColumn="0" w:lastRowFirstColumn="0" w:lastRowLastColumn="0"/>
            </w:pPr>
            <w:r>
              <w:lastRenderedPageBreak/>
              <w:t>Both</w:t>
            </w:r>
            <w:r w:rsidR="009C7A35">
              <w:t xml:space="preserve"> </w:t>
            </w:r>
            <w:r>
              <w:t xml:space="preserve">ann. </w:t>
            </w:r>
            <w:r w:rsidR="009C7A35">
              <w:t>Aug-18,</w:t>
            </w:r>
            <w:r>
              <w:t xml:space="preserve"> plastic imp. Aug-18,</w:t>
            </w:r>
            <w:r w:rsidR="009C7A35">
              <w:t xml:space="preserve"> </w:t>
            </w:r>
            <w:r w:rsidR="009C7A35">
              <w:lastRenderedPageBreak/>
              <w:t>e-waste within 2 years.</w:t>
            </w:r>
          </w:p>
        </w:tc>
        <w:tc>
          <w:tcPr>
            <w:tcW w:w="993" w:type="dxa"/>
          </w:tcPr>
          <w:p w14:paraId="5F042EC9" w14:textId="2FAF1378"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lastRenderedPageBreak/>
              <w:t>Plastic</w:t>
            </w:r>
          </w:p>
        </w:tc>
        <w:tc>
          <w:tcPr>
            <w:tcW w:w="992" w:type="dxa"/>
          </w:tcPr>
          <w:p w14:paraId="77E32C03" w14:textId="77777777" w:rsidR="008F748B" w:rsidRDefault="009C7A35" w:rsidP="006261B0">
            <w:pPr>
              <w:pStyle w:val="BodyText"/>
              <w:cnfStyle w:val="000000000000" w:firstRow="0" w:lastRow="0" w:firstColumn="0" w:lastColumn="0" w:oddVBand="0" w:evenVBand="0" w:oddHBand="0" w:evenHBand="0" w:firstRowFirstColumn="0" w:firstRowLastColumn="0" w:lastRowFirstColumn="0" w:lastRowLastColumn="0"/>
            </w:pPr>
            <w:r w:rsidRPr="00750BDD">
              <w:t>26,900</w:t>
            </w:r>
            <w:r>
              <w:t xml:space="preserve"> (</w:t>
            </w:r>
            <w:r w:rsidRPr="00750BDD">
              <w:t>2,200</w:t>
            </w:r>
            <w:r>
              <w:t>/</w:t>
            </w:r>
          </w:p>
          <w:p w14:paraId="3E83AFFC" w14:textId="53657FC3" w:rsidR="009C7A35" w:rsidRDefault="009C7A35" w:rsidP="006261B0">
            <w:pPr>
              <w:pStyle w:val="BodyText"/>
              <w:cnfStyle w:val="000000000000" w:firstRow="0" w:lastRow="0" w:firstColumn="0" w:lastColumn="0" w:oddVBand="0" w:evenVBand="0" w:oddHBand="0" w:evenHBand="0" w:firstRowFirstColumn="0" w:firstRowLastColumn="0" w:lastRowFirstColumn="0" w:lastRowLastColumn="0"/>
            </w:pPr>
            <w:r>
              <w:t>mth)</w:t>
            </w:r>
          </w:p>
        </w:tc>
        <w:tc>
          <w:tcPr>
            <w:tcW w:w="850" w:type="dxa"/>
          </w:tcPr>
          <w:p w14:paraId="5D031DA7" w14:textId="3424489F" w:rsidR="009C7A35" w:rsidRPr="00B224F5" w:rsidRDefault="008F748B" w:rsidP="006261B0">
            <w:pPr>
              <w:pStyle w:val="BodyText"/>
              <w:cnfStyle w:val="000000000000" w:firstRow="0" w:lastRow="0" w:firstColumn="0" w:lastColumn="0" w:oddVBand="0" w:evenVBand="0" w:oddHBand="0" w:evenHBand="0" w:firstRowFirstColumn="0" w:firstRowLastColumn="0" w:lastRowFirstColumn="0" w:lastRowLastColumn="0"/>
            </w:pPr>
            <w:r>
              <w:t>1,700</w:t>
            </w:r>
          </w:p>
        </w:tc>
        <w:tc>
          <w:tcPr>
            <w:tcW w:w="1656" w:type="dxa"/>
          </w:tcPr>
          <w:p w14:paraId="102838F1" w14:textId="0054D2AD" w:rsidR="009C7A35" w:rsidRDefault="00482856" w:rsidP="006261B0">
            <w:pPr>
              <w:pStyle w:val="BodyText"/>
              <w:cnfStyle w:val="000000000000" w:firstRow="0" w:lastRow="0" w:firstColumn="0" w:lastColumn="0" w:oddVBand="0" w:evenVBand="0" w:oddHBand="0" w:evenHBand="0" w:firstRowFirstColumn="0" w:firstRowLastColumn="0" w:lastRowFirstColumn="0" w:lastRowLastColumn="0"/>
            </w:pPr>
            <w:r>
              <w:t xml:space="preserve">Apparent impact evident. Government </w:t>
            </w:r>
            <w:r>
              <w:lastRenderedPageBreak/>
              <w:t>announcement available in Thai only.</w:t>
            </w:r>
          </w:p>
        </w:tc>
      </w:tr>
      <w:tr w:rsidR="00E162A4" w14:paraId="064043B9" w14:textId="77777777" w:rsidTr="006261B0">
        <w:tc>
          <w:tcPr>
            <w:cnfStyle w:val="001000000000" w:firstRow="0" w:lastRow="0" w:firstColumn="1" w:lastColumn="0" w:oddVBand="0" w:evenVBand="0" w:oddHBand="0" w:evenHBand="0" w:firstRowFirstColumn="0" w:firstRowLastColumn="0" w:lastRowFirstColumn="0" w:lastRowLastColumn="0"/>
            <w:tcW w:w="935" w:type="dxa"/>
            <w:shd w:val="clear" w:color="auto" w:fill="auto"/>
          </w:tcPr>
          <w:p w14:paraId="619628D7" w14:textId="7D248F70" w:rsidR="009C7A35" w:rsidRPr="00B224F5" w:rsidRDefault="009C7A35" w:rsidP="006261B0">
            <w:pPr>
              <w:pStyle w:val="BodyText"/>
            </w:pPr>
            <w:r w:rsidRPr="00B224F5">
              <w:lastRenderedPageBreak/>
              <w:t>Vietnam</w:t>
            </w:r>
          </w:p>
        </w:tc>
        <w:tc>
          <w:tcPr>
            <w:tcW w:w="2610" w:type="dxa"/>
            <w:shd w:val="clear" w:color="auto" w:fill="auto"/>
          </w:tcPr>
          <w:p w14:paraId="662C08F9" w14:textId="58CC7D82" w:rsidR="00736DE2" w:rsidRPr="003827FC" w:rsidRDefault="009C7A35" w:rsidP="006261B0">
            <w:pPr>
              <w:pStyle w:val="BodyText"/>
              <w:cnfStyle w:val="000000000000" w:firstRow="0" w:lastRow="0" w:firstColumn="0" w:lastColumn="0" w:oddVBand="0" w:evenVBand="0" w:oddHBand="0" w:evenHBand="0" w:firstRowFirstColumn="0" w:firstRowLastColumn="0" w:lastRowFirstColumn="0" w:lastRowLastColumn="0"/>
            </w:pPr>
            <w:r w:rsidRPr="00B224F5">
              <w:t>Tighter controls over imports of plastic, paper and metals. Only accepted if importers can prove that their shipment meets the specified environmental standards and there is capacity in the country to process the materials</w:t>
            </w:r>
            <w:r w:rsidR="003505D5">
              <w:rPr>
                <w:vertAlign w:val="superscript"/>
              </w:rPr>
              <w:t>8</w:t>
            </w:r>
            <w:r w:rsidRPr="00B224F5">
              <w:t>.</w:t>
            </w:r>
            <w:r w:rsidR="003354D5" w:rsidRPr="00B224F5">
              <w:t xml:space="preserve"> </w:t>
            </w:r>
            <w:r w:rsidR="00C70F65">
              <w:t xml:space="preserve">No new </w:t>
            </w:r>
            <w:r w:rsidR="003827FC">
              <w:t>licences issued for waste imports</w:t>
            </w:r>
            <w:r w:rsidR="003505D5">
              <w:rPr>
                <w:vertAlign w:val="superscript"/>
              </w:rPr>
              <w:t>9</w:t>
            </w:r>
            <w:r w:rsidR="003827FC">
              <w:t>.</w:t>
            </w:r>
            <w:r w:rsidR="00014326">
              <w:t xml:space="preserve"> </w:t>
            </w:r>
          </w:p>
          <w:p w14:paraId="32278933" w14:textId="37F7BE37" w:rsidR="009C7A35" w:rsidRDefault="00716B02" w:rsidP="006261B0">
            <w:pPr>
              <w:pStyle w:val="BodyText"/>
              <w:cnfStyle w:val="000000000000" w:firstRow="0" w:lastRow="0" w:firstColumn="0" w:lastColumn="0" w:oddVBand="0" w:evenVBand="0" w:oddHBand="0" w:evenHBand="0" w:firstRowFirstColumn="0" w:firstRowLastColumn="0" w:lastRowFirstColumn="0" w:lastRowLastColumn="0"/>
            </w:pPr>
            <w:r w:rsidRPr="00B224F5">
              <w:t xml:space="preserve">Under the new national standard QCVN 32: 2019/BTNMT, </w:t>
            </w:r>
            <w:r w:rsidR="006261B0">
              <w:t xml:space="preserve">import of </w:t>
            </w:r>
            <w:r w:rsidRPr="00B224F5">
              <w:t>e-waste</w:t>
            </w:r>
            <w:r w:rsidR="0033301F" w:rsidRPr="00B224F5">
              <w:t xml:space="preserve"> plastics</w:t>
            </w:r>
            <w:r w:rsidRPr="00B224F5">
              <w:t xml:space="preserve"> such as cases of TVs, computers, office equipment would be </w:t>
            </w:r>
            <w:r w:rsidR="006261B0">
              <w:t>forbidden</w:t>
            </w:r>
            <w:r w:rsidR="003505D5">
              <w:rPr>
                <w:vertAlign w:val="superscript"/>
              </w:rPr>
              <w:t>10</w:t>
            </w:r>
            <w:r w:rsidRPr="00B224F5">
              <w:t>.</w:t>
            </w:r>
          </w:p>
          <w:p w14:paraId="58A9A362" w14:textId="2EE72901" w:rsidR="00014326" w:rsidRPr="00DD7C65" w:rsidRDefault="00727060" w:rsidP="006261B0">
            <w:pPr>
              <w:pStyle w:val="BodyText"/>
              <w:cnfStyle w:val="000000000000" w:firstRow="0" w:lastRow="0" w:firstColumn="0" w:lastColumn="0" w:oddVBand="0" w:evenVBand="0" w:oddHBand="0" w:evenHBand="0" w:firstRowFirstColumn="0" w:firstRowLastColumn="0" w:lastRowFirstColumn="0" w:lastRowLastColumn="0"/>
            </w:pPr>
            <w:r>
              <w:t>From 22 February 2019, all imports through road and railway border gates to be banned</w:t>
            </w:r>
            <w:r w:rsidDel="008F748B">
              <w:rPr>
                <w:vertAlign w:val="superscript"/>
              </w:rPr>
              <w:t xml:space="preserve"> </w:t>
            </w:r>
            <w:r w:rsidR="008F748B">
              <w:rPr>
                <w:vertAlign w:val="superscript"/>
              </w:rPr>
              <w:t>1</w:t>
            </w:r>
            <w:r w:rsidR="003505D5">
              <w:rPr>
                <w:vertAlign w:val="superscript"/>
              </w:rPr>
              <w:t>1</w:t>
            </w:r>
            <w:r w:rsidR="00DD7C65">
              <w:t>.</w:t>
            </w:r>
          </w:p>
        </w:tc>
        <w:tc>
          <w:tcPr>
            <w:tcW w:w="1417" w:type="dxa"/>
            <w:shd w:val="clear" w:color="auto" w:fill="auto"/>
          </w:tcPr>
          <w:p w14:paraId="7EEDDA4A" w14:textId="05011B2D" w:rsidR="009C7A35" w:rsidRPr="00B224F5" w:rsidRDefault="00671A53" w:rsidP="006261B0">
            <w:pPr>
              <w:pStyle w:val="BodyText"/>
              <w:cnfStyle w:val="000000000000" w:firstRow="0" w:lastRow="0" w:firstColumn="0" w:lastColumn="0" w:oddVBand="0" w:evenVBand="0" w:oddHBand="0" w:evenHBand="0" w:firstRowFirstColumn="0" w:firstRowLastColumn="0" w:lastRowFirstColumn="0" w:lastRowLastColumn="0"/>
            </w:pPr>
            <w:r w:rsidRPr="00B224F5">
              <w:t>An</w:t>
            </w:r>
            <w:r w:rsidR="00482856" w:rsidRPr="00B224F5">
              <w:t>n.</w:t>
            </w:r>
            <w:r w:rsidR="009C7A35" w:rsidRPr="00B224F5">
              <w:t xml:space="preserve"> in Aug-18</w:t>
            </w:r>
            <w:r w:rsidRPr="00B224F5">
              <w:t>, appears to be implemented</w:t>
            </w:r>
            <w:r w:rsidR="00482856" w:rsidRPr="00B224F5">
              <w:t>.</w:t>
            </w:r>
          </w:p>
        </w:tc>
        <w:tc>
          <w:tcPr>
            <w:tcW w:w="993" w:type="dxa"/>
            <w:shd w:val="clear" w:color="auto" w:fill="auto"/>
          </w:tcPr>
          <w:p w14:paraId="05DC341C" w14:textId="2493FDCE" w:rsidR="009C7A35" w:rsidRPr="00B224F5" w:rsidRDefault="009C7A35" w:rsidP="006261B0">
            <w:pPr>
              <w:pStyle w:val="BodyText"/>
              <w:cnfStyle w:val="000000000000" w:firstRow="0" w:lastRow="0" w:firstColumn="0" w:lastColumn="0" w:oddVBand="0" w:evenVBand="0" w:oddHBand="0" w:evenHBand="0" w:firstRowFirstColumn="0" w:firstRowLastColumn="0" w:lastRowFirstColumn="0" w:lastRowLastColumn="0"/>
            </w:pPr>
            <w:r w:rsidRPr="00B224F5">
              <w:t>Plastic, paper, metals</w:t>
            </w:r>
          </w:p>
        </w:tc>
        <w:tc>
          <w:tcPr>
            <w:tcW w:w="992" w:type="dxa"/>
            <w:shd w:val="clear" w:color="auto" w:fill="auto"/>
          </w:tcPr>
          <w:p w14:paraId="6BC7C6F3" w14:textId="662DE346" w:rsidR="009C7A35" w:rsidRPr="00B224F5" w:rsidRDefault="009C7A35" w:rsidP="006261B0">
            <w:pPr>
              <w:pStyle w:val="BodyText"/>
              <w:cnfStyle w:val="000000000000" w:firstRow="0" w:lastRow="0" w:firstColumn="0" w:lastColumn="0" w:oddVBand="0" w:evenVBand="0" w:oddHBand="0" w:evenHBand="0" w:firstRowFirstColumn="0" w:firstRowLastColumn="0" w:lastRowFirstColumn="0" w:lastRowLastColumn="0"/>
            </w:pPr>
            <w:r w:rsidRPr="00B224F5">
              <w:t>603,000 (50,300/mth)</w:t>
            </w:r>
          </w:p>
        </w:tc>
        <w:tc>
          <w:tcPr>
            <w:tcW w:w="850" w:type="dxa"/>
            <w:shd w:val="clear" w:color="auto" w:fill="auto"/>
          </w:tcPr>
          <w:p w14:paraId="6A283BA1" w14:textId="751CDA56" w:rsidR="009C7A35" w:rsidRPr="00B224F5" w:rsidRDefault="008F748B" w:rsidP="006261B0">
            <w:pPr>
              <w:pStyle w:val="BodyText"/>
              <w:cnfStyle w:val="000000000000" w:firstRow="0" w:lastRow="0" w:firstColumn="0" w:lastColumn="0" w:oddVBand="0" w:evenVBand="0" w:oddHBand="0" w:evenHBand="0" w:firstRowFirstColumn="0" w:firstRowLastColumn="0" w:lastRowFirstColumn="0" w:lastRowLastColumn="0"/>
            </w:pPr>
            <w:r>
              <w:t>88,700</w:t>
            </w:r>
          </w:p>
        </w:tc>
        <w:tc>
          <w:tcPr>
            <w:tcW w:w="1656" w:type="dxa"/>
            <w:shd w:val="clear" w:color="auto" w:fill="auto"/>
          </w:tcPr>
          <w:p w14:paraId="0BBA544A" w14:textId="6072DE58" w:rsidR="009C7A35" w:rsidRDefault="00482856" w:rsidP="006261B0">
            <w:pPr>
              <w:pStyle w:val="BodyText"/>
              <w:cnfStyle w:val="000000000000" w:firstRow="0" w:lastRow="0" w:firstColumn="0" w:lastColumn="0" w:oddVBand="0" w:evenVBand="0" w:oddHBand="0" w:evenHBand="0" w:firstRowFirstColumn="0" w:firstRowLastColumn="0" w:lastRowFirstColumn="0" w:lastRowLastColumn="0"/>
            </w:pPr>
            <w:r w:rsidRPr="00B224F5">
              <w:t xml:space="preserve">No impact apparent. </w:t>
            </w:r>
            <w:r w:rsidR="006261B0">
              <w:t>E</w:t>
            </w:r>
            <w:r w:rsidRPr="00B224F5">
              <w:t>nvironmental standards used to determine when shipments are acceptable</w:t>
            </w:r>
            <w:r w:rsidR="00081A6E" w:rsidRPr="00B224F5">
              <w:t xml:space="preserve"> or when the ban on e-waste plastic imports would take effect</w:t>
            </w:r>
            <w:r w:rsidR="006261B0">
              <w:t xml:space="preserve"> unavailable in English</w:t>
            </w:r>
            <w:r w:rsidR="00081A6E" w:rsidRPr="00B224F5">
              <w:t>.</w:t>
            </w:r>
          </w:p>
        </w:tc>
      </w:tr>
    </w:tbl>
    <w:p w14:paraId="477223F7" w14:textId="77777777" w:rsidR="006C0A94" w:rsidRDefault="006C0A94" w:rsidP="006C0A94">
      <w:pPr>
        <w:pStyle w:val="Notes"/>
        <w:ind w:left="0" w:firstLine="0"/>
        <w:rPr>
          <w:i w:val="0"/>
          <w:sz w:val="18"/>
        </w:rPr>
      </w:pPr>
    </w:p>
    <w:p w14:paraId="0D282ECD" w14:textId="655E01F2" w:rsidR="00750BDD" w:rsidRPr="006C0A94" w:rsidRDefault="006C0A94" w:rsidP="006C0A94">
      <w:pPr>
        <w:pStyle w:val="Notes"/>
        <w:ind w:left="0" w:firstLine="0"/>
        <w:rPr>
          <w:i w:val="0"/>
          <w:sz w:val="18"/>
        </w:rPr>
      </w:pPr>
      <w:r w:rsidRPr="006C0A94">
        <w:rPr>
          <w:i w:val="0"/>
          <w:sz w:val="18"/>
        </w:rPr>
        <w:t>Source</w:t>
      </w:r>
      <w:r w:rsidR="007F25E4">
        <w:rPr>
          <w:i w:val="0"/>
          <w:sz w:val="18"/>
        </w:rPr>
        <w:t>s</w:t>
      </w:r>
      <w:r w:rsidRPr="006C0A94">
        <w:rPr>
          <w:i w:val="0"/>
          <w:sz w:val="18"/>
        </w:rPr>
        <w:t>:</w:t>
      </w:r>
    </w:p>
    <w:p w14:paraId="042777DB" w14:textId="2B6D9CE5" w:rsidR="00A9344A" w:rsidRPr="00191D6A" w:rsidRDefault="009C7A35" w:rsidP="009C7A35">
      <w:pPr>
        <w:pStyle w:val="Notes"/>
        <w:ind w:left="0" w:firstLine="0"/>
        <w:rPr>
          <w:sz w:val="18"/>
        </w:rPr>
      </w:pPr>
      <w:r w:rsidRPr="00191D6A">
        <w:rPr>
          <w:i w:val="0"/>
          <w:iCs w:val="0"/>
          <w:sz w:val="18"/>
        </w:rPr>
        <w:t>1.</w:t>
      </w:r>
      <w:r w:rsidRPr="00191D6A">
        <w:rPr>
          <w:i w:val="0"/>
          <w:sz w:val="18"/>
        </w:rPr>
        <w:t xml:space="preserve"> Blue Environment</w:t>
      </w:r>
      <w:r w:rsidR="00671A53" w:rsidRPr="00191D6A">
        <w:rPr>
          <w:i w:val="0"/>
          <w:sz w:val="18"/>
        </w:rPr>
        <w:t xml:space="preserve"> (2018)</w:t>
      </w:r>
      <w:r w:rsidRPr="00191D6A">
        <w:rPr>
          <w:sz w:val="18"/>
        </w:rPr>
        <w:t xml:space="preserve"> Data on exports of recyclables from Australia to China</w:t>
      </w:r>
      <w:r w:rsidRPr="00191D6A">
        <w:rPr>
          <w:i w:val="0"/>
          <w:sz w:val="18"/>
        </w:rPr>
        <w:t xml:space="preserve">, available from </w:t>
      </w:r>
      <w:hyperlink r:id="rId15" w:history="1">
        <w:r w:rsidRPr="00191D6A">
          <w:rPr>
            <w:rStyle w:val="Hyperlink"/>
            <w:sz w:val="18"/>
          </w:rPr>
          <w:t>https://blueenvironment.com.au/wp-content/uploads/2018/05/Exports-of-recyclables-from-Aust-to-China-v2.pdf</w:t>
        </w:r>
      </w:hyperlink>
      <w:r w:rsidRPr="00191D6A">
        <w:rPr>
          <w:sz w:val="18"/>
        </w:rPr>
        <w:t xml:space="preserve"> </w:t>
      </w:r>
    </w:p>
    <w:p w14:paraId="3EED13EF" w14:textId="73570888" w:rsidR="00137604" w:rsidRPr="003827FC" w:rsidRDefault="00E162A4" w:rsidP="009C7A35">
      <w:pPr>
        <w:pStyle w:val="Notes"/>
        <w:ind w:left="0" w:firstLine="0"/>
        <w:rPr>
          <w:iCs w:val="0"/>
          <w:color w:val="4D4DB8" w:themeColor="accent1"/>
          <w:sz w:val="18"/>
        </w:rPr>
      </w:pPr>
      <w:r w:rsidRPr="003827FC">
        <w:rPr>
          <w:i w:val="0"/>
          <w:iCs w:val="0"/>
          <w:color w:val="4D4DB8" w:themeColor="accent1"/>
          <w:sz w:val="18"/>
        </w:rPr>
        <w:t xml:space="preserve">2. Ministry of Commerce, State Development &amp; Reform Commission (incl. former State Development Planning Commission), General Administration of Customs (2018) </w:t>
      </w:r>
      <w:r w:rsidRPr="003827FC">
        <w:rPr>
          <w:iCs w:val="0"/>
          <w:color w:val="4D4DB8" w:themeColor="accent1"/>
          <w:sz w:val="18"/>
        </w:rPr>
        <w:t>Announcement No. 6 [2018] of the Ministry of Ecology and Environment, the Ministry of Commerce, the National Development and Reform Commission and the General Administration of Customs</w:t>
      </w:r>
    </w:p>
    <w:p w14:paraId="06001EB4" w14:textId="2CF1F034" w:rsidR="009C7A35" w:rsidRDefault="00E162A4" w:rsidP="009C7A35">
      <w:pPr>
        <w:pStyle w:val="Notes"/>
        <w:ind w:left="0" w:firstLine="0"/>
        <w:rPr>
          <w:sz w:val="18"/>
        </w:rPr>
      </w:pPr>
      <w:r>
        <w:rPr>
          <w:i w:val="0"/>
          <w:iCs w:val="0"/>
          <w:sz w:val="18"/>
        </w:rPr>
        <w:t>3</w:t>
      </w:r>
      <w:r w:rsidR="00671A53" w:rsidRPr="00191D6A">
        <w:rPr>
          <w:i w:val="0"/>
          <w:iCs w:val="0"/>
          <w:sz w:val="18"/>
        </w:rPr>
        <w:t>. FMT News (2018)</w:t>
      </w:r>
      <w:r w:rsidR="00671A53" w:rsidRPr="00191D6A">
        <w:rPr>
          <w:sz w:val="18"/>
        </w:rPr>
        <w:t xml:space="preserve"> </w:t>
      </w:r>
      <w:r w:rsidR="00671A53" w:rsidRPr="00191D6A">
        <w:rPr>
          <w:iCs w:val="0"/>
          <w:sz w:val="18"/>
        </w:rPr>
        <w:t>Permits to import plastic waste for 114 factories revoked</w:t>
      </w:r>
      <w:r w:rsidR="00671A53" w:rsidRPr="00191D6A">
        <w:rPr>
          <w:i w:val="0"/>
          <w:iCs w:val="0"/>
          <w:sz w:val="18"/>
        </w:rPr>
        <w:t>, available from:</w:t>
      </w:r>
      <w:r w:rsidR="00671A53" w:rsidRPr="00191D6A">
        <w:rPr>
          <w:iCs w:val="0"/>
          <w:sz w:val="18"/>
        </w:rPr>
        <w:t xml:space="preserve"> </w:t>
      </w:r>
      <w:hyperlink r:id="rId16" w:history="1">
        <w:r w:rsidR="009C7A35" w:rsidRPr="00191D6A">
          <w:rPr>
            <w:rStyle w:val="Hyperlink"/>
            <w:sz w:val="18"/>
          </w:rPr>
          <w:t>https://www.freemalaysiatoday.com/category/nation/2018/07/24/permits-to-import-plastic-waste-for-114-factories-revoked/</w:t>
        </w:r>
      </w:hyperlink>
      <w:r w:rsidR="009C7A35" w:rsidRPr="00191D6A">
        <w:rPr>
          <w:sz w:val="18"/>
        </w:rPr>
        <w:t xml:space="preserve"> </w:t>
      </w:r>
    </w:p>
    <w:p w14:paraId="5898BA21" w14:textId="6BF828EC" w:rsidR="003505D5" w:rsidRPr="002D5CF7" w:rsidRDefault="003505D5" w:rsidP="009C7A35">
      <w:pPr>
        <w:pStyle w:val="Notes"/>
        <w:ind w:left="0" w:firstLine="0"/>
        <w:rPr>
          <w:i w:val="0"/>
          <w:sz w:val="18"/>
        </w:rPr>
      </w:pPr>
      <w:r w:rsidRPr="002D5CF7">
        <w:rPr>
          <w:i w:val="0"/>
          <w:sz w:val="18"/>
        </w:rPr>
        <w:t xml:space="preserve">4. The Star Online (2018), </w:t>
      </w:r>
      <w:r w:rsidRPr="002D5CF7">
        <w:rPr>
          <w:sz w:val="18"/>
        </w:rPr>
        <w:t>Govt to ban import of all non-recyclable waste</w:t>
      </w:r>
      <w:r w:rsidR="002D5CF7" w:rsidRPr="002D5CF7">
        <w:rPr>
          <w:i w:val="0"/>
          <w:sz w:val="18"/>
        </w:rPr>
        <w:t xml:space="preserve">, available from: </w:t>
      </w:r>
    </w:p>
    <w:p w14:paraId="2A46C39F" w14:textId="535AB442" w:rsidR="002D5CF7" w:rsidRPr="002D5CF7" w:rsidRDefault="002D5CF7" w:rsidP="009C7A35">
      <w:pPr>
        <w:pStyle w:val="Notes"/>
        <w:ind w:left="0" w:firstLine="0"/>
        <w:rPr>
          <w:i w:val="0"/>
          <w:sz w:val="18"/>
        </w:rPr>
      </w:pPr>
      <w:r w:rsidRPr="002D5CF7">
        <w:rPr>
          <w:i w:val="0"/>
          <w:sz w:val="18"/>
        </w:rPr>
        <w:t>https://www.thestar.com.my/news/nation/2018/10/17/govt-to-ban-import-of-all-nonrecyclable-waste/</w:t>
      </w:r>
    </w:p>
    <w:p w14:paraId="75246BC4" w14:textId="6EF10050" w:rsidR="009C7A35" w:rsidRPr="00191D6A" w:rsidRDefault="002D5CF7" w:rsidP="009C7A35">
      <w:pPr>
        <w:pStyle w:val="Notes"/>
        <w:ind w:left="0" w:firstLine="0"/>
        <w:rPr>
          <w:sz w:val="18"/>
        </w:rPr>
      </w:pPr>
      <w:r>
        <w:rPr>
          <w:i w:val="0"/>
          <w:sz w:val="18"/>
        </w:rPr>
        <w:t>5</w:t>
      </w:r>
      <w:r w:rsidR="009C7A35" w:rsidRPr="00191D6A">
        <w:rPr>
          <w:i w:val="0"/>
          <w:sz w:val="18"/>
        </w:rPr>
        <w:t xml:space="preserve">. </w:t>
      </w:r>
      <w:r w:rsidR="00671A53" w:rsidRPr="00191D6A">
        <w:rPr>
          <w:i w:val="0"/>
          <w:sz w:val="18"/>
        </w:rPr>
        <w:t xml:space="preserve">The Nation (2018) </w:t>
      </w:r>
      <w:r w:rsidR="00671A53" w:rsidRPr="00191D6A">
        <w:rPr>
          <w:sz w:val="18"/>
        </w:rPr>
        <w:t>Import of plastic waste banned</w:t>
      </w:r>
      <w:r w:rsidR="00671A53" w:rsidRPr="00191D6A">
        <w:rPr>
          <w:i w:val="0"/>
          <w:sz w:val="18"/>
        </w:rPr>
        <w:t xml:space="preserve">, available from: </w:t>
      </w:r>
      <w:hyperlink r:id="rId17" w:history="1">
        <w:r w:rsidR="00671A53" w:rsidRPr="00191D6A">
          <w:rPr>
            <w:rStyle w:val="Hyperlink"/>
            <w:sz w:val="18"/>
          </w:rPr>
          <w:t>http://www.nationmultimedia.com/detail/national/30351792</w:t>
        </w:r>
      </w:hyperlink>
    </w:p>
    <w:p w14:paraId="705E7119" w14:textId="2EA5ECA2" w:rsidR="009C7A35" w:rsidRDefault="002D5CF7" w:rsidP="009C7A35">
      <w:pPr>
        <w:pStyle w:val="Notes"/>
        <w:ind w:left="0" w:firstLine="0"/>
        <w:rPr>
          <w:sz w:val="18"/>
        </w:rPr>
      </w:pPr>
      <w:r>
        <w:rPr>
          <w:i w:val="0"/>
          <w:sz w:val="18"/>
        </w:rPr>
        <w:t>6</w:t>
      </w:r>
      <w:r w:rsidR="009C7A35" w:rsidRPr="00191D6A">
        <w:rPr>
          <w:i w:val="0"/>
          <w:sz w:val="18"/>
        </w:rPr>
        <w:t>.</w:t>
      </w:r>
      <w:r w:rsidR="00671A53" w:rsidRPr="00191D6A">
        <w:rPr>
          <w:i w:val="0"/>
          <w:sz w:val="18"/>
        </w:rPr>
        <w:t xml:space="preserve">Government Gazette Thailand (2018), available from: </w:t>
      </w:r>
      <w:r w:rsidR="009C7A35" w:rsidRPr="00191D6A">
        <w:rPr>
          <w:i w:val="0"/>
          <w:sz w:val="18"/>
        </w:rPr>
        <w:t xml:space="preserve"> </w:t>
      </w:r>
      <w:hyperlink r:id="rId18" w:history="1">
        <w:r w:rsidR="009C7A35" w:rsidRPr="00191D6A">
          <w:rPr>
            <w:rStyle w:val="Hyperlink"/>
            <w:sz w:val="18"/>
          </w:rPr>
          <w:t>http://www.ratchakitcha.soc.go.th/DATA/PDF/2561/E/188/T15.PDF</w:t>
        </w:r>
      </w:hyperlink>
      <w:r w:rsidR="009C7A35" w:rsidRPr="00191D6A">
        <w:rPr>
          <w:sz w:val="18"/>
        </w:rPr>
        <w:t xml:space="preserve"> </w:t>
      </w:r>
    </w:p>
    <w:p w14:paraId="614C6D42" w14:textId="2E73C829" w:rsidR="00B20ADC" w:rsidRDefault="002D5CF7" w:rsidP="009C7A35">
      <w:pPr>
        <w:pStyle w:val="Notes"/>
        <w:ind w:left="0" w:firstLine="0"/>
        <w:rPr>
          <w:i w:val="0"/>
          <w:sz w:val="18"/>
        </w:rPr>
      </w:pPr>
      <w:r>
        <w:rPr>
          <w:i w:val="0"/>
          <w:sz w:val="18"/>
        </w:rPr>
        <w:t>7</w:t>
      </w:r>
      <w:r w:rsidR="00B20ADC" w:rsidRPr="00B20ADC">
        <w:rPr>
          <w:i w:val="0"/>
          <w:sz w:val="18"/>
        </w:rPr>
        <w:t>.</w:t>
      </w:r>
      <w:r w:rsidR="00B20ADC">
        <w:rPr>
          <w:i w:val="0"/>
          <w:sz w:val="18"/>
        </w:rPr>
        <w:t xml:space="preserve"> CIWM (2018) </w:t>
      </w:r>
      <w:r w:rsidR="00B20ADC">
        <w:rPr>
          <w:sz w:val="18"/>
        </w:rPr>
        <w:t>Thailand set to ban plastic waste imports by 2021</w:t>
      </w:r>
      <w:r w:rsidR="00B20ADC">
        <w:rPr>
          <w:i w:val="0"/>
          <w:sz w:val="18"/>
        </w:rPr>
        <w:t xml:space="preserve">, available from: </w:t>
      </w:r>
    </w:p>
    <w:p w14:paraId="22676E63" w14:textId="6274AB8A" w:rsidR="00B20ADC" w:rsidRPr="00B20ADC" w:rsidRDefault="006E31AE" w:rsidP="009C7A35">
      <w:pPr>
        <w:pStyle w:val="Notes"/>
        <w:ind w:left="0" w:firstLine="0"/>
        <w:rPr>
          <w:i w:val="0"/>
          <w:sz w:val="18"/>
        </w:rPr>
      </w:pPr>
      <w:hyperlink r:id="rId19" w:history="1">
        <w:r w:rsidR="00B20ADC" w:rsidRPr="00B76047">
          <w:rPr>
            <w:rStyle w:val="Hyperlink"/>
            <w:sz w:val="18"/>
          </w:rPr>
          <w:t>https://ciwm-journal.co.uk/thailand-set-to-ban-plastic-waste-imports-by-2021/</w:t>
        </w:r>
      </w:hyperlink>
      <w:r w:rsidR="00B20ADC">
        <w:rPr>
          <w:i w:val="0"/>
          <w:sz w:val="18"/>
        </w:rPr>
        <w:t xml:space="preserve"> </w:t>
      </w:r>
    </w:p>
    <w:p w14:paraId="1E881DC1" w14:textId="2AD2A769" w:rsidR="009C7A35" w:rsidRDefault="002D5CF7" w:rsidP="00B20ADC">
      <w:r>
        <w:rPr>
          <w:iCs/>
          <w:color w:val="4D4DB8"/>
          <w:sz w:val="18"/>
          <w:szCs w:val="18"/>
        </w:rPr>
        <w:t>8</w:t>
      </w:r>
      <w:r w:rsidR="009C7A35" w:rsidRPr="00191D6A">
        <w:rPr>
          <w:iCs/>
          <w:color w:val="4D4DB8"/>
          <w:sz w:val="18"/>
          <w:szCs w:val="18"/>
        </w:rPr>
        <w:t>.</w:t>
      </w:r>
      <w:r w:rsidR="00671A53" w:rsidRPr="00191D6A">
        <w:rPr>
          <w:iCs/>
          <w:color w:val="4D4DB8"/>
          <w:sz w:val="18"/>
          <w:szCs w:val="18"/>
        </w:rPr>
        <w:t xml:space="preserve"> Vietnam Briefing (2018)</w:t>
      </w:r>
      <w:r w:rsidR="00671A53" w:rsidRPr="00191D6A">
        <w:rPr>
          <w:sz w:val="18"/>
          <w:szCs w:val="18"/>
        </w:rPr>
        <w:t xml:space="preserve"> </w:t>
      </w:r>
      <w:r w:rsidR="00671A53" w:rsidRPr="00191D6A">
        <w:rPr>
          <w:i/>
          <w:iCs/>
          <w:color w:val="4D4DB8"/>
          <w:sz w:val="18"/>
          <w:szCs w:val="18"/>
        </w:rPr>
        <w:t>Vietnam to Restrict Surging Scrap Imports</w:t>
      </w:r>
      <w:r w:rsidR="00671A53" w:rsidRPr="00191D6A">
        <w:rPr>
          <w:iCs/>
          <w:color w:val="4D4DB8"/>
          <w:sz w:val="18"/>
          <w:szCs w:val="18"/>
        </w:rPr>
        <w:t>, available from:</w:t>
      </w:r>
      <w:r w:rsidR="00671A53" w:rsidRPr="00191D6A">
        <w:rPr>
          <w:sz w:val="18"/>
          <w:szCs w:val="18"/>
        </w:rPr>
        <w:t xml:space="preserve"> </w:t>
      </w:r>
      <w:hyperlink r:id="rId20" w:history="1">
        <w:r w:rsidR="00671A53" w:rsidRPr="00191D6A">
          <w:rPr>
            <w:rStyle w:val="Hyperlink"/>
            <w:i w:val="0"/>
            <w:iCs/>
            <w:sz w:val="18"/>
            <w:szCs w:val="18"/>
          </w:rPr>
          <w:t>http://www.vietnam-briefing.com/news/vietnam-to-restrict-surging-scrap-imports.html/</w:t>
        </w:r>
      </w:hyperlink>
      <w:r w:rsidR="009C7A35" w:rsidRPr="00191D6A">
        <w:rPr>
          <w:sz w:val="18"/>
          <w:szCs w:val="18"/>
        </w:rPr>
        <w:t xml:space="preserve"> </w:t>
      </w:r>
      <w:r w:rsidR="009C7A35">
        <w:t xml:space="preserve"> </w:t>
      </w:r>
    </w:p>
    <w:p w14:paraId="687AB3BF" w14:textId="6E6D2ACD" w:rsidR="003827FC" w:rsidRDefault="002D5CF7" w:rsidP="00716B02">
      <w:pPr>
        <w:rPr>
          <w:iCs/>
          <w:color w:val="4D4DB8"/>
          <w:sz w:val="18"/>
          <w:szCs w:val="18"/>
        </w:rPr>
      </w:pPr>
      <w:r>
        <w:rPr>
          <w:iCs/>
          <w:color w:val="4D4DB8" w:themeColor="accent1"/>
          <w:sz w:val="18"/>
          <w:szCs w:val="18"/>
        </w:rPr>
        <w:t>9</w:t>
      </w:r>
      <w:r w:rsidR="00716B02" w:rsidRPr="003827FC">
        <w:rPr>
          <w:iCs/>
          <w:color w:val="4D4DB8" w:themeColor="accent1"/>
          <w:sz w:val="18"/>
          <w:szCs w:val="18"/>
        </w:rPr>
        <w:t xml:space="preserve">. </w:t>
      </w:r>
      <w:r w:rsidR="003827FC" w:rsidRPr="003827FC">
        <w:rPr>
          <w:iCs/>
          <w:color w:val="4D4DB8" w:themeColor="accent1"/>
          <w:sz w:val="18"/>
          <w:szCs w:val="18"/>
        </w:rPr>
        <w:t xml:space="preserve">Waste Management Review (2018) </w:t>
      </w:r>
      <w:r w:rsidR="003827FC" w:rsidRPr="00736DE2">
        <w:rPr>
          <w:i/>
          <w:iCs/>
          <w:color w:val="4D4DB8" w:themeColor="accent1"/>
          <w:sz w:val="18"/>
          <w:szCs w:val="18"/>
        </w:rPr>
        <w:t>Malaysia, Thailand and Vietnam waste imports</w:t>
      </w:r>
      <w:r w:rsidR="003827FC" w:rsidRPr="003827FC">
        <w:rPr>
          <w:iCs/>
          <w:color w:val="4D4DB8" w:themeColor="accent1"/>
          <w:sz w:val="18"/>
          <w:szCs w:val="18"/>
        </w:rPr>
        <w:t>, available from: http://wastemanagementreview.com.au/battling-sovereign-risk/</w:t>
      </w:r>
    </w:p>
    <w:p w14:paraId="596AE63C" w14:textId="6D0FFB7F" w:rsidR="00716B02" w:rsidRDefault="002D5CF7" w:rsidP="00716B02">
      <w:pPr>
        <w:rPr>
          <w:rStyle w:val="Hyperlink"/>
          <w:i w:val="0"/>
          <w:iCs/>
          <w:sz w:val="18"/>
          <w:szCs w:val="18"/>
        </w:rPr>
      </w:pPr>
      <w:r>
        <w:rPr>
          <w:iCs/>
          <w:color w:val="4D4DB8" w:themeColor="accent1"/>
          <w:sz w:val="18"/>
          <w:szCs w:val="18"/>
        </w:rPr>
        <w:t>10</w:t>
      </w:r>
      <w:r w:rsidR="003827FC" w:rsidRPr="003827FC">
        <w:rPr>
          <w:iCs/>
          <w:color w:val="4D4DB8" w:themeColor="accent1"/>
          <w:sz w:val="18"/>
          <w:szCs w:val="18"/>
        </w:rPr>
        <w:t xml:space="preserve">. </w:t>
      </w:r>
      <w:r w:rsidR="0033301F" w:rsidRPr="003827FC">
        <w:rPr>
          <w:iCs/>
          <w:color w:val="4D4DB8" w:themeColor="accent1"/>
          <w:sz w:val="18"/>
          <w:szCs w:val="18"/>
        </w:rPr>
        <w:t>Ministry of Natural Resources and Environment of the Socialist Republic of Vietnam</w:t>
      </w:r>
      <w:r w:rsidR="00716B02" w:rsidRPr="003827FC">
        <w:rPr>
          <w:iCs/>
          <w:color w:val="4D4DB8" w:themeColor="accent1"/>
          <w:sz w:val="18"/>
          <w:szCs w:val="18"/>
        </w:rPr>
        <w:t xml:space="preserve"> (2018)</w:t>
      </w:r>
      <w:r w:rsidR="00716B02" w:rsidRPr="003827FC">
        <w:rPr>
          <w:color w:val="4D4DB8" w:themeColor="accent1"/>
          <w:sz w:val="18"/>
          <w:szCs w:val="18"/>
        </w:rPr>
        <w:t xml:space="preserve"> </w:t>
      </w:r>
      <w:r w:rsidR="0033301F" w:rsidRPr="003827FC">
        <w:rPr>
          <w:i/>
          <w:iCs/>
          <w:color w:val="4D4DB8" w:themeColor="accent1"/>
          <w:sz w:val="18"/>
          <w:szCs w:val="18"/>
        </w:rPr>
        <w:t xml:space="preserve">Vietnam to ban imports of plastic from used </w:t>
      </w:r>
      <w:r w:rsidR="0033301F" w:rsidRPr="003827FC">
        <w:rPr>
          <w:iCs/>
          <w:color w:val="4D4DB8" w:themeColor="accent1"/>
          <w:sz w:val="18"/>
          <w:szCs w:val="18"/>
        </w:rPr>
        <w:t xml:space="preserve">electronics, </w:t>
      </w:r>
      <w:r w:rsidR="00716B02" w:rsidRPr="003827FC">
        <w:rPr>
          <w:iCs/>
          <w:color w:val="4D4DB8" w:themeColor="accent1"/>
          <w:sz w:val="18"/>
          <w:szCs w:val="18"/>
        </w:rPr>
        <w:t>available from:</w:t>
      </w:r>
      <w:r w:rsidR="00716B02" w:rsidRPr="003827FC">
        <w:rPr>
          <w:color w:val="4D4DB8" w:themeColor="accent1"/>
          <w:sz w:val="18"/>
          <w:szCs w:val="18"/>
        </w:rPr>
        <w:t xml:space="preserve"> </w:t>
      </w:r>
      <w:hyperlink r:id="rId21" w:history="1">
        <w:r w:rsidRPr="005C5EC2">
          <w:rPr>
            <w:rStyle w:val="Hyperlink"/>
            <w:i w:val="0"/>
            <w:iCs/>
            <w:sz w:val="18"/>
            <w:szCs w:val="18"/>
          </w:rPr>
          <w:t>http://www9.monre.gov.vn/wps/portal/news/!ut/p/c5/dclJDoIwFADQE5n_RYawbJAZFWgh2A0hJJpCw6AVlNPrBcxbPuDwMzSLuDdKjEMjoQJu1o5PAt1KEP2SmEgozS6hFWnoI1yBW38_1oFBhXpNOxxfCZ3ijS5v1uLDrljebZl2VlkgJl54M5tzPeafmzSignihK4-OduoIKrv09mva9lxU0phZvxaHUHVuELqZk-6eooepb8gXeJcnsw!!/</w:t>
        </w:r>
      </w:hyperlink>
    </w:p>
    <w:p w14:paraId="2727CD71" w14:textId="77777777" w:rsidR="002D5CF7" w:rsidRDefault="002D5CF7" w:rsidP="002D5CF7">
      <w:pPr>
        <w:rPr>
          <w:iCs/>
          <w:color w:val="4D4DB8" w:themeColor="accent1"/>
          <w:sz w:val="18"/>
          <w:szCs w:val="18"/>
        </w:rPr>
      </w:pPr>
      <w:r w:rsidRPr="00DD7262">
        <w:rPr>
          <w:iCs/>
          <w:color w:val="4D4DB8" w:themeColor="accent1"/>
          <w:sz w:val="18"/>
          <w:szCs w:val="18"/>
        </w:rPr>
        <w:t>1</w:t>
      </w:r>
      <w:r>
        <w:rPr>
          <w:iCs/>
          <w:color w:val="4D4DB8" w:themeColor="accent1"/>
          <w:sz w:val="18"/>
          <w:szCs w:val="18"/>
        </w:rPr>
        <w:t>1</w:t>
      </w:r>
      <w:r w:rsidRPr="00DD7262">
        <w:rPr>
          <w:iCs/>
          <w:color w:val="4D4DB8" w:themeColor="accent1"/>
          <w:sz w:val="18"/>
          <w:szCs w:val="18"/>
        </w:rPr>
        <w:t xml:space="preserve">. </w:t>
      </w:r>
      <w:r>
        <w:rPr>
          <w:iCs/>
          <w:color w:val="4D4DB8" w:themeColor="accent1"/>
          <w:sz w:val="18"/>
          <w:szCs w:val="18"/>
        </w:rPr>
        <w:t xml:space="preserve">VietnamPlus (2019), </w:t>
      </w:r>
      <w:r w:rsidRPr="002D5CF7">
        <w:rPr>
          <w:i/>
          <w:iCs/>
          <w:color w:val="4D4DB8" w:themeColor="accent1"/>
          <w:sz w:val="18"/>
          <w:szCs w:val="18"/>
        </w:rPr>
        <w:t>Scrap imports through road, railway border gates to be banned</w:t>
      </w:r>
      <w:r>
        <w:rPr>
          <w:iCs/>
          <w:color w:val="4D4DB8" w:themeColor="accent1"/>
          <w:sz w:val="18"/>
          <w:szCs w:val="18"/>
        </w:rPr>
        <w:t xml:space="preserve">, Ministry of Information and Communications, available from: </w:t>
      </w:r>
    </w:p>
    <w:p w14:paraId="7B5F26B4" w14:textId="6A63BF83" w:rsidR="002D5CF7" w:rsidRDefault="002D5CF7" w:rsidP="00716B02">
      <w:r w:rsidRPr="005D787D">
        <w:rPr>
          <w:iCs/>
          <w:color w:val="4D4DB8" w:themeColor="accent1"/>
          <w:sz w:val="18"/>
          <w:szCs w:val="18"/>
        </w:rPr>
        <w:t>https://en.vietnamplus.vn/scrap-imports-through-road-railway-border-gates-to-be-banned/145041.vnp</w:t>
      </w:r>
    </w:p>
    <w:sectPr w:rsidR="002D5CF7" w:rsidSect="00305B22">
      <w:headerReference w:type="default" r:id="rId22"/>
      <w:footerReference w:type="default" r:id="rId23"/>
      <w:pgSz w:w="11906" w:h="16838" w:code="9"/>
      <w:pgMar w:top="1440" w:right="1077" w:bottom="1134" w:left="1797"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3D4C6" w14:textId="77777777" w:rsidR="001B208E" w:rsidRDefault="001B208E" w:rsidP="00547C1A">
      <w:r>
        <w:separator/>
      </w:r>
    </w:p>
  </w:endnote>
  <w:endnote w:type="continuationSeparator" w:id="0">
    <w:p w14:paraId="79A1C308" w14:textId="77777777" w:rsidR="001B208E" w:rsidRDefault="001B208E" w:rsidP="0054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18"/>
      </w:rPr>
      <w:id w:val="-1716426446"/>
      <w:docPartObj>
        <w:docPartGallery w:val="Page Numbers (Bottom of Page)"/>
        <w:docPartUnique/>
      </w:docPartObj>
    </w:sdtPr>
    <w:sdtEndPr>
      <w:rPr>
        <w:noProof/>
      </w:rPr>
    </w:sdtEndPr>
    <w:sdtContent>
      <w:p w14:paraId="690B76E6" w14:textId="21CCD3A5" w:rsidR="00C70F65" w:rsidRPr="00A71209" w:rsidRDefault="00C70F65">
        <w:pPr>
          <w:pStyle w:val="Footer"/>
          <w:jc w:val="center"/>
          <w:rPr>
            <w:rFonts w:asciiTheme="minorHAnsi" w:hAnsiTheme="minorHAnsi" w:cstheme="minorHAnsi"/>
            <w:sz w:val="18"/>
          </w:rPr>
        </w:pPr>
        <w:r w:rsidRPr="00A71209">
          <w:rPr>
            <w:rFonts w:asciiTheme="minorHAnsi" w:hAnsiTheme="minorHAnsi" w:cstheme="minorHAnsi"/>
            <w:sz w:val="18"/>
          </w:rPr>
          <w:t xml:space="preserve">Page </w:t>
        </w:r>
        <w:r w:rsidRPr="00A71209">
          <w:rPr>
            <w:rFonts w:asciiTheme="minorHAnsi" w:hAnsiTheme="minorHAnsi" w:cstheme="minorHAnsi"/>
            <w:sz w:val="18"/>
          </w:rPr>
          <w:fldChar w:fldCharType="begin"/>
        </w:r>
        <w:r w:rsidRPr="00A71209">
          <w:rPr>
            <w:rFonts w:asciiTheme="minorHAnsi" w:hAnsiTheme="minorHAnsi" w:cstheme="minorHAnsi"/>
            <w:sz w:val="18"/>
          </w:rPr>
          <w:instrText xml:space="preserve"> PAGE   \* MERGEFORMAT </w:instrText>
        </w:r>
        <w:r w:rsidRPr="00A71209">
          <w:rPr>
            <w:rFonts w:asciiTheme="minorHAnsi" w:hAnsiTheme="minorHAnsi" w:cstheme="minorHAnsi"/>
            <w:sz w:val="18"/>
          </w:rPr>
          <w:fldChar w:fldCharType="separate"/>
        </w:r>
        <w:r w:rsidR="006E31AE">
          <w:rPr>
            <w:rFonts w:asciiTheme="minorHAnsi" w:hAnsiTheme="minorHAnsi" w:cstheme="minorHAnsi"/>
            <w:noProof/>
            <w:sz w:val="18"/>
          </w:rPr>
          <w:t>4</w:t>
        </w:r>
        <w:r w:rsidRPr="00A71209">
          <w:rPr>
            <w:rFonts w:asciiTheme="minorHAnsi" w:hAnsiTheme="minorHAnsi" w:cstheme="minorHAnsi"/>
            <w:noProof/>
            <w:sz w:val="18"/>
          </w:rPr>
          <w:fldChar w:fldCharType="end"/>
        </w:r>
      </w:p>
    </w:sdtContent>
  </w:sdt>
  <w:p w14:paraId="7444963F" w14:textId="1C80880B" w:rsidR="00C70F65" w:rsidRPr="00305B22" w:rsidRDefault="00C70F65" w:rsidP="00305B22">
    <w:pPr>
      <w:pStyle w:val="Footer"/>
      <w:pBdr>
        <w:top w:val="none" w:sz="0" w:space="0" w:color="auto"/>
      </w:pBdr>
      <w:rPr>
        <w:rStyle w:val="PageNumber"/>
        <w:rFonts w:ascii="Arial" w:hAnsi="Arial"/>
        <w:b w:val="0"/>
        <w:color w:val="7F7F7F"/>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36DE7" w14:textId="77777777" w:rsidR="001B208E" w:rsidRPr="00477147" w:rsidRDefault="001B208E" w:rsidP="00547C1A">
      <w:pPr>
        <w:rPr>
          <w:color w:val="4D4DB8" w:themeColor="accent1"/>
        </w:rPr>
      </w:pPr>
      <w:bookmarkStart w:id="0" w:name="_Hlk487465832"/>
      <w:bookmarkEnd w:id="0"/>
      <w:r w:rsidRPr="00477147">
        <w:rPr>
          <w:color w:val="4D4DB8" w:themeColor="accent1"/>
        </w:rPr>
        <w:separator/>
      </w:r>
    </w:p>
  </w:footnote>
  <w:footnote w:type="continuationSeparator" w:id="0">
    <w:p w14:paraId="54B9E3BD" w14:textId="77777777" w:rsidR="001B208E" w:rsidRDefault="001B208E" w:rsidP="00547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6DC01" w14:textId="77777777" w:rsidR="00C70F65" w:rsidRDefault="00C70F65" w:rsidP="00F255F5">
    <w:pPr>
      <w:pStyle w:val="Header"/>
      <w:jc w:val="right"/>
    </w:pPr>
    <w:r>
      <w:rPr>
        <w:noProof/>
        <w:lang w:eastAsia="en-AU"/>
      </w:rPr>
      <w:drawing>
        <wp:inline distT="0" distB="0" distL="0" distR="0" wp14:anchorId="501D369F" wp14:editId="0BC5527F">
          <wp:extent cx="1692000" cy="291600"/>
          <wp:effectExtent l="0" t="0" r="3810" b="0"/>
          <wp:docPr id="8" name="Picture 8" descr="C:\Users\sarah\AppData\Local\Microsoft\Windows\INetCache\Content.Word\BE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AppData\Local\Microsoft\Windows\INetCache\Content.Word\BE logo 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000" cy="291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E181C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4EB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B4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46F2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AA68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812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60B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FEAD92"/>
    <w:lvl w:ilvl="0">
      <w:start w:val="1"/>
      <w:numFmt w:val="bullet"/>
      <w:lvlText w:val="○"/>
      <w:lvlJc w:val="left"/>
      <w:pPr>
        <w:ind w:left="717" w:hanging="360"/>
      </w:pPr>
      <w:rPr>
        <w:rFonts w:ascii="Calibri" w:hAnsi="Calibri" w:hint="default"/>
        <w:color w:val="3C58A7"/>
        <w:sz w:val="18"/>
      </w:rPr>
    </w:lvl>
  </w:abstractNum>
  <w:abstractNum w:abstractNumId="8" w15:restartNumberingAfterBreak="0">
    <w:nsid w:val="FFFFFF88"/>
    <w:multiLevelType w:val="singleLevel"/>
    <w:tmpl w:val="D0BEC7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44150A"/>
    <w:lvl w:ilvl="0">
      <w:start w:val="1"/>
      <w:numFmt w:val="bullet"/>
      <w:lvlText w:val=""/>
      <w:lvlJc w:val="left"/>
      <w:pPr>
        <w:ind w:left="360" w:hanging="360"/>
      </w:pPr>
      <w:rPr>
        <w:rFonts w:ascii="Symbol" w:hAnsi="Symbol" w:hint="default"/>
        <w:color w:val="3C58A7"/>
        <w:u w:color="3C58A7"/>
      </w:rPr>
    </w:lvl>
  </w:abstractNum>
  <w:abstractNum w:abstractNumId="10" w15:restartNumberingAfterBreak="0">
    <w:nsid w:val="000B4EB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1AA16C3"/>
    <w:multiLevelType w:val="hybridMultilevel"/>
    <w:tmpl w:val="B074E3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562312"/>
    <w:multiLevelType w:val="hybridMultilevel"/>
    <w:tmpl w:val="5A82C838"/>
    <w:lvl w:ilvl="0" w:tplc="28C096DC">
      <w:start w:val="1"/>
      <w:numFmt w:val="upperLetter"/>
      <w:pStyle w:val="AppendixHeading"/>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A929CF"/>
    <w:multiLevelType w:val="multilevel"/>
    <w:tmpl w:val="463CD5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Restart w:val="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5165189"/>
    <w:multiLevelType w:val="hybridMultilevel"/>
    <w:tmpl w:val="65E68F60"/>
    <w:lvl w:ilvl="0" w:tplc="7834CB86">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ED33497"/>
    <w:multiLevelType w:val="hybridMultilevel"/>
    <w:tmpl w:val="AEC0866A"/>
    <w:lvl w:ilvl="0" w:tplc="9A44B946">
      <w:start w:val="1"/>
      <w:numFmt w:val="bullet"/>
      <w:lvlText w:val="-"/>
      <w:lvlJc w:val="left"/>
      <w:pPr>
        <w:ind w:left="720" w:hanging="360"/>
      </w:pPr>
      <w:rPr>
        <w:rFonts w:ascii="Courier New" w:hAnsi="Courier New" w:hint="default"/>
      </w:rPr>
    </w:lvl>
    <w:lvl w:ilvl="1" w:tplc="A916488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F95756"/>
    <w:multiLevelType w:val="multilevel"/>
    <w:tmpl w:val="DCDA1470"/>
    <w:lvl w:ilvl="0">
      <w:start w:val="1"/>
      <w:numFmt w:val="bullet"/>
      <w:pStyle w:val="Bullet1"/>
      <w:lvlText w:val=""/>
      <w:lvlJc w:val="left"/>
      <w:pPr>
        <w:ind w:left="425" w:hanging="425"/>
      </w:pPr>
      <w:rPr>
        <w:rFonts w:ascii="Symbol" w:hAnsi="Symbol" w:hint="default"/>
      </w:rPr>
    </w:lvl>
    <w:lvl w:ilvl="1">
      <w:start w:val="1"/>
      <w:numFmt w:val="bullet"/>
      <w:pStyle w:val="Bullet2"/>
      <w:lvlText w:val="-"/>
      <w:lvlJc w:val="left"/>
      <w:pPr>
        <w:ind w:left="851" w:hanging="426"/>
      </w:pPr>
      <w:rPr>
        <w:rFonts w:ascii="Courier New" w:hAnsi="Courier New" w:hint="default"/>
      </w:rPr>
    </w:lvl>
    <w:lvl w:ilvl="2">
      <w:start w:val="1"/>
      <w:numFmt w:val="bullet"/>
      <w:pStyle w:val="Bullet3"/>
      <w:lvlText w:val="o"/>
      <w:lvlJc w:val="left"/>
      <w:pPr>
        <w:ind w:left="1276" w:hanging="425"/>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53035DF"/>
    <w:multiLevelType w:val="hybridMultilevel"/>
    <w:tmpl w:val="7C52D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662F7A"/>
    <w:multiLevelType w:val="multilevel"/>
    <w:tmpl w:val="57F613E6"/>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7971374E"/>
    <w:multiLevelType w:val="multilevel"/>
    <w:tmpl w:val="580C4DF4"/>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BFB2423"/>
    <w:multiLevelType w:val="multilevel"/>
    <w:tmpl w:val="BA82B626"/>
    <w:lvl w:ilvl="0">
      <w:start w:val="1"/>
      <w:numFmt w:val="decimal"/>
      <w:pStyle w:val="Number1"/>
      <w:lvlText w:val="%1."/>
      <w:lvlJc w:val="left"/>
      <w:pPr>
        <w:ind w:left="425" w:hanging="425"/>
      </w:pPr>
      <w:rPr>
        <w:rFonts w:hint="default"/>
      </w:rPr>
    </w:lvl>
    <w:lvl w:ilvl="1">
      <w:start w:val="1"/>
      <w:numFmt w:val="lowerLetter"/>
      <w:pStyle w:val="Number2"/>
      <w:lvlText w:val="%2)"/>
      <w:lvlJc w:val="left"/>
      <w:pPr>
        <w:ind w:left="851" w:hanging="426"/>
      </w:pPr>
      <w:rPr>
        <w:rFonts w:hint="default"/>
      </w:rPr>
    </w:lvl>
    <w:lvl w:ilvl="2">
      <w:start w:val="1"/>
      <w:numFmt w:val="lowerRoman"/>
      <w:pStyle w:val="Number3"/>
      <w:lvlText w:val="(%3)"/>
      <w:lvlJc w:val="right"/>
      <w:pPr>
        <w:ind w:left="1276" w:hanging="425"/>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9"/>
  </w:num>
  <w:num w:numId="2">
    <w:abstractNumId w:val="8"/>
  </w:num>
  <w:num w:numId="3">
    <w:abstractNumId w:val="7"/>
  </w:num>
  <w:num w:numId="4">
    <w:abstractNumId w:val="8"/>
    <w:lvlOverride w:ilvl="0">
      <w:startOverride w:val="1"/>
    </w:lvlOverride>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6"/>
  </w:num>
  <w:num w:numId="13">
    <w:abstractNumId w:val="15"/>
  </w:num>
  <w:num w:numId="14">
    <w:abstractNumId w:val="20"/>
  </w:num>
  <w:num w:numId="15">
    <w:abstractNumId w:val="20"/>
    <w:lvlOverride w:ilvl="0">
      <w:startOverride w:val="1"/>
    </w:lvlOverride>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3"/>
  </w:num>
  <w:num w:numId="20">
    <w:abstractNumId w:val="14"/>
  </w:num>
  <w:num w:numId="21">
    <w:abstractNumId w:val="10"/>
  </w:num>
  <w:num w:numId="22">
    <w:abstractNumId w:val="1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styleLockTheme/>
  <w:styleLockQFSet/>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0E"/>
    <w:rsid w:val="000023DB"/>
    <w:rsid w:val="00013771"/>
    <w:rsid w:val="00014326"/>
    <w:rsid w:val="00014661"/>
    <w:rsid w:val="00016958"/>
    <w:rsid w:val="000200AA"/>
    <w:rsid w:val="00027BF6"/>
    <w:rsid w:val="00034E49"/>
    <w:rsid w:val="00043891"/>
    <w:rsid w:val="00050375"/>
    <w:rsid w:val="00051315"/>
    <w:rsid w:val="000522BD"/>
    <w:rsid w:val="00065F58"/>
    <w:rsid w:val="00066339"/>
    <w:rsid w:val="000774B8"/>
    <w:rsid w:val="00081A6E"/>
    <w:rsid w:val="00084A66"/>
    <w:rsid w:val="000A4807"/>
    <w:rsid w:val="000B1B45"/>
    <w:rsid w:val="000C2908"/>
    <w:rsid w:val="000C2E15"/>
    <w:rsid w:val="000D318A"/>
    <w:rsid w:val="000D59D5"/>
    <w:rsid w:val="000D7BAE"/>
    <w:rsid w:val="000E25E2"/>
    <w:rsid w:val="000E3ECE"/>
    <w:rsid w:val="000E58CE"/>
    <w:rsid w:val="000E66E1"/>
    <w:rsid w:val="000E7A91"/>
    <w:rsid w:val="000F5E99"/>
    <w:rsid w:val="000F730D"/>
    <w:rsid w:val="000F7B61"/>
    <w:rsid w:val="00104E96"/>
    <w:rsid w:val="00116EF5"/>
    <w:rsid w:val="00122A4F"/>
    <w:rsid w:val="001231DB"/>
    <w:rsid w:val="00123654"/>
    <w:rsid w:val="00131654"/>
    <w:rsid w:val="00132EE2"/>
    <w:rsid w:val="001366C5"/>
    <w:rsid w:val="00136CCB"/>
    <w:rsid w:val="001375D7"/>
    <w:rsid w:val="00137604"/>
    <w:rsid w:val="00143570"/>
    <w:rsid w:val="00144EAA"/>
    <w:rsid w:val="001469F7"/>
    <w:rsid w:val="00153E95"/>
    <w:rsid w:val="0015519B"/>
    <w:rsid w:val="001553AE"/>
    <w:rsid w:val="00157C85"/>
    <w:rsid w:val="0016119B"/>
    <w:rsid w:val="001656C3"/>
    <w:rsid w:val="00166F3F"/>
    <w:rsid w:val="00175583"/>
    <w:rsid w:val="0017623C"/>
    <w:rsid w:val="00176D89"/>
    <w:rsid w:val="0018220D"/>
    <w:rsid w:val="00191D6A"/>
    <w:rsid w:val="00192FBE"/>
    <w:rsid w:val="00194C0F"/>
    <w:rsid w:val="0019594A"/>
    <w:rsid w:val="001970F8"/>
    <w:rsid w:val="001A2FCD"/>
    <w:rsid w:val="001B208E"/>
    <w:rsid w:val="001B3845"/>
    <w:rsid w:val="001B40C7"/>
    <w:rsid w:val="001B4275"/>
    <w:rsid w:val="001C0F90"/>
    <w:rsid w:val="001C39D1"/>
    <w:rsid w:val="001D0455"/>
    <w:rsid w:val="001D4217"/>
    <w:rsid w:val="001E0B3F"/>
    <w:rsid w:val="001E2C16"/>
    <w:rsid w:val="001E6B7B"/>
    <w:rsid w:val="001F036C"/>
    <w:rsid w:val="001F137E"/>
    <w:rsid w:val="001F17C8"/>
    <w:rsid w:val="001F1F2C"/>
    <w:rsid w:val="001F6713"/>
    <w:rsid w:val="001F7B08"/>
    <w:rsid w:val="00202222"/>
    <w:rsid w:val="0021020D"/>
    <w:rsid w:val="00215B3A"/>
    <w:rsid w:val="00217DFA"/>
    <w:rsid w:val="002216DF"/>
    <w:rsid w:val="0022408C"/>
    <w:rsid w:val="00225C83"/>
    <w:rsid w:val="0023197E"/>
    <w:rsid w:val="00231FF3"/>
    <w:rsid w:val="00250D19"/>
    <w:rsid w:val="00253E7C"/>
    <w:rsid w:val="002563F5"/>
    <w:rsid w:val="00256665"/>
    <w:rsid w:val="00266398"/>
    <w:rsid w:val="0026691B"/>
    <w:rsid w:val="002671B4"/>
    <w:rsid w:val="0027261E"/>
    <w:rsid w:val="00273BFA"/>
    <w:rsid w:val="00276C0F"/>
    <w:rsid w:val="00277E9A"/>
    <w:rsid w:val="0028399E"/>
    <w:rsid w:val="0029322D"/>
    <w:rsid w:val="00296B46"/>
    <w:rsid w:val="00297755"/>
    <w:rsid w:val="002A04C7"/>
    <w:rsid w:val="002A3EEE"/>
    <w:rsid w:val="002A6BD6"/>
    <w:rsid w:val="002A7D62"/>
    <w:rsid w:val="002A7FC6"/>
    <w:rsid w:val="002B0A12"/>
    <w:rsid w:val="002B0A1C"/>
    <w:rsid w:val="002C7FCC"/>
    <w:rsid w:val="002D3048"/>
    <w:rsid w:val="002D5CF7"/>
    <w:rsid w:val="002D5EC9"/>
    <w:rsid w:val="002D7EAE"/>
    <w:rsid w:val="002E0839"/>
    <w:rsid w:val="002E3BAB"/>
    <w:rsid w:val="002E413D"/>
    <w:rsid w:val="002E44F5"/>
    <w:rsid w:val="002E5092"/>
    <w:rsid w:val="002E50A2"/>
    <w:rsid w:val="002E73CE"/>
    <w:rsid w:val="002F2F10"/>
    <w:rsid w:val="002F63DB"/>
    <w:rsid w:val="0030202E"/>
    <w:rsid w:val="003020CC"/>
    <w:rsid w:val="00304F93"/>
    <w:rsid w:val="00305B22"/>
    <w:rsid w:val="00306728"/>
    <w:rsid w:val="00310533"/>
    <w:rsid w:val="003109EB"/>
    <w:rsid w:val="00313D56"/>
    <w:rsid w:val="00320095"/>
    <w:rsid w:val="003318A6"/>
    <w:rsid w:val="0033301F"/>
    <w:rsid w:val="0033455F"/>
    <w:rsid w:val="003354D5"/>
    <w:rsid w:val="00336883"/>
    <w:rsid w:val="00344366"/>
    <w:rsid w:val="003505D5"/>
    <w:rsid w:val="003522E8"/>
    <w:rsid w:val="00354F01"/>
    <w:rsid w:val="003555F8"/>
    <w:rsid w:val="003609B9"/>
    <w:rsid w:val="00360F6D"/>
    <w:rsid w:val="00361CA1"/>
    <w:rsid w:val="00367049"/>
    <w:rsid w:val="00370946"/>
    <w:rsid w:val="00370989"/>
    <w:rsid w:val="003719CE"/>
    <w:rsid w:val="00373F48"/>
    <w:rsid w:val="003827FC"/>
    <w:rsid w:val="0038378E"/>
    <w:rsid w:val="003905AB"/>
    <w:rsid w:val="00397378"/>
    <w:rsid w:val="00397677"/>
    <w:rsid w:val="003A4F41"/>
    <w:rsid w:val="003A67D8"/>
    <w:rsid w:val="003A6C54"/>
    <w:rsid w:val="003B3436"/>
    <w:rsid w:val="003B3CFA"/>
    <w:rsid w:val="003C1174"/>
    <w:rsid w:val="003C1F67"/>
    <w:rsid w:val="003C4D4E"/>
    <w:rsid w:val="003C5EAE"/>
    <w:rsid w:val="003C6AC7"/>
    <w:rsid w:val="003D0563"/>
    <w:rsid w:val="003D1A4F"/>
    <w:rsid w:val="003D33AB"/>
    <w:rsid w:val="003D4044"/>
    <w:rsid w:val="003E20DE"/>
    <w:rsid w:val="003E405B"/>
    <w:rsid w:val="003E59EA"/>
    <w:rsid w:val="003F0185"/>
    <w:rsid w:val="003F3AD3"/>
    <w:rsid w:val="003F494C"/>
    <w:rsid w:val="003F4FB0"/>
    <w:rsid w:val="00401DFB"/>
    <w:rsid w:val="004049FC"/>
    <w:rsid w:val="00410421"/>
    <w:rsid w:val="004256CC"/>
    <w:rsid w:val="0043219D"/>
    <w:rsid w:val="004368A9"/>
    <w:rsid w:val="00437FF2"/>
    <w:rsid w:val="004408F6"/>
    <w:rsid w:val="004412D9"/>
    <w:rsid w:val="00441371"/>
    <w:rsid w:val="00441933"/>
    <w:rsid w:val="00442670"/>
    <w:rsid w:val="00460A12"/>
    <w:rsid w:val="00461BB4"/>
    <w:rsid w:val="00465F75"/>
    <w:rsid w:val="004713B0"/>
    <w:rsid w:val="00477147"/>
    <w:rsid w:val="00481E0F"/>
    <w:rsid w:val="00482477"/>
    <w:rsid w:val="00482856"/>
    <w:rsid w:val="0048299E"/>
    <w:rsid w:val="00484DFB"/>
    <w:rsid w:val="00490D7E"/>
    <w:rsid w:val="00491214"/>
    <w:rsid w:val="00493FA0"/>
    <w:rsid w:val="00496CD5"/>
    <w:rsid w:val="004A3DD6"/>
    <w:rsid w:val="004B3734"/>
    <w:rsid w:val="004B6823"/>
    <w:rsid w:val="004C1D5F"/>
    <w:rsid w:val="004C4856"/>
    <w:rsid w:val="004C5A2C"/>
    <w:rsid w:val="004D0434"/>
    <w:rsid w:val="004D32F7"/>
    <w:rsid w:val="004D4A33"/>
    <w:rsid w:val="004D5093"/>
    <w:rsid w:val="004E5976"/>
    <w:rsid w:val="004E688C"/>
    <w:rsid w:val="004F19D5"/>
    <w:rsid w:val="004F2E03"/>
    <w:rsid w:val="004F329B"/>
    <w:rsid w:val="004F4E2F"/>
    <w:rsid w:val="004F779A"/>
    <w:rsid w:val="00501E45"/>
    <w:rsid w:val="00503A65"/>
    <w:rsid w:val="00504672"/>
    <w:rsid w:val="00510A11"/>
    <w:rsid w:val="005117F0"/>
    <w:rsid w:val="00516295"/>
    <w:rsid w:val="00516C79"/>
    <w:rsid w:val="005172DB"/>
    <w:rsid w:val="0052052F"/>
    <w:rsid w:val="00520FC2"/>
    <w:rsid w:val="00521AE2"/>
    <w:rsid w:val="005262CD"/>
    <w:rsid w:val="005277C3"/>
    <w:rsid w:val="00537D30"/>
    <w:rsid w:val="00541B11"/>
    <w:rsid w:val="00543B80"/>
    <w:rsid w:val="00545999"/>
    <w:rsid w:val="00547C1A"/>
    <w:rsid w:val="00552D4C"/>
    <w:rsid w:val="00552FE4"/>
    <w:rsid w:val="00553D3C"/>
    <w:rsid w:val="00556303"/>
    <w:rsid w:val="00557B1F"/>
    <w:rsid w:val="0056030E"/>
    <w:rsid w:val="00561237"/>
    <w:rsid w:val="00562DE7"/>
    <w:rsid w:val="00565389"/>
    <w:rsid w:val="0056599B"/>
    <w:rsid w:val="00570A0A"/>
    <w:rsid w:val="00571A19"/>
    <w:rsid w:val="00576B04"/>
    <w:rsid w:val="00580908"/>
    <w:rsid w:val="005830D2"/>
    <w:rsid w:val="00586128"/>
    <w:rsid w:val="00591FF1"/>
    <w:rsid w:val="00595644"/>
    <w:rsid w:val="005A4E17"/>
    <w:rsid w:val="005B6C44"/>
    <w:rsid w:val="005B731E"/>
    <w:rsid w:val="005C315D"/>
    <w:rsid w:val="005C6724"/>
    <w:rsid w:val="005C67B9"/>
    <w:rsid w:val="005D0755"/>
    <w:rsid w:val="005D178B"/>
    <w:rsid w:val="005D2265"/>
    <w:rsid w:val="005D617C"/>
    <w:rsid w:val="005D787D"/>
    <w:rsid w:val="005D7FF8"/>
    <w:rsid w:val="005E12C6"/>
    <w:rsid w:val="005E59B0"/>
    <w:rsid w:val="005E5A3C"/>
    <w:rsid w:val="005F3024"/>
    <w:rsid w:val="005F4829"/>
    <w:rsid w:val="005F4BDB"/>
    <w:rsid w:val="005F7EEB"/>
    <w:rsid w:val="0060601B"/>
    <w:rsid w:val="00610014"/>
    <w:rsid w:val="00612D59"/>
    <w:rsid w:val="00625053"/>
    <w:rsid w:val="006261B0"/>
    <w:rsid w:val="00630F97"/>
    <w:rsid w:val="00631434"/>
    <w:rsid w:val="00632DE1"/>
    <w:rsid w:val="0063431F"/>
    <w:rsid w:val="006345C1"/>
    <w:rsid w:val="006371CB"/>
    <w:rsid w:val="00640D49"/>
    <w:rsid w:val="00642752"/>
    <w:rsid w:val="0064528E"/>
    <w:rsid w:val="006475A9"/>
    <w:rsid w:val="006476D3"/>
    <w:rsid w:val="00651DFE"/>
    <w:rsid w:val="006547CD"/>
    <w:rsid w:val="006631D5"/>
    <w:rsid w:val="00663C3A"/>
    <w:rsid w:val="00665063"/>
    <w:rsid w:val="0067118E"/>
    <w:rsid w:val="00671A53"/>
    <w:rsid w:val="00672009"/>
    <w:rsid w:val="006737A1"/>
    <w:rsid w:val="00675759"/>
    <w:rsid w:val="0068174D"/>
    <w:rsid w:val="00686D9E"/>
    <w:rsid w:val="006901E8"/>
    <w:rsid w:val="00691DDE"/>
    <w:rsid w:val="00692A52"/>
    <w:rsid w:val="00693880"/>
    <w:rsid w:val="00695DC1"/>
    <w:rsid w:val="006A0847"/>
    <w:rsid w:val="006B0D83"/>
    <w:rsid w:val="006B238A"/>
    <w:rsid w:val="006B76BB"/>
    <w:rsid w:val="006B7DF4"/>
    <w:rsid w:val="006C0A94"/>
    <w:rsid w:val="006C6C29"/>
    <w:rsid w:val="006D11BA"/>
    <w:rsid w:val="006D29AB"/>
    <w:rsid w:val="006E03D8"/>
    <w:rsid w:val="006E0DB6"/>
    <w:rsid w:val="006E31AE"/>
    <w:rsid w:val="006E4B05"/>
    <w:rsid w:val="006E734B"/>
    <w:rsid w:val="006F31B4"/>
    <w:rsid w:val="00703F4D"/>
    <w:rsid w:val="007055D4"/>
    <w:rsid w:val="00713D44"/>
    <w:rsid w:val="00715A1B"/>
    <w:rsid w:val="00716423"/>
    <w:rsid w:val="0071690A"/>
    <w:rsid w:val="00716B02"/>
    <w:rsid w:val="00720C59"/>
    <w:rsid w:val="00721788"/>
    <w:rsid w:val="00723D0A"/>
    <w:rsid w:val="00727060"/>
    <w:rsid w:val="00727DA1"/>
    <w:rsid w:val="0073030C"/>
    <w:rsid w:val="0073416B"/>
    <w:rsid w:val="00736DE2"/>
    <w:rsid w:val="007374F2"/>
    <w:rsid w:val="00740031"/>
    <w:rsid w:val="00742904"/>
    <w:rsid w:val="00745106"/>
    <w:rsid w:val="00750819"/>
    <w:rsid w:val="00750BDD"/>
    <w:rsid w:val="00752905"/>
    <w:rsid w:val="007546EA"/>
    <w:rsid w:val="0077452F"/>
    <w:rsid w:val="00783169"/>
    <w:rsid w:val="0078324A"/>
    <w:rsid w:val="00784028"/>
    <w:rsid w:val="007928A3"/>
    <w:rsid w:val="007949F6"/>
    <w:rsid w:val="00795D05"/>
    <w:rsid w:val="007A0C03"/>
    <w:rsid w:val="007A1857"/>
    <w:rsid w:val="007A43BA"/>
    <w:rsid w:val="007B3A98"/>
    <w:rsid w:val="007C1276"/>
    <w:rsid w:val="007C4044"/>
    <w:rsid w:val="007C45B4"/>
    <w:rsid w:val="007C497D"/>
    <w:rsid w:val="007D0211"/>
    <w:rsid w:val="007E5F8F"/>
    <w:rsid w:val="007F145E"/>
    <w:rsid w:val="007F2123"/>
    <w:rsid w:val="007F25E4"/>
    <w:rsid w:val="007F3865"/>
    <w:rsid w:val="0080052F"/>
    <w:rsid w:val="00801789"/>
    <w:rsid w:val="00802BBD"/>
    <w:rsid w:val="00807842"/>
    <w:rsid w:val="00811306"/>
    <w:rsid w:val="008248D2"/>
    <w:rsid w:val="00827E2D"/>
    <w:rsid w:val="0083200E"/>
    <w:rsid w:val="0083490A"/>
    <w:rsid w:val="0083650A"/>
    <w:rsid w:val="00845EAB"/>
    <w:rsid w:val="00847BBC"/>
    <w:rsid w:val="00850B51"/>
    <w:rsid w:val="0085170E"/>
    <w:rsid w:val="008523B0"/>
    <w:rsid w:val="00852AE7"/>
    <w:rsid w:val="00855F59"/>
    <w:rsid w:val="008606EB"/>
    <w:rsid w:val="00861E89"/>
    <w:rsid w:val="00862033"/>
    <w:rsid w:val="00863038"/>
    <w:rsid w:val="00874868"/>
    <w:rsid w:val="00876684"/>
    <w:rsid w:val="00884766"/>
    <w:rsid w:val="00885649"/>
    <w:rsid w:val="008879E5"/>
    <w:rsid w:val="008919C7"/>
    <w:rsid w:val="008937A4"/>
    <w:rsid w:val="00895804"/>
    <w:rsid w:val="008A0D3C"/>
    <w:rsid w:val="008A49C3"/>
    <w:rsid w:val="008B1DA0"/>
    <w:rsid w:val="008B21A5"/>
    <w:rsid w:val="008B2842"/>
    <w:rsid w:val="008B6593"/>
    <w:rsid w:val="008C0048"/>
    <w:rsid w:val="008C7057"/>
    <w:rsid w:val="008D516F"/>
    <w:rsid w:val="008D77C5"/>
    <w:rsid w:val="008D7C70"/>
    <w:rsid w:val="008E2C98"/>
    <w:rsid w:val="008E5F9C"/>
    <w:rsid w:val="008F121D"/>
    <w:rsid w:val="008F1ED6"/>
    <w:rsid w:val="008F26D9"/>
    <w:rsid w:val="008F31FE"/>
    <w:rsid w:val="008F5145"/>
    <w:rsid w:val="008F748B"/>
    <w:rsid w:val="008F7A17"/>
    <w:rsid w:val="0090278C"/>
    <w:rsid w:val="00902AF0"/>
    <w:rsid w:val="009114DF"/>
    <w:rsid w:val="00922B5B"/>
    <w:rsid w:val="009350B9"/>
    <w:rsid w:val="00935BC8"/>
    <w:rsid w:val="00940D53"/>
    <w:rsid w:val="0094285D"/>
    <w:rsid w:val="00945E63"/>
    <w:rsid w:val="00947FCD"/>
    <w:rsid w:val="009530D1"/>
    <w:rsid w:val="00960FF7"/>
    <w:rsid w:val="00964AB4"/>
    <w:rsid w:val="00965509"/>
    <w:rsid w:val="00973E3D"/>
    <w:rsid w:val="009741F3"/>
    <w:rsid w:val="00976D0A"/>
    <w:rsid w:val="00976ECA"/>
    <w:rsid w:val="009863A9"/>
    <w:rsid w:val="00987346"/>
    <w:rsid w:val="00987416"/>
    <w:rsid w:val="00991B38"/>
    <w:rsid w:val="00996685"/>
    <w:rsid w:val="00997A7D"/>
    <w:rsid w:val="009A103F"/>
    <w:rsid w:val="009A18DD"/>
    <w:rsid w:val="009A33A3"/>
    <w:rsid w:val="009A4DB5"/>
    <w:rsid w:val="009A5030"/>
    <w:rsid w:val="009A50E1"/>
    <w:rsid w:val="009B47F5"/>
    <w:rsid w:val="009C3A74"/>
    <w:rsid w:val="009C42B6"/>
    <w:rsid w:val="009C465E"/>
    <w:rsid w:val="009C712E"/>
    <w:rsid w:val="009C7A35"/>
    <w:rsid w:val="009D1226"/>
    <w:rsid w:val="009E56D2"/>
    <w:rsid w:val="009E6EAE"/>
    <w:rsid w:val="009F560F"/>
    <w:rsid w:val="009F614F"/>
    <w:rsid w:val="009F7E35"/>
    <w:rsid w:val="00A1122A"/>
    <w:rsid w:val="00A134CA"/>
    <w:rsid w:val="00A16B0B"/>
    <w:rsid w:val="00A176B0"/>
    <w:rsid w:val="00A23B8D"/>
    <w:rsid w:val="00A24ED9"/>
    <w:rsid w:val="00A34DD3"/>
    <w:rsid w:val="00A362ED"/>
    <w:rsid w:val="00A37673"/>
    <w:rsid w:val="00A420D2"/>
    <w:rsid w:val="00A435B5"/>
    <w:rsid w:val="00A4384D"/>
    <w:rsid w:val="00A4674D"/>
    <w:rsid w:val="00A5001F"/>
    <w:rsid w:val="00A517CF"/>
    <w:rsid w:val="00A5533E"/>
    <w:rsid w:val="00A600A6"/>
    <w:rsid w:val="00A612F7"/>
    <w:rsid w:val="00A669F1"/>
    <w:rsid w:val="00A675B6"/>
    <w:rsid w:val="00A71209"/>
    <w:rsid w:val="00A71807"/>
    <w:rsid w:val="00A73D3E"/>
    <w:rsid w:val="00A7504E"/>
    <w:rsid w:val="00A77E8B"/>
    <w:rsid w:val="00A81460"/>
    <w:rsid w:val="00A81990"/>
    <w:rsid w:val="00A84DAF"/>
    <w:rsid w:val="00A85C7C"/>
    <w:rsid w:val="00A8638A"/>
    <w:rsid w:val="00A9344A"/>
    <w:rsid w:val="00A95735"/>
    <w:rsid w:val="00A95FBD"/>
    <w:rsid w:val="00A9619C"/>
    <w:rsid w:val="00AA2363"/>
    <w:rsid w:val="00AA7BD3"/>
    <w:rsid w:val="00AB236F"/>
    <w:rsid w:val="00AB4EB8"/>
    <w:rsid w:val="00AC14A5"/>
    <w:rsid w:val="00AC5947"/>
    <w:rsid w:val="00AD2429"/>
    <w:rsid w:val="00AD3D97"/>
    <w:rsid w:val="00AD5E6D"/>
    <w:rsid w:val="00AE1086"/>
    <w:rsid w:val="00AF1D05"/>
    <w:rsid w:val="00AF26D0"/>
    <w:rsid w:val="00AF4310"/>
    <w:rsid w:val="00AF7A55"/>
    <w:rsid w:val="00B02451"/>
    <w:rsid w:val="00B11172"/>
    <w:rsid w:val="00B145AC"/>
    <w:rsid w:val="00B16888"/>
    <w:rsid w:val="00B20ADC"/>
    <w:rsid w:val="00B224F5"/>
    <w:rsid w:val="00B25C64"/>
    <w:rsid w:val="00B35626"/>
    <w:rsid w:val="00B43145"/>
    <w:rsid w:val="00B4323F"/>
    <w:rsid w:val="00B47CDD"/>
    <w:rsid w:val="00B50BE7"/>
    <w:rsid w:val="00B568A9"/>
    <w:rsid w:val="00B60941"/>
    <w:rsid w:val="00B65019"/>
    <w:rsid w:val="00B668E8"/>
    <w:rsid w:val="00B70EF1"/>
    <w:rsid w:val="00B71CDE"/>
    <w:rsid w:val="00B72250"/>
    <w:rsid w:val="00B732B7"/>
    <w:rsid w:val="00B74934"/>
    <w:rsid w:val="00B80137"/>
    <w:rsid w:val="00B81344"/>
    <w:rsid w:val="00B86F3F"/>
    <w:rsid w:val="00B87C9E"/>
    <w:rsid w:val="00B9046D"/>
    <w:rsid w:val="00B914B5"/>
    <w:rsid w:val="00BA00B7"/>
    <w:rsid w:val="00BA0569"/>
    <w:rsid w:val="00BA1E28"/>
    <w:rsid w:val="00BA4A65"/>
    <w:rsid w:val="00BB05A8"/>
    <w:rsid w:val="00BB4CCC"/>
    <w:rsid w:val="00BB546E"/>
    <w:rsid w:val="00BB578F"/>
    <w:rsid w:val="00BB77FD"/>
    <w:rsid w:val="00BC53F5"/>
    <w:rsid w:val="00BD0A52"/>
    <w:rsid w:val="00BD16B3"/>
    <w:rsid w:val="00BE2496"/>
    <w:rsid w:val="00BF1A01"/>
    <w:rsid w:val="00C03B0F"/>
    <w:rsid w:val="00C12FBC"/>
    <w:rsid w:val="00C149A9"/>
    <w:rsid w:val="00C15929"/>
    <w:rsid w:val="00C20588"/>
    <w:rsid w:val="00C270CB"/>
    <w:rsid w:val="00C27AA1"/>
    <w:rsid w:val="00C30151"/>
    <w:rsid w:val="00C31AA9"/>
    <w:rsid w:val="00C32BAF"/>
    <w:rsid w:val="00C33528"/>
    <w:rsid w:val="00C338C5"/>
    <w:rsid w:val="00C33951"/>
    <w:rsid w:val="00C35732"/>
    <w:rsid w:val="00C3658F"/>
    <w:rsid w:val="00C456A8"/>
    <w:rsid w:val="00C627DA"/>
    <w:rsid w:val="00C64D4A"/>
    <w:rsid w:val="00C64D86"/>
    <w:rsid w:val="00C650E9"/>
    <w:rsid w:val="00C66BAD"/>
    <w:rsid w:val="00C70F65"/>
    <w:rsid w:val="00C764CC"/>
    <w:rsid w:val="00C77A3A"/>
    <w:rsid w:val="00C77CC3"/>
    <w:rsid w:val="00C84522"/>
    <w:rsid w:val="00C875EE"/>
    <w:rsid w:val="00CA3F7D"/>
    <w:rsid w:val="00CA7904"/>
    <w:rsid w:val="00CB3C05"/>
    <w:rsid w:val="00CB41BD"/>
    <w:rsid w:val="00CB5862"/>
    <w:rsid w:val="00CB5EAF"/>
    <w:rsid w:val="00CC0B24"/>
    <w:rsid w:val="00CC0C7C"/>
    <w:rsid w:val="00CC4449"/>
    <w:rsid w:val="00CC4CC2"/>
    <w:rsid w:val="00CC6832"/>
    <w:rsid w:val="00CD1D4D"/>
    <w:rsid w:val="00CD7582"/>
    <w:rsid w:val="00CE1024"/>
    <w:rsid w:val="00CE1D25"/>
    <w:rsid w:val="00CE458C"/>
    <w:rsid w:val="00CE6853"/>
    <w:rsid w:val="00CE79C7"/>
    <w:rsid w:val="00CF4C43"/>
    <w:rsid w:val="00D06147"/>
    <w:rsid w:val="00D07276"/>
    <w:rsid w:val="00D13C61"/>
    <w:rsid w:val="00D14ED6"/>
    <w:rsid w:val="00D16A39"/>
    <w:rsid w:val="00D22CE2"/>
    <w:rsid w:val="00D24493"/>
    <w:rsid w:val="00D2588B"/>
    <w:rsid w:val="00D26CF3"/>
    <w:rsid w:val="00D30A18"/>
    <w:rsid w:val="00D31113"/>
    <w:rsid w:val="00D3704A"/>
    <w:rsid w:val="00D370D7"/>
    <w:rsid w:val="00D43383"/>
    <w:rsid w:val="00D4370B"/>
    <w:rsid w:val="00D43E18"/>
    <w:rsid w:val="00D468F6"/>
    <w:rsid w:val="00D50804"/>
    <w:rsid w:val="00D5236B"/>
    <w:rsid w:val="00D57743"/>
    <w:rsid w:val="00D62359"/>
    <w:rsid w:val="00D67151"/>
    <w:rsid w:val="00D67F6C"/>
    <w:rsid w:val="00D71ECE"/>
    <w:rsid w:val="00D776E8"/>
    <w:rsid w:val="00D77F74"/>
    <w:rsid w:val="00D80CED"/>
    <w:rsid w:val="00D85B7F"/>
    <w:rsid w:val="00D85E30"/>
    <w:rsid w:val="00D96499"/>
    <w:rsid w:val="00DA2744"/>
    <w:rsid w:val="00DA2CD0"/>
    <w:rsid w:val="00DA3F37"/>
    <w:rsid w:val="00DA41D7"/>
    <w:rsid w:val="00DB1B5B"/>
    <w:rsid w:val="00DB6385"/>
    <w:rsid w:val="00DB651A"/>
    <w:rsid w:val="00DC0E69"/>
    <w:rsid w:val="00DC537F"/>
    <w:rsid w:val="00DC5799"/>
    <w:rsid w:val="00DD3110"/>
    <w:rsid w:val="00DD7262"/>
    <w:rsid w:val="00DD7C65"/>
    <w:rsid w:val="00DE0256"/>
    <w:rsid w:val="00DF2CC6"/>
    <w:rsid w:val="00E07BFC"/>
    <w:rsid w:val="00E155D5"/>
    <w:rsid w:val="00E162A4"/>
    <w:rsid w:val="00E16781"/>
    <w:rsid w:val="00E2225F"/>
    <w:rsid w:val="00E2288D"/>
    <w:rsid w:val="00E22FDB"/>
    <w:rsid w:val="00E30A0E"/>
    <w:rsid w:val="00E30EBE"/>
    <w:rsid w:val="00E34057"/>
    <w:rsid w:val="00E3613A"/>
    <w:rsid w:val="00E37793"/>
    <w:rsid w:val="00E430B6"/>
    <w:rsid w:val="00E44679"/>
    <w:rsid w:val="00E46584"/>
    <w:rsid w:val="00E46613"/>
    <w:rsid w:val="00E514AB"/>
    <w:rsid w:val="00E53DE0"/>
    <w:rsid w:val="00E54D77"/>
    <w:rsid w:val="00E56FA1"/>
    <w:rsid w:val="00E60980"/>
    <w:rsid w:val="00E62223"/>
    <w:rsid w:val="00E715E4"/>
    <w:rsid w:val="00E82EA1"/>
    <w:rsid w:val="00E8731C"/>
    <w:rsid w:val="00E912B1"/>
    <w:rsid w:val="00E94109"/>
    <w:rsid w:val="00EA5A96"/>
    <w:rsid w:val="00EC00EE"/>
    <w:rsid w:val="00EC1C4A"/>
    <w:rsid w:val="00EC3E48"/>
    <w:rsid w:val="00ED5244"/>
    <w:rsid w:val="00EE58BB"/>
    <w:rsid w:val="00EF409F"/>
    <w:rsid w:val="00EF6CBE"/>
    <w:rsid w:val="00F032E7"/>
    <w:rsid w:val="00F122EA"/>
    <w:rsid w:val="00F154F6"/>
    <w:rsid w:val="00F16277"/>
    <w:rsid w:val="00F179B8"/>
    <w:rsid w:val="00F255F5"/>
    <w:rsid w:val="00F4065B"/>
    <w:rsid w:val="00F40ADA"/>
    <w:rsid w:val="00F40BD9"/>
    <w:rsid w:val="00F456AF"/>
    <w:rsid w:val="00F57A59"/>
    <w:rsid w:val="00F61A8E"/>
    <w:rsid w:val="00F65DB4"/>
    <w:rsid w:val="00F72A39"/>
    <w:rsid w:val="00F7455E"/>
    <w:rsid w:val="00F7712C"/>
    <w:rsid w:val="00F80132"/>
    <w:rsid w:val="00F804F3"/>
    <w:rsid w:val="00F84FD3"/>
    <w:rsid w:val="00F92E20"/>
    <w:rsid w:val="00F96E69"/>
    <w:rsid w:val="00F972EE"/>
    <w:rsid w:val="00FA396B"/>
    <w:rsid w:val="00FA5E63"/>
    <w:rsid w:val="00FB3068"/>
    <w:rsid w:val="00FC3528"/>
    <w:rsid w:val="00FC734D"/>
    <w:rsid w:val="00FD2AC8"/>
    <w:rsid w:val="00FD30F3"/>
    <w:rsid w:val="00FD31C5"/>
    <w:rsid w:val="00FD59C0"/>
    <w:rsid w:val="00FD63E7"/>
    <w:rsid w:val="00FE192D"/>
    <w:rsid w:val="00FE55FD"/>
    <w:rsid w:val="00FE5B36"/>
    <w:rsid w:val="00FF3DD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FA98B9"/>
  <w15:chartTrackingRefBased/>
  <w15:docId w15:val="{82C84B64-3F1C-456C-B3CC-853FFB92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AU" w:eastAsia="en-US" w:bidi="ar-SA"/>
      </w:rPr>
    </w:rPrDefault>
    <w:pPrDefault/>
  </w:docDefaults>
  <w:latentStyles w:defLockedState="1" w:defUIPriority="99" w:defSemiHidden="0" w:defUnhideWhenUsed="0" w:defQFormat="0" w:count="371">
    <w:lsdException w:name="Normal" w:locked="0" w:uiPriority="0"/>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0" w:unhideWhenUsed="1" w:qFormat="1"/>
    <w:lsdException w:name="annotation text" w:semiHidden="1"/>
    <w:lsdException w:name="header" w:semiHidden="1" w:unhideWhenUsed="1"/>
    <w:lsdException w:name="footer" w:semiHidden="1" w:unhideWhenUsed="1"/>
    <w:lsdException w:name="index heading" w:semiHidden="1"/>
    <w:lsdException w:name="caption" w:semiHidden="1" w:unhideWhenUsed="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List 2" w:semiHidden="1"/>
    <w:lsdException w:name="List 3" w:semiHidden="1"/>
    <w:lsdException w:name="List 4" w:semiHidden="1"/>
    <w:lsdException w:name="List 5" w:semiHidden="1"/>
    <w:lsdException w:name="List Bullet 3" w:semiHidden="1" w:unhideWhenUsed="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locked="0" w:semiHidden="1" w:uiPriority="1" w:unhideWhenUsed="1"/>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401DFB"/>
  </w:style>
  <w:style w:type="paragraph" w:styleId="Heading1">
    <w:name w:val="heading 1"/>
    <w:basedOn w:val="Normal"/>
    <w:next w:val="BodyText"/>
    <w:link w:val="Heading1Char"/>
    <w:uiPriority w:val="1"/>
    <w:qFormat/>
    <w:rsid w:val="00E430B6"/>
    <w:pPr>
      <w:widowControl w:val="0"/>
      <w:numPr>
        <w:numId w:val="16"/>
      </w:numPr>
      <w:spacing w:before="60" w:after="360"/>
      <w:outlineLvl w:val="0"/>
    </w:pPr>
    <w:rPr>
      <w:rFonts w:eastAsiaTheme="majorEastAsia" w:cstheme="majorBidi"/>
      <w:b/>
      <w:color w:val="000099"/>
      <w:sz w:val="40"/>
      <w:szCs w:val="32"/>
    </w:rPr>
  </w:style>
  <w:style w:type="paragraph" w:styleId="Heading2">
    <w:name w:val="heading 2"/>
    <w:basedOn w:val="Heading1"/>
    <w:next w:val="BodyText"/>
    <w:link w:val="Heading2Char"/>
    <w:uiPriority w:val="3"/>
    <w:qFormat/>
    <w:rsid w:val="00E430B6"/>
    <w:pPr>
      <w:numPr>
        <w:ilvl w:val="1"/>
      </w:numPr>
      <w:spacing w:before="0" w:after="240"/>
      <w:outlineLvl w:val="1"/>
    </w:pPr>
    <w:rPr>
      <w:color w:val="4D4DB8"/>
      <w:sz w:val="28"/>
      <w:szCs w:val="26"/>
    </w:rPr>
  </w:style>
  <w:style w:type="paragraph" w:styleId="Heading3">
    <w:name w:val="heading 3"/>
    <w:basedOn w:val="Heading2"/>
    <w:next w:val="BodyText"/>
    <w:link w:val="Heading3Char"/>
    <w:uiPriority w:val="5"/>
    <w:qFormat/>
    <w:rsid w:val="00E430B6"/>
    <w:pPr>
      <w:numPr>
        <w:ilvl w:val="2"/>
      </w:numPr>
      <w:spacing w:after="120"/>
      <w:outlineLvl w:val="2"/>
    </w:pPr>
    <w:rPr>
      <w:sz w:val="24"/>
    </w:rPr>
  </w:style>
  <w:style w:type="paragraph" w:styleId="Heading4">
    <w:name w:val="heading 4"/>
    <w:basedOn w:val="Heading3"/>
    <w:next w:val="Normal"/>
    <w:link w:val="Heading4Char"/>
    <w:uiPriority w:val="99"/>
    <w:semiHidden/>
    <w:locked/>
    <w:rsid w:val="002D5EC9"/>
    <w:pPr>
      <w:keepNext/>
      <w:keepLines/>
      <w:numPr>
        <w:ilvl w:val="3"/>
      </w:numPr>
      <w:spacing w:before="40" w:after="0"/>
      <w:outlineLvl w:val="3"/>
    </w:pPr>
    <w:rPr>
      <w:i/>
      <w:iCs/>
    </w:rPr>
  </w:style>
  <w:style w:type="paragraph" w:styleId="Heading5">
    <w:name w:val="heading 5"/>
    <w:basedOn w:val="Heading4"/>
    <w:next w:val="Normal"/>
    <w:link w:val="Heading5Char"/>
    <w:uiPriority w:val="99"/>
    <w:semiHidden/>
    <w:locked/>
    <w:rsid w:val="002D5EC9"/>
    <w:pPr>
      <w:numPr>
        <w:ilvl w:val="4"/>
      </w:numPr>
      <w:outlineLvl w:val="4"/>
    </w:pPr>
    <w:rPr>
      <w:i w:val="0"/>
      <w:sz w:val="20"/>
    </w:rPr>
  </w:style>
  <w:style w:type="paragraph" w:styleId="Heading6">
    <w:name w:val="heading 6"/>
    <w:basedOn w:val="Heading5"/>
    <w:next w:val="Normal"/>
    <w:link w:val="Heading6Char"/>
    <w:uiPriority w:val="99"/>
    <w:semiHidden/>
    <w:locked/>
    <w:rsid w:val="002D5EC9"/>
    <w:pPr>
      <w:numPr>
        <w:ilvl w:val="5"/>
      </w:numPr>
      <w:outlineLvl w:val="5"/>
    </w:pPr>
    <w:rPr>
      <w:i/>
    </w:rPr>
  </w:style>
  <w:style w:type="paragraph" w:styleId="Heading7">
    <w:name w:val="heading 7"/>
    <w:basedOn w:val="Heading6"/>
    <w:next w:val="Normal"/>
    <w:link w:val="Heading7Char"/>
    <w:uiPriority w:val="99"/>
    <w:semiHidden/>
    <w:locked/>
    <w:rsid w:val="002D5EC9"/>
    <w:pPr>
      <w:numPr>
        <w:ilvl w:val="6"/>
      </w:numPr>
      <w:outlineLvl w:val="6"/>
    </w:pPr>
    <w:rPr>
      <w:i w:val="0"/>
      <w:iCs w:val="0"/>
    </w:rPr>
  </w:style>
  <w:style w:type="paragraph" w:styleId="Heading8">
    <w:name w:val="heading 8"/>
    <w:basedOn w:val="Heading7"/>
    <w:next w:val="Normal"/>
    <w:link w:val="Heading8Char"/>
    <w:uiPriority w:val="99"/>
    <w:semiHidden/>
    <w:locked/>
    <w:rsid w:val="002D5EC9"/>
    <w:pPr>
      <w:numPr>
        <w:ilvl w:val="7"/>
      </w:numPr>
      <w:outlineLvl w:val="7"/>
    </w:pPr>
    <w:rPr>
      <w:b w:val="0"/>
      <w:szCs w:val="21"/>
    </w:rPr>
  </w:style>
  <w:style w:type="paragraph" w:styleId="Heading9">
    <w:name w:val="heading 9"/>
    <w:basedOn w:val="Heading8"/>
    <w:next w:val="Normal"/>
    <w:link w:val="Heading9Char"/>
    <w:uiPriority w:val="99"/>
    <w:semiHidden/>
    <w:locked/>
    <w:rsid w:val="002D5EC9"/>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locked/>
    <w:rsid w:val="00547C1A"/>
    <w:pPr>
      <w:tabs>
        <w:tab w:val="center" w:pos="4513"/>
        <w:tab w:val="right" w:pos="9026"/>
      </w:tabs>
    </w:pPr>
  </w:style>
  <w:style w:type="character" w:customStyle="1" w:styleId="HeaderChar">
    <w:name w:val="Header Char"/>
    <w:basedOn w:val="DefaultParagraphFont"/>
    <w:link w:val="Header"/>
    <w:uiPriority w:val="99"/>
    <w:semiHidden/>
    <w:rsid w:val="00A7504E"/>
    <w:rPr>
      <w:rFonts w:ascii="Calibri" w:hAnsi="Calibri"/>
    </w:rPr>
  </w:style>
  <w:style w:type="paragraph" w:styleId="Footer">
    <w:name w:val="footer"/>
    <w:basedOn w:val="Normal"/>
    <w:link w:val="FooterChar"/>
    <w:uiPriority w:val="99"/>
    <w:locked/>
    <w:rsid w:val="0060601B"/>
    <w:pPr>
      <w:pBdr>
        <w:top w:val="single" w:sz="8" w:space="6" w:color="7F7F7F" w:themeColor="text1" w:themeTint="80"/>
      </w:pBdr>
      <w:tabs>
        <w:tab w:val="right" w:pos="9072"/>
      </w:tabs>
      <w:spacing w:after="60"/>
    </w:pPr>
    <w:rPr>
      <w:rFonts w:ascii="Arial" w:hAnsi="Arial"/>
      <w:color w:val="7F7F7F"/>
      <w:sz w:val="16"/>
    </w:rPr>
  </w:style>
  <w:style w:type="character" w:customStyle="1" w:styleId="FooterChar">
    <w:name w:val="Footer Char"/>
    <w:basedOn w:val="DefaultParagraphFont"/>
    <w:link w:val="Footer"/>
    <w:uiPriority w:val="99"/>
    <w:rsid w:val="00A7504E"/>
    <w:rPr>
      <w:rFonts w:ascii="Arial" w:hAnsi="Arial"/>
      <w:color w:val="7F7F7F"/>
      <w:sz w:val="16"/>
    </w:rPr>
  </w:style>
  <w:style w:type="table" w:styleId="TableGrid">
    <w:name w:val="Table Grid"/>
    <w:basedOn w:val="TableNormal"/>
    <w:uiPriority w:val="39"/>
    <w:locked/>
    <w:rsid w:val="003E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Date"/>
    <w:link w:val="TitleChar"/>
    <w:uiPriority w:val="99"/>
    <w:semiHidden/>
    <w:qFormat/>
    <w:locked/>
    <w:rsid w:val="00FB3068"/>
    <w:pPr>
      <w:spacing w:line="760" w:lineRule="atLeast"/>
      <w:contextualSpacing/>
    </w:pPr>
    <w:rPr>
      <w:rFonts w:eastAsiaTheme="majorEastAsia" w:cstheme="majorBidi"/>
      <w:b/>
      <w:color w:val="000099"/>
      <w:spacing w:val="-10"/>
      <w:kern w:val="28"/>
      <w:sz w:val="80"/>
      <w:szCs w:val="56"/>
    </w:rPr>
  </w:style>
  <w:style w:type="character" w:customStyle="1" w:styleId="TitleChar">
    <w:name w:val="Title Char"/>
    <w:basedOn w:val="DefaultParagraphFont"/>
    <w:link w:val="Title"/>
    <w:uiPriority w:val="99"/>
    <w:semiHidden/>
    <w:rsid w:val="00A7504E"/>
    <w:rPr>
      <w:rFonts w:ascii="Calibri" w:eastAsiaTheme="majorEastAsia" w:hAnsi="Calibri" w:cstheme="majorBidi"/>
      <w:b/>
      <w:color w:val="000099"/>
      <w:spacing w:val="-10"/>
      <w:kern w:val="28"/>
      <w:sz w:val="80"/>
      <w:szCs w:val="56"/>
    </w:rPr>
  </w:style>
  <w:style w:type="paragraph" w:styleId="Subtitle">
    <w:name w:val="Subtitle"/>
    <w:basedOn w:val="Normal"/>
    <w:next w:val="Title"/>
    <w:link w:val="SubtitleChar"/>
    <w:uiPriority w:val="99"/>
    <w:semiHidden/>
    <w:qFormat/>
    <w:locked/>
    <w:rsid w:val="00FB3068"/>
    <w:pPr>
      <w:numPr>
        <w:ilvl w:val="1"/>
      </w:numPr>
    </w:pPr>
    <w:rPr>
      <w:rFonts w:eastAsiaTheme="minorEastAsia"/>
      <w:color w:val="7F7F7F"/>
      <w:spacing w:val="15"/>
      <w:sz w:val="36"/>
    </w:rPr>
  </w:style>
  <w:style w:type="character" w:customStyle="1" w:styleId="SubtitleChar">
    <w:name w:val="Subtitle Char"/>
    <w:basedOn w:val="DefaultParagraphFont"/>
    <w:link w:val="Subtitle"/>
    <w:uiPriority w:val="99"/>
    <w:semiHidden/>
    <w:rsid w:val="00A7504E"/>
    <w:rPr>
      <w:rFonts w:ascii="Calibri" w:eastAsiaTheme="minorEastAsia" w:hAnsi="Calibri"/>
      <w:color w:val="7F7F7F"/>
      <w:spacing w:val="15"/>
      <w:sz w:val="36"/>
    </w:rPr>
  </w:style>
  <w:style w:type="character" w:styleId="PageNumber">
    <w:name w:val="page number"/>
    <w:basedOn w:val="DefaultParagraphFont"/>
    <w:uiPriority w:val="99"/>
    <w:locked/>
    <w:rsid w:val="00FB3068"/>
    <w:rPr>
      <w:rFonts w:ascii="Calibri" w:hAnsi="Calibri"/>
      <w:b/>
      <w:noProof w:val="0"/>
      <w:color w:val="4D4DB8" w:themeColor="accent1"/>
      <w:sz w:val="20"/>
      <w:lang w:val="en-AU"/>
    </w:rPr>
  </w:style>
  <w:style w:type="character" w:styleId="Hyperlink">
    <w:name w:val="Hyperlink"/>
    <w:basedOn w:val="SmartHyperlink"/>
    <w:uiPriority w:val="99"/>
    <w:semiHidden/>
    <w:qFormat/>
    <w:locked/>
    <w:rsid w:val="00B72250"/>
    <w:rPr>
      <w:rFonts w:ascii="Calibri" w:hAnsi="Calibri"/>
      <w:i/>
      <w:color w:val="0000FF"/>
      <w:sz w:val="22"/>
      <w:u w:val="single"/>
    </w:rPr>
  </w:style>
  <w:style w:type="paragraph" w:styleId="FootnoteText">
    <w:name w:val="footnote text"/>
    <w:basedOn w:val="Normal"/>
    <w:link w:val="FootnoteTextChar"/>
    <w:uiPriority w:val="99"/>
    <w:semiHidden/>
    <w:qFormat/>
    <w:locked/>
    <w:rsid w:val="0033455F"/>
    <w:pPr>
      <w:spacing w:after="60"/>
    </w:pPr>
    <w:rPr>
      <w:rFonts w:eastAsia="Times New Roman" w:cs="Arial"/>
      <w:sz w:val="18"/>
      <w:szCs w:val="18"/>
    </w:rPr>
  </w:style>
  <w:style w:type="character" w:customStyle="1" w:styleId="FootnoteTextChar">
    <w:name w:val="Footnote Text Char"/>
    <w:basedOn w:val="DefaultParagraphFont"/>
    <w:link w:val="FootnoteText"/>
    <w:uiPriority w:val="99"/>
    <w:semiHidden/>
    <w:rsid w:val="00A7504E"/>
    <w:rPr>
      <w:rFonts w:ascii="Calibri" w:eastAsia="Times New Roman" w:hAnsi="Calibri" w:cs="Arial"/>
      <w:sz w:val="18"/>
      <w:szCs w:val="18"/>
    </w:rPr>
  </w:style>
  <w:style w:type="paragraph" w:styleId="Date">
    <w:name w:val="Date"/>
    <w:basedOn w:val="Subtitle"/>
    <w:next w:val="Normal"/>
    <w:link w:val="DateChar"/>
    <w:uiPriority w:val="99"/>
    <w:semiHidden/>
    <w:locked/>
    <w:rsid w:val="00FB3068"/>
    <w:rPr>
      <w:caps/>
      <w:sz w:val="24"/>
      <w:szCs w:val="24"/>
    </w:rPr>
  </w:style>
  <w:style w:type="character" w:customStyle="1" w:styleId="DateChar">
    <w:name w:val="Date Char"/>
    <w:basedOn w:val="DefaultParagraphFont"/>
    <w:link w:val="Date"/>
    <w:uiPriority w:val="99"/>
    <w:semiHidden/>
    <w:rsid w:val="00A7504E"/>
    <w:rPr>
      <w:rFonts w:ascii="Calibri" w:eastAsiaTheme="minorEastAsia" w:hAnsi="Calibri"/>
      <w:caps/>
      <w:color w:val="7F7F7F"/>
      <w:spacing w:val="15"/>
      <w:sz w:val="24"/>
      <w:szCs w:val="24"/>
    </w:rPr>
  </w:style>
  <w:style w:type="paragraph" w:customStyle="1" w:styleId="Disclaimer">
    <w:name w:val="Disclaimer"/>
    <w:basedOn w:val="FootnoteText"/>
    <w:uiPriority w:val="99"/>
    <w:semiHidden/>
    <w:locked/>
    <w:rsid w:val="00FB3068"/>
    <w:pPr>
      <w:spacing w:after="120"/>
    </w:pPr>
  </w:style>
  <w:style w:type="paragraph" w:customStyle="1" w:styleId="Address">
    <w:name w:val="Address"/>
    <w:basedOn w:val="Normal"/>
    <w:uiPriority w:val="99"/>
    <w:semiHidden/>
    <w:locked/>
    <w:rsid w:val="00FB3068"/>
    <w:rPr>
      <w:color w:val="7F7F7F"/>
      <w:sz w:val="18"/>
    </w:rPr>
  </w:style>
  <w:style w:type="character" w:customStyle="1" w:styleId="Heading1Char">
    <w:name w:val="Heading 1 Char"/>
    <w:basedOn w:val="DefaultParagraphFont"/>
    <w:link w:val="Heading1"/>
    <w:uiPriority w:val="1"/>
    <w:rsid w:val="00E430B6"/>
    <w:rPr>
      <w:rFonts w:ascii="Calibri" w:eastAsiaTheme="majorEastAsia" w:hAnsi="Calibri" w:cstheme="majorBidi"/>
      <w:b/>
      <w:color w:val="000099"/>
      <w:sz w:val="40"/>
      <w:szCs w:val="32"/>
    </w:rPr>
  </w:style>
  <w:style w:type="character" w:customStyle="1" w:styleId="Heading2Char">
    <w:name w:val="Heading 2 Char"/>
    <w:basedOn w:val="DefaultParagraphFont"/>
    <w:link w:val="Heading2"/>
    <w:uiPriority w:val="3"/>
    <w:rsid w:val="00E430B6"/>
    <w:rPr>
      <w:rFonts w:ascii="Calibri" w:eastAsiaTheme="majorEastAsia" w:hAnsi="Calibri" w:cstheme="majorBidi"/>
      <w:b/>
      <w:color w:val="4D4DB8"/>
      <w:sz w:val="28"/>
      <w:szCs w:val="26"/>
    </w:rPr>
  </w:style>
  <w:style w:type="paragraph" w:styleId="List">
    <w:name w:val="List"/>
    <w:basedOn w:val="Normal"/>
    <w:uiPriority w:val="99"/>
    <w:semiHidden/>
    <w:locked/>
    <w:rsid w:val="00580908"/>
    <w:pPr>
      <w:ind w:left="283" w:hanging="283"/>
      <w:contextualSpacing/>
    </w:pPr>
  </w:style>
  <w:style w:type="paragraph" w:styleId="ListNumber">
    <w:name w:val="List Number"/>
    <w:basedOn w:val="Normal"/>
    <w:uiPriority w:val="99"/>
    <w:semiHidden/>
    <w:locked/>
    <w:rsid w:val="00D67F6C"/>
    <w:pPr>
      <w:numPr>
        <w:numId w:val="2"/>
      </w:numPr>
      <w:ind w:left="357" w:hanging="357"/>
    </w:pPr>
  </w:style>
  <w:style w:type="character" w:customStyle="1" w:styleId="Heading3Char">
    <w:name w:val="Heading 3 Char"/>
    <w:basedOn w:val="DefaultParagraphFont"/>
    <w:link w:val="Heading3"/>
    <w:uiPriority w:val="5"/>
    <w:rsid w:val="00E430B6"/>
    <w:rPr>
      <w:rFonts w:ascii="Calibri" w:eastAsiaTheme="majorEastAsia" w:hAnsi="Calibri" w:cstheme="majorBidi"/>
      <w:b/>
      <w:color w:val="4D4DB8"/>
      <w:sz w:val="24"/>
      <w:szCs w:val="26"/>
    </w:rPr>
  </w:style>
  <w:style w:type="paragraph" w:styleId="ListBullet">
    <w:name w:val="List Bullet"/>
    <w:basedOn w:val="Bullet1"/>
    <w:uiPriority w:val="99"/>
    <w:semiHidden/>
    <w:locked/>
    <w:rsid w:val="006476D3"/>
    <w:rPr>
      <w:noProof/>
    </w:rPr>
  </w:style>
  <w:style w:type="paragraph" w:styleId="ListBullet2">
    <w:name w:val="List Bullet 2"/>
    <w:basedOn w:val="Bullet2"/>
    <w:uiPriority w:val="99"/>
    <w:semiHidden/>
    <w:locked/>
    <w:rsid w:val="006476D3"/>
    <w:rPr>
      <w:noProof/>
    </w:rPr>
  </w:style>
  <w:style w:type="paragraph" w:customStyle="1" w:styleId="BreakoutBoxText">
    <w:name w:val="Breakout Box Text"/>
    <w:basedOn w:val="Normal"/>
    <w:uiPriority w:val="99"/>
    <w:semiHidden/>
    <w:qFormat/>
    <w:locked/>
    <w:rsid w:val="00FB3068"/>
    <w:pPr>
      <w:spacing w:line="300" w:lineRule="atLeast"/>
    </w:pPr>
    <w:rPr>
      <w:color w:val="808080" w:themeColor="background1" w:themeShade="80"/>
    </w:rPr>
  </w:style>
  <w:style w:type="paragraph" w:customStyle="1" w:styleId="BreakoutBoxHeading">
    <w:name w:val="Breakout Box Heading"/>
    <w:basedOn w:val="Normal"/>
    <w:uiPriority w:val="99"/>
    <w:locked/>
    <w:rsid w:val="00FB3068"/>
    <w:rPr>
      <w:rFonts w:eastAsiaTheme="majorEastAsia" w:cstheme="majorBidi"/>
      <w:caps/>
      <w:color w:val="191919" w:themeColor="text1" w:themeTint="E6"/>
      <w:sz w:val="28"/>
      <w:szCs w:val="36"/>
    </w:rPr>
  </w:style>
  <w:style w:type="paragraph" w:styleId="Caption">
    <w:name w:val="caption"/>
    <w:basedOn w:val="Normal"/>
    <w:next w:val="BodyText"/>
    <w:uiPriority w:val="99"/>
    <w:semiHidden/>
    <w:locked/>
    <w:rsid w:val="008B21A5"/>
    <w:pPr>
      <w:spacing w:before="240"/>
      <w:ind w:left="1077" w:hanging="1077"/>
    </w:pPr>
    <w:rPr>
      <w:i/>
      <w:iCs/>
      <w:color w:val="4D4DB8"/>
      <w:szCs w:val="18"/>
    </w:rPr>
  </w:style>
  <w:style w:type="paragraph" w:customStyle="1" w:styleId="Notes">
    <w:name w:val="Notes"/>
    <w:basedOn w:val="Caption"/>
    <w:uiPriority w:val="13"/>
    <w:qFormat/>
    <w:rsid w:val="00D57743"/>
    <w:pPr>
      <w:spacing w:before="0"/>
    </w:pPr>
    <w:rPr>
      <w:sz w:val="20"/>
    </w:rPr>
  </w:style>
  <w:style w:type="character" w:styleId="FootnoteReference">
    <w:name w:val="footnote reference"/>
    <w:basedOn w:val="DefaultParagraphFont"/>
    <w:uiPriority w:val="99"/>
    <w:semiHidden/>
    <w:locked/>
    <w:rsid w:val="00493FA0"/>
    <w:rPr>
      <w:vertAlign w:val="superscript"/>
    </w:rPr>
  </w:style>
  <w:style w:type="paragraph" w:styleId="TOAHeading">
    <w:name w:val="toa heading"/>
    <w:basedOn w:val="Heading1"/>
    <w:next w:val="Normal"/>
    <w:uiPriority w:val="99"/>
    <w:semiHidden/>
    <w:locked/>
    <w:rsid w:val="00FB3068"/>
    <w:pPr>
      <w:numPr>
        <w:numId w:val="0"/>
      </w:numPr>
    </w:pPr>
  </w:style>
  <w:style w:type="paragraph" w:styleId="TOC1">
    <w:name w:val="toc 1"/>
    <w:basedOn w:val="Normal"/>
    <w:uiPriority w:val="39"/>
    <w:locked/>
    <w:rsid w:val="006D29AB"/>
    <w:pPr>
      <w:tabs>
        <w:tab w:val="left" w:pos="482"/>
        <w:tab w:val="right" w:leader="dot" w:pos="9072"/>
      </w:tabs>
      <w:spacing w:before="240"/>
    </w:pPr>
    <w:rPr>
      <w:b/>
      <w:color w:val="000099"/>
    </w:rPr>
  </w:style>
  <w:style w:type="paragraph" w:styleId="TOC2">
    <w:name w:val="toc 2"/>
    <w:basedOn w:val="TOC1"/>
    <w:uiPriority w:val="39"/>
    <w:locked/>
    <w:rsid w:val="00C66BAD"/>
    <w:pPr>
      <w:tabs>
        <w:tab w:val="clear" w:pos="482"/>
      </w:tabs>
      <w:spacing w:before="0"/>
      <w:ind w:left="238"/>
    </w:pPr>
    <w:rPr>
      <w:b w:val="0"/>
      <w:color w:val="4D4DB8"/>
    </w:rPr>
  </w:style>
  <w:style w:type="paragraph" w:styleId="TOC3">
    <w:name w:val="toc 3"/>
    <w:basedOn w:val="TOC2"/>
    <w:uiPriority w:val="99"/>
    <w:semiHidden/>
    <w:qFormat/>
    <w:locked/>
    <w:rsid w:val="009A4DB5"/>
  </w:style>
  <w:style w:type="paragraph" w:styleId="TableofFigures">
    <w:name w:val="table of figures"/>
    <w:basedOn w:val="TOC2"/>
    <w:uiPriority w:val="99"/>
    <w:semiHidden/>
    <w:locked/>
    <w:rsid w:val="00C31AA9"/>
    <w:pPr>
      <w:ind w:left="1276" w:hanging="1038"/>
    </w:pPr>
    <w:rPr>
      <w:noProof/>
    </w:rPr>
  </w:style>
  <w:style w:type="paragraph" w:styleId="BalloonText">
    <w:name w:val="Balloon Text"/>
    <w:basedOn w:val="Normal"/>
    <w:link w:val="BalloonTextChar"/>
    <w:uiPriority w:val="99"/>
    <w:semiHidden/>
    <w:locked/>
    <w:rsid w:val="00C875EE"/>
    <w:rPr>
      <w:rFonts w:ascii="Tahoma" w:hAnsi="Tahoma" w:cs="Tahoma"/>
      <w:sz w:val="16"/>
      <w:szCs w:val="16"/>
    </w:rPr>
  </w:style>
  <w:style w:type="character" w:customStyle="1" w:styleId="BalloonTextChar">
    <w:name w:val="Balloon Text Char"/>
    <w:basedOn w:val="DefaultParagraphFont"/>
    <w:link w:val="BalloonText"/>
    <w:uiPriority w:val="99"/>
    <w:semiHidden/>
    <w:rsid w:val="00A7504E"/>
    <w:rPr>
      <w:rFonts w:ascii="Tahoma" w:hAnsi="Tahoma" w:cs="Tahoma"/>
      <w:sz w:val="16"/>
      <w:szCs w:val="16"/>
    </w:rPr>
  </w:style>
  <w:style w:type="paragraph" w:styleId="TOCHeading">
    <w:name w:val="TOC Heading"/>
    <w:basedOn w:val="TOAHeading"/>
    <w:next w:val="Normal"/>
    <w:uiPriority w:val="99"/>
    <w:semiHidden/>
    <w:qFormat/>
    <w:locked/>
    <w:rsid w:val="00FB3068"/>
  </w:style>
  <w:style w:type="paragraph" w:customStyle="1" w:styleId="Bullet1">
    <w:name w:val="Bullet 1"/>
    <w:basedOn w:val="ListParagraph"/>
    <w:link w:val="Bullet1Char"/>
    <w:uiPriority w:val="7"/>
    <w:qFormat/>
    <w:rsid w:val="00BF1A01"/>
    <w:pPr>
      <w:numPr>
        <w:numId w:val="12"/>
      </w:numPr>
      <w:spacing w:before="60"/>
      <w:contextualSpacing w:val="0"/>
    </w:pPr>
    <w:rPr>
      <w:rFonts w:eastAsia="Times New Roman" w:cstheme="minorHAnsi"/>
    </w:rPr>
  </w:style>
  <w:style w:type="character" w:customStyle="1" w:styleId="Bullet1Char">
    <w:name w:val="Bullet 1 Char"/>
    <w:basedOn w:val="DefaultParagraphFont"/>
    <w:link w:val="Bullet1"/>
    <w:uiPriority w:val="7"/>
    <w:rsid w:val="007A43BA"/>
    <w:rPr>
      <w:rFonts w:ascii="Calibri" w:eastAsia="Times New Roman" w:hAnsi="Calibri" w:cstheme="minorHAnsi"/>
    </w:rPr>
  </w:style>
  <w:style w:type="paragraph" w:styleId="ListParagraph">
    <w:name w:val="List Paragraph"/>
    <w:basedOn w:val="Normal"/>
    <w:uiPriority w:val="99"/>
    <w:semiHidden/>
    <w:locked/>
    <w:rsid w:val="006476D3"/>
    <w:pPr>
      <w:ind w:left="720"/>
      <w:contextualSpacing/>
    </w:pPr>
  </w:style>
  <w:style w:type="paragraph" w:customStyle="1" w:styleId="Bullet2">
    <w:name w:val="Bullet 2"/>
    <w:basedOn w:val="Bullet1"/>
    <w:link w:val="Bullet2Char1"/>
    <w:uiPriority w:val="8"/>
    <w:qFormat/>
    <w:rsid w:val="00336883"/>
    <w:pPr>
      <w:numPr>
        <w:ilvl w:val="1"/>
      </w:numPr>
      <w:spacing w:before="0"/>
    </w:pPr>
  </w:style>
  <w:style w:type="paragraph" w:customStyle="1" w:styleId="Bullet3">
    <w:name w:val="Bullet 3"/>
    <w:basedOn w:val="Bullet2"/>
    <w:link w:val="Bullet3Char"/>
    <w:uiPriority w:val="9"/>
    <w:qFormat/>
    <w:rsid w:val="00B11172"/>
    <w:pPr>
      <w:numPr>
        <w:ilvl w:val="2"/>
      </w:numPr>
      <w:tabs>
        <w:tab w:val="num" w:pos="360"/>
      </w:tabs>
    </w:pPr>
  </w:style>
  <w:style w:type="character" w:customStyle="1" w:styleId="Bullet2Char1">
    <w:name w:val="Bullet 2 Char1"/>
    <w:basedOn w:val="DefaultParagraphFont"/>
    <w:link w:val="Bullet2"/>
    <w:uiPriority w:val="8"/>
    <w:rsid w:val="007A43BA"/>
    <w:rPr>
      <w:rFonts w:ascii="Calibri" w:eastAsia="Times New Roman" w:hAnsi="Calibri" w:cstheme="minorHAnsi"/>
    </w:rPr>
  </w:style>
  <w:style w:type="character" w:customStyle="1" w:styleId="Bullet3Char">
    <w:name w:val="Bullet 3 Char"/>
    <w:basedOn w:val="Bullet2Char1"/>
    <w:link w:val="Bullet3"/>
    <w:uiPriority w:val="9"/>
    <w:rsid w:val="00B11172"/>
    <w:rPr>
      <w:rFonts w:ascii="Calibri" w:eastAsia="Times New Roman" w:hAnsi="Calibri" w:cstheme="minorHAnsi"/>
    </w:rPr>
  </w:style>
  <w:style w:type="paragraph" w:styleId="ListBullet3">
    <w:name w:val="List Bullet 3"/>
    <w:basedOn w:val="Bullet3"/>
    <w:uiPriority w:val="99"/>
    <w:semiHidden/>
    <w:locked/>
    <w:rsid w:val="006476D3"/>
    <w:pPr>
      <w:tabs>
        <w:tab w:val="clear" w:pos="360"/>
      </w:tabs>
    </w:pPr>
    <w:rPr>
      <w:noProof/>
    </w:rPr>
  </w:style>
  <w:style w:type="paragraph" w:customStyle="1" w:styleId="Number1">
    <w:name w:val="Number 1"/>
    <w:basedOn w:val="ListParagraph"/>
    <w:link w:val="Number1Char"/>
    <w:uiPriority w:val="10"/>
    <w:qFormat/>
    <w:rsid w:val="002A7D62"/>
    <w:pPr>
      <w:numPr>
        <w:numId w:val="14"/>
      </w:numPr>
      <w:spacing w:before="60"/>
      <w:contextualSpacing w:val="0"/>
    </w:pPr>
    <w:rPr>
      <w:rFonts w:eastAsia="Times New Roman" w:cstheme="minorHAnsi"/>
    </w:rPr>
  </w:style>
  <w:style w:type="paragraph" w:customStyle="1" w:styleId="Number2">
    <w:name w:val="Number 2"/>
    <w:basedOn w:val="Number1"/>
    <w:uiPriority w:val="11"/>
    <w:qFormat/>
    <w:rsid w:val="002A7D62"/>
    <w:pPr>
      <w:numPr>
        <w:ilvl w:val="1"/>
      </w:numPr>
      <w:spacing w:before="0"/>
    </w:pPr>
  </w:style>
  <w:style w:type="character" w:customStyle="1" w:styleId="Number1Char">
    <w:name w:val="Number 1 Char"/>
    <w:basedOn w:val="DefaultParagraphFont"/>
    <w:link w:val="Number1"/>
    <w:uiPriority w:val="10"/>
    <w:rsid w:val="002A7D62"/>
    <w:rPr>
      <w:rFonts w:ascii="Calibri" w:eastAsia="Times New Roman" w:hAnsi="Calibri" w:cstheme="minorHAnsi"/>
    </w:rPr>
  </w:style>
  <w:style w:type="paragraph" w:customStyle="1" w:styleId="Number3">
    <w:name w:val="Number 3"/>
    <w:basedOn w:val="Number2"/>
    <w:uiPriority w:val="12"/>
    <w:qFormat/>
    <w:rsid w:val="005172DB"/>
    <w:pPr>
      <w:numPr>
        <w:ilvl w:val="2"/>
      </w:numPr>
      <w:ind w:hanging="272"/>
    </w:pPr>
  </w:style>
  <w:style w:type="paragraph" w:customStyle="1" w:styleId="ClientName">
    <w:name w:val="Client Name"/>
    <w:basedOn w:val="Normal"/>
    <w:uiPriority w:val="99"/>
    <w:semiHidden/>
    <w:locked/>
    <w:rsid w:val="00FB3068"/>
    <w:rPr>
      <w:rFonts w:cstheme="minorHAnsi"/>
      <w:sz w:val="36"/>
      <w:szCs w:val="36"/>
    </w:rPr>
  </w:style>
  <w:style w:type="character" w:customStyle="1" w:styleId="Heading4Char">
    <w:name w:val="Heading 4 Char"/>
    <w:basedOn w:val="DefaultParagraphFont"/>
    <w:link w:val="Heading4"/>
    <w:uiPriority w:val="99"/>
    <w:semiHidden/>
    <w:rsid w:val="00A7504E"/>
    <w:rPr>
      <w:rFonts w:ascii="Calibri" w:eastAsiaTheme="majorEastAsia" w:hAnsi="Calibri" w:cstheme="majorBidi"/>
      <w:b/>
      <w:i/>
      <w:iCs/>
      <w:color w:val="4D4DB8"/>
      <w:sz w:val="24"/>
      <w:szCs w:val="26"/>
    </w:rPr>
  </w:style>
  <w:style w:type="character" w:customStyle="1" w:styleId="Heading5Char">
    <w:name w:val="Heading 5 Char"/>
    <w:basedOn w:val="DefaultParagraphFont"/>
    <w:link w:val="Heading5"/>
    <w:uiPriority w:val="99"/>
    <w:semiHidden/>
    <w:rsid w:val="00A7504E"/>
    <w:rPr>
      <w:rFonts w:ascii="Calibri" w:eastAsiaTheme="majorEastAsia" w:hAnsi="Calibri" w:cstheme="majorBidi"/>
      <w:b/>
      <w:iCs/>
      <w:color w:val="4D4DB8"/>
      <w:sz w:val="20"/>
      <w:szCs w:val="26"/>
    </w:rPr>
  </w:style>
  <w:style w:type="character" w:customStyle="1" w:styleId="Heading6Char">
    <w:name w:val="Heading 6 Char"/>
    <w:basedOn w:val="DefaultParagraphFont"/>
    <w:link w:val="Heading6"/>
    <w:uiPriority w:val="99"/>
    <w:semiHidden/>
    <w:rsid w:val="00A7504E"/>
    <w:rPr>
      <w:rFonts w:ascii="Calibri" w:eastAsiaTheme="majorEastAsia" w:hAnsi="Calibri" w:cstheme="majorBidi"/>
      <w:b/>
      <w:i/>
      <w:iCs/>
      <w:color w:val="4D4DB8"/>
      <w:sz w:val="20"/>
      <w:szCs w:val="26"/>
    </w:rPr>
  </w:style>
  <w:style w:type="character" w:customStyle="1" w:styleId="Heading7Char">
    <w:name w:val="Heading 7 Char"/>
    <w:basedOn w:val="DefaultParagraphFont"/>
    <w:link w:val="Heading7"/>
    <w:uiPriority w:val="99"/>
    <w:semiHidden/>
    <w:rsid w:val="00A7504E"/>
    <w:rPr>
      <w:rFonts w:ascii="Calibri" w:eastAsiaTheme="majorEastAsia" w:hAnsi="Calibri" w:cstheme="majorBidi"/>
      <w:b/>
      <w:color w:val="4D4DB8"/>
      <w:sz w:val="20"/>
      <w:szCs w:val="26"/>
    </w:rPr>
  </w:style>
  <w:style w:type="character" w:customStyle="1" w:styleId="Heading8Char">
    <w:name w:val="Heading 8 Char"/>
    <w:basedOn w:val="DefaultParagraphFont"/>
    <w:link w:val="Heading8"/>
    <w:uiPriority w:val="99"/>
    <w:semiHidden/>
    <w:rsid w:val="00A7504E"/>
    <w:rPr>
      <w:rFonts w:ascii="Calibri" w:eastAsiaTheme="majorEastAsia" w:hAnsi="Calibri" w:cstheme="majorBidi"/>
      <w:color w:val="4D4DB8"/>
      <w:sz w:val="20"/>
      <w:szCs w:val="21"/>
    </w:rPr>
  </w:style>
  <w:style w:type="character" w:customStyle="1" w:styleId="Heading9Char">
    <w:name w:val="Heading 9 Char"/>
    <w:basedOn w:val="DefaultParagraphFont"/>
    <w:link w:val="Heading9"/>
    <w:uiPriority w:val="99"/>
    <w:semiHidden/>
    <w:rsid w:val="00A7504E"/>
    <w:rPr>
      <w:rFonts w:ascii="Calibri" w:eastAsiaTheme="majorEastAsia" w:hAnsi="Calibri" w:cstheme="majorBidi"/>
      <w:iCs/>
      <w:color w:val="4D4DB8"/>
      <w:sz w:val="20"/>
      <w:szCs w:val="21"/>
    </w:rPr>
  </w:style>
  <w:style w:type="paragraph" w:customStyle="1" w:styleId="Heading1nonumber">
    <w:name w:val="Heading 1 no number"/>
    <w:basedOn w:val="Heading1"/>
    <w:next w:val="BodyText"/>
    <w:link w:val="Heading1nonumberChar"/>
    <w:uiPriority w:val="2"/>
    <w:qFormat/>
    <w:rsid w:val="00FB3068"/>
    <w:pPr>
      <w:numPr>
        <w:numId w:val="0"/>
      </w:numPr>
    </w:pPr>
  </w:style>
  <w:style w:type="paragraph" w:customStyle="1" w:styleId="Heading2nonumber">
    <w:name w:val="Heading 2 no number"/>
    <w:basedOn w:val="Heading2"/>
    <w:next w:val="BodyText"/>
    <w:uiPriority w:val="4"/>
    <w:qFormat/>
    <w:rsid w:val="00C66BAD"/>
    <w:pPr>
      <w:numPr>
        <w:ilvl w:val="0"/>
        <w:numId w:val="0"/>
      </w:numPr>
    </w:pPr>
  </w:style>
  <w:style w:type="paragraph" w:customStyle="1" w:styleId="Appendix">
    <w:name w:val="Appendix"/>
    <w:basedOn w:val="Heading1"/>
    <w:uiPriority w:val="99"/>
    <w:semiHidden/>
    <w:qFormat/>
    <w:locked/>
    <w:rsid w:val="0033455F"/>
    <w:pPr>
      <w:numPr>
        <w:numId w:val="18"/>
      </w:numPr>
      <w:spacing w:after="0"/>
    </w:pPr>
  </w:style>
  <w:style w:type="character" w:styleId="PlaceholderText">
    <w:name w:val="Placeholder Text"/>
    <w:basedOn w:val="DefaultParagraphFont"/>
    <w:uiPriority w:val="99"/>
    <w:semiHidden/>
    <w:locked/>
    <w:rsid w:val="00720C59"/>
    <w:rPr>
      <w:color w:val="808080"/>
    </w:rPr>
  </w:style>
  <w:style w:type="paragraph" w:customStyle="1" w:styleId="TableHeading">
    <w:name w:val="Table Heading"/>
    <w:basedOn w:val="Normal"/>
    <w:uiPriority w:val="99"/>
    <w:semiHidden/>
    <w:qFormat/>
    <w:locked/>
    <w:rsid w:val="00401DFB"/>
    <w:pPr>
      <w:framePr w:hSpace="181" w:wrap="around" w:vAnchor="text" w:hAnchor="text" w:y="1"/>
      <w:suppressOverlap/>
    </w:pPr>
    <w:rPr>
      <w:rFonts w:cs="Calibri"/>
      <w:b/>
      <w:color w:val="FFFFFF" w:themeColor="background1"/>
      <w:sz w:val="20"/>
    </w:rPr>
  </w:style>
  <w:style w:type="paragraph" w:customStyle="1" w:styleId="AppendixHeading1">
    <w:name w:val="Appendix Heading 1"/>
    <w:basedOn w:val="Heading1nonumber"/>
    <w:next w:val="Normal"/>
    <w:uiPriority w:val="99"/>
    <w:semiHidden/>
    <w:locked/>
    <w:rsid w:val="009E6EAE"/>
  </w:style>
  <w:style w:type="paragraph" w:styleId="BodyText">
    <w:name w:val="Body Text"/>
    <w:basedOn w:val="Normal"/>
    <w:link w:val="BodyTextChar"/>
    <w:qFormat/>
    <w:rsid w:val="001F17C8"/>
  </w:style>
  <w:style w:type="character" w:customStyle="1" w:styleId="BodyTextChar">
    <w:name w:val="Body Text Char"/>
    <w:basedOn w:val="DefaultParagraphFont"/>
    <w:link w:val="BodyText"/>
    <w:rsid w:val="007A43BA"/>
    <w:rPr>
      <w:rFonts w:ascii="Calibri" w:hAnsi="Calibri"/>
    </w:rPr>
  </w:style>
  <w:style w:type="paragraph" w:customStyle="1" w:styleId="AppendixHeading">
    <w:name w:val="Appendix Heading"/>
    <w:basedOn w:val="AppendixSubheadings"/>
    <w:link w:val="AppendixHeadingChar"/>
    <w:uiPriority w:val="99"/>
    <w:semiHidden/>
    <w:qFormat/>
    <w:locked/>
    <w:rsid w:val="00BA00B7"/>
    <w:pPr>
      <w:numPr>
        <w:numId w:val="22"/>
      </w:numPr>
    </w:pPr>
    <w:rPr>
      <w:szCs w:val="28"/>
    </w:rPr>
  </w:style>
  <w:style w:type="character" w:customStyle="1" w:styleId="Heading1nonumberChar">
    <w:name w:val="Heading 1 no number Char"/>
    <w:basedOn w:val="Heading1Char"/>
    <w:link w:val="Heading1nonumber"/>
    <w:uiPriority w:val="2"/>
    <w:rsid w:val="007A43BA"/>
    <w:rPr>
      <w:rFonts w:ascii="Calibri" w:eastAsiaTheme="majorEastAsia" w:hAnsi="Calibri" w:cstheme="majorBidi"/>
      <w:b/>
      <w:color w:val="000099"/>
      <w:sz w:val="40"/>
      <w:szCs w:val="32"/>
    </w:rPr>
  </w:style>
  <w:style w:type="character" w:customStyle="1" w:styleId="AppendixHeadingChar">
    <w:name w:val="Appendix Heading Char"/>
    <w:basedOn w:val="Heading1nonumberChar"/>
    <w:link w:val="AppendixHeading"/>
    <w:uiPriority w:val="99"/>
    <w:semiHidden/>
    <w:rsid w:val="00A7504E"/>
    <w:rPr>
      <w:rFonts w:ascii="Calibri" w:eastAsiaTheme="majorEastAsia" w:hAnsi="Calibri" w:cstheme="majorBidi"/>
      <w:b/>
      <w:color w:val="000099"/>
      <w:sz w:val="28"/>
      <w:szCs w:val="28"/>
    </w:rPr>
  </w:style>
  <w:style w:type="character" w:customStyle="1" w:styleId="Mention1">
    <w:name w:val="Mention1"/>
    <w:basedOn w:val="DefaultParagraphFont"/>
    <w:uiPriority w:val="99"/>
    <w:semiHidden/>
    <w:locked/>
    <w:rsid w:val="00D776E8"/>
    <w:rPr>
      <w:color w:val="2B579A"/>
      <w:shd w:val="clear" w:color="auto" w:fill="E6E6E6"/>
    </w:rPr>
  </w:style>
  <w:style w:type="paragraph" w:customStyle="1" w:styleId="AppendixSubheadings">
    <w:name w:val="Appendix Sub headings"/>
    <w:basedOn w:val="Normal"/>
    <w:next w:val="AppendixHeading1"/>
    <w:link w:val="AppendixSubheadingsChar"/>
    <w:uiPriority w:val="99"/>
    <w:semiHidden/>
    <w:locked/>
    <w:rsid w:val="009E6EAE"/>
    <w:rPr>
      <w:b/>
      <w:color w:val="000099"/>
      <w:sz w:val="28"/>
    </w:rPr>
  </w:style>
  <w:style w:type="character" w:customStyle="1" w:styleId="AppendixSubheadingsChar">
    <w:name w:val="Appendix Sub headings Char"/>
    <w:basedOn w:val="DefaultParagraphFont"/>
    <w:link w:val="AppendixSubheadings"/>
    <w:uiPriority w:val="99"/>
    <w:semiHidden/>
    <w:rsid w:val="00A7504E"/>
    <w:rPr>
      <w:rFonts w:ascii="Calibri" w:hAnsi="Calibri"/>
      <w:b/>
      <w:color w:val="000099"/>
      <w:sz w:val="28"/>
    </w:rPr>
  </w:style>
  <w:style w:type="character" w:customStyle="1" w:styleId="Mention">
    <w:name w:val="Mention"/>
    <w:basedOn w:val="DefaultParagraphFont"/>
    <w:uiPriority w:val="99"/>
    <w:semiHidden/>
    <w:locked/>
    <w:rsid w:val="007A1857"/>
    <w:rPr>
      <w:color w:val="2B579A"/>
      <w:shd w:val="clear" w:color="auto" w:fill="E6E6E6"/>
    </w:rPr>
  </w:style>
  <w:style w:type="character" w:styleId="FollowedHyperlink">
    <w:name w:val="FollowedHyperlink"/>
    <w:basedOn w:val="Hyperlink"/>
    <w:uiPriority w:val="99"/>
    <w:semiHidden/>
    <w:locked/>
    <w:rsid w:val="00964AB4"/>
    <w:rPr>
      <w:rFonts w:ascii="Calibri" w:hAnsi="Calibri"/>
      <w:i/>
      <w:color w:val="0000FF"/>
      <w:sz w:val="22"/>
      <w:u w:val="single"/>
    </w:rPr>
  </w:style>
  <w:style w:type="paragraph" w:customStyle="1" w:styleId="B-Table-portrait">
    <w:name w:val="B - Table - portrait"/>
    <w:basedOn w:val="TableHeading"/>
    <w:next w:val="BodyText"/>
    <w:uiPriority w:val="99"/>
    <w:semiHidden/>
    <w:locked/>
    <w:rsid w:val="00C03B0F"/>
    <w:pPr>
      <w:framePr w:wrap="around"/>
    </w:pPr>
  </w:style>
  <w:style w:type="character" w:customStyle="1" w:styleId="SmartHyperlink">
    <w:name w:val="Smart Hyperlink"/>
    <w:basedOn w:val="DefaultParagraphFont"/>
    <w:uiPriority w:val="99"/>
    <w:semiHidden/>
    <w:locked/>
    <w:rsid w:val="00D22CE2"/>
    <w:rPr>
      <w:u w:val="dotted"/>
    </w:rPr>
  </w:style>
  <w:style w:type="paragraph" w:customStyle="1" w:styleId="Heading3-nonumber">
    <w:name w:val="Heading 3 - no number"/>
    <w:basedOn w:val="Heading3"/>
    <w:next w:val="BodyText"/>
    <w:link w:val="Heading3-nonumberChar"/>
    <w:uiPriority w:val="6"/>
    <w:qFormat/>
    <w:rsid w:val="00C33951"/>
    <w:pPr>
      <w:numPr>
        <w:ilvl w:val="0"/>
        <w:numId w:val="0"/>
      </w:numPr>
    </w:pPr>
  </w:style>
  <w:style w:type="paragraph" w:customStyle="1" w:styleId="TextStyle-new">
    <w:name w:val="Text Style - new"/>
    <w:basedOn w:val="BodyText"/>
    <w:link w:val="TextStyle-newChar"/>
    <w:uiPriority w:val="99"/>
    <w:semiHidden/>
    <w:qFormat/>
    <w:locked/>
    <w:rsid w:val="00E30A0E"/>
    <w:pPr>
      <w:spacing w:before="60" w:after="60"/>
    </w:pPr>
    <w:rPr>
      <w:sz w:val="20"/>
    </w:rPr>
  </w:style>
  <w:style w:type="character" w:customStyle="1" w:styleId="Heading3-nonumberChar">
    <w:name w:val="Heading 3 - no number Char"/>
    <w:basedOn w:val="Heading3Char"/>
    <w:link w:val="Heading3-nonumber"/>
    <w:uiPriority w:val="6"/>
    <w:rsid w:val="007A43BA"/>
    <w:rPr>
      <w:rFonts w:ascii="Calibri" w:eastAsiaTheme="majorEastAsia" w:hAnsi="Calibri" w:cstheme="majorBidi"/>
      <w:b/>
      <w:color w:val="4D4DB8"/>
      <w:sz w:val="24"/>
      <w:szCs w:val="26"/>
    </w:rPr>
  </w:style>
  <w:style w:type="character" w:customStyle="1" w:styleId="TextStyle-newChar">
    <w:name w:val="Text Style - new Char"/>
    <w:basedOn w:val="BodyTextChar"/>
    <w:link w:val="TextStyle-new"/>
    <w:uiPriority w:val="99"/>
    <w:semiHidden/>
    <w:rsid w:val="00A7504E"/>
    <w:rPr>
      <w:rFonts w:ascii="Calibri" w:hAnsi="Calibri"/>
      <w:sz w:val="20"/>
    </w:rPr>
  </w:style>
  <w:style w:type="paragraph" w:customStyle="1" w:styleId="AppendixToC">
    <w:name w:val="Appendix ToC"/>
    <w:basedOn w:val="TOC1"/>
    <w:uiPriority w:val="99"/>
    <w:semiHidden/>
    <w:locked/>
    <w:rsid w:val="00A77E8B"/>
    <w:pPr>
      <w:tabs>
        <w:tab w:val="clear" w:pos="482"/>
      </w:tabs>
      <w:ind w:left="1276" w:hanging="1038"/>
    </w:pPr>
    <w:rPr>
      <w:b w:val="0"/>
      <w:noProof/>
      <w:color w:val="4D4DB8"/>
    </w:rPr>
  </w:style>
  <w:style w:type="paragraph" w:styleId="TOC4">
    <w:name w:val="toc 4"/>
    <w:aliases w:val="Table of appendices"/>
    <w:basedOn w:val="Normal"/>
    <w:next w:val="Normal"/>
    <w:autoRedefine/>
    <w:uiPriority w:val="39"/>
    <w:locked/>
    <w:rsid w:val="00496CD5"/>
    <w:pPr>
      <w:tabs>
        <w:tab w:val="left" w:pos="1540"/>
        <w:tab w:val="right" w:leader="dot" w:pos="9022"/>
      </w:tabs>
      <w:spacing w:after="100"/>
      <w:ind w:left="1276" w:hanging="1276"/>
    </w:pPr>
    <w:rPr>
      <w:noProof/>
      <w:color w:val="4D4DB8"/>
    </w:rPr>
  </w:style>
  <w:style w:type="table" w:customStyle="1" w:styleId="BE-table">
    <w:name w:val="BE - table"/>
    <w:basedOn w:val="TableGrid"/>
    <w:uiPriority w:val="99"/>
    <w:rsid w:val="003522E8"/>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bottom w:val="single" w:sz="4" w:space="0" w:color="B7B7E2" w:themeColor="accent1" w:themeTint="66"/>
          <w:tl2br w:val="none" w:sz="0" w:space="0" w:color="auto"/>
          <w:tr2bl w:val="none" w:sz="0" w:space="0" w:color="auto"/>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1B42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UnresolvedMention">
    <w:name w:val="Unresolved Mention"/>
    <w:basedOn w:val="DefaultParagraphFont"/>
    <w:uiPriority w:val="99"/>
    <w:semiHidden/>
    <w:unhideWhenUsed/>
    <w:rsid w:val="009C7A35"/>
    <w:rPr>
      <w:color w:val="605E5C"/>
      <w:shd w:val="clear" w:color="auto" w:fill="E1DFDD"/>
    </w:rPr>
  </w:style>
  <w:style w:type="character" w:styleId="CommentReference">
    <w:name w:val="annotation reference"/>
    <w:basedOn w:val="DefaultParagraphFont"/>
    <w:uiPriority w:val="99"/>
    <w:semiHidden/>
    <w:locked/>
    <w:rsid w:val="00137604"/>
    <w:rPr>
      <w:sz w:val="16"/>
      <w:szCs w:val="16"/>
    </w:rPr>
  </w:style>
  <w:style w:type="paragraph" w:styleId="CommentText">
    <w:name w:val="annotation text"/>
    <w:basedOn w:val="Normal"/>
    <w:link w:val="CommentTextChar"/>
    <w:uiPriority w:val="99"/>
    <w:semiHidden/>
    <w:locked/>
    <w:rsid w:val="00137604"/>
    <w:rPr>
      <w:sz w:val="20"/>
      <w:szCs w:val="20"/>
    </w:rPr>
  </w:style>
  <w:style w:type="character" w:customStyle="1" w:styleId="CommentTextChar">
    <w:name w:val="Comment Text Char"/>
    <w:basedOn w:val="DefaultParagraphFont"/>
    <w:link w:val="CommentText"/>
    <w:uiPriority w:val="99"/>
    <w:semiHidden/>
    <w:rsid w:val="00137604"/>
    <w:rPr>
      <w:sz w:val="20"/>
      <w:szCs w:val="20"/>
    </w:rPr>
  </w:style>
  <w:style w:type="paragraph" w:styleId="CommentSubject">
    <w:name w:val="annotation subject"/>
    <w:basedOn w:val="CommentText"/>
    <w:next w:val="CommentText"/>
    <w:link w:val="CommentSubjectChar"/>
    <w:uiPriority w:val="99"/>
    <w:semiHidden/>
    <w:locked/>
    <w:rsid w:val="00137604"/>
    <w:rPr>
      <w:b/>
      <w:bCs/>
    </w:rPr>
  </w:style>
  <w:style w:type="character" w:customStyle="1" w:styleId="CommentSubjectChar">
    <w:name w:val="Comment Subject Char"/>
    <w:basedOn w:val="CommentTextChar"/>
    <w:link w:val="CommentSubject"/>
    <w:uiPriority w:val="99"/>
    <w:semiHidden/>
    <w:rsid w:val="001376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54194">
      <w:bodyDiv w:val="1"/>
      <w:marLeft w:val="0"/>
      <w:marRight w:val="0"/>
      <w:marTop w:val="0"/>
      <w:marBottom w:val="0"/>
      <w:divBdr>
        <w:top w:val="none" w:sz="0" w:space="0" w:color="auto"/>
        <w:left w:val="none" w:sz="0" w:space="0" w:color="auto"/>
        <w:bottom w:val="none" w:sz="0" w:space="0" w:color="auto"/>
        <w:right w:val="none" w:sz="0" w:space="0" w:color="auto"/>
      </w:divBdr>
    </w:div>
    <w:div w:id="507863430">
      <w:bodyDiv w:val="1"/>
      <w:marLeft w:val="0"/>
      <w:marRight w:val="0"/>
      <w:marTop w:val="0"/>
      <w:marBottom w:val="0"/>
      <w:divBdr>
        <w:top w:val="none" w:sz="0" w:space="0" w:color="auto"/>
        <w:left w:val="none" w:sz="0" w:space="0" w:color="auto"/>
        <w:bottom w:val="none" w:sz="0" w:space="0" w:color="auto"/>
        <w:right w:val="none" w:sz="0" w:space="0" w:color="auto"/>
      </w:divBdr>
    </w:div>
    <w:div w:id="588924830">
      <w:bodyDiv w:val="1"/>
      <w:marLeft w:val="0"/>
      <w:marRight w:val="0"/>
      <w:marTop w:val="0"/>
      <w:marBottom w:val="0"/>
      <w:divBdr>
        <w:top w:val="none" w:sz="0" w:space="0" w:color="auto"/>
        <w:left w:val="none" w:sz="0" w:space="0" w:color="auto"/>
        <w:bottom w:val="none" w:sz="0" w:space="0" w:color="auto"/>
        <w:right w:val="none" w:sz="0" w:space="0" w:color="auto"/>
      </w:divBdr>
    </w:div>
    <w:div w:id="615254289">
      <w:bodyDiv w:val="1"/>
      <w:marLeft w:val="0"/>
      <w:marRight w:val="0"/>
      <w:marTop w:val="0"/>
      <w:marBottom w:val="0"/>
      <w:divBdr>
        <w:top w:val="none" w:sz="0" w:space="0" w:color="auto"/>
        <w:left w:val="none" w:sz="0" w:space="0" w:color="auto"/>
        <w:bottom w:val="none" w:sz="0" w:space="0" w:color="auto"/>
        <w:right w:val="none" w:sz="0" w:space="0" w:color="auto"/>
      </w:divBdr>
    </w:div>
    <w:div w:id="816411854">
      <w:bodyDiv w:val="1"/>
      <w:marLeft w:val="0"/>
      <w:marRight w:val="0"/>
      <w:marTop w:val="0"/>
      <w:marBottom w:val="0"/>
      <w:divBdr>
        <w:top w:val="none" w:sz="0" w:space="0" w:color="auto"/>
        <w:left w:val="none" w:sz="0" w:space="0" w:color="auto"/>
        <w:bottom w:val="none" w:sz="0" w:space="0" w:color="auto"/>
        <w:right w:val="none" w:sz="0" w:space="0" w:color="auto"/>
      </w:divBdr>
    </w:div>
    <w:div w:id="830948454">
      <w:bodyDiv w:val="1"/>
      <w:marLeft w:val="0"/>
      <w:marRight w:val="0"/>
      <w:marTop w:val="0"/>
      <w:marBottom w:val="0"/>
      <w:divBdr>
        <w:top w:val="none" w:sz="0" w:space="0" w:color="auto"/>
        <w:left w:val="none" w:sz="0" w:space="0" w:color="auto"/>
        <w:bottom w:val="none" w:sz="0" w:space="0" w:color="auto"/>
        <w:right w:val="none" w:sz="0" w:space="0" w:color="auto"/>
      </w:divBdr>
    </w:div>
    <w:div w:id="1148478417">
      <w:bodyDiv w:val="1"/>
      <w:marLeft w:val="0"/>
      <w:marRight w:val="0"/>
      <w:marTop w:val="0"/>
      <w:marBottom w:val="0"/>
      <w:divBdr>
        <w:top w:val="none" w:sz="0" w:space="0" w:color="auto"/>
        <w:left w:val="none" w:sz="0" w:space="0" w:color="auto"/>
        <w:bottom w:val="none" w:sz="0" w:space="0" w:color="auto"/>
        <w:right w:val="none" w:sz="0" w:space="0" w:color="auto"/>
      </w:divBdr>
    </w:div>
    <w:div w:id="1152284390">
      <w:bodyDiv w:val="1"/>
      <w:marLeft w:val="0"/>
      <w:marRight w:val="0"/>
      <w:marTop w:val="0"/>
      <w:marBottom w:val="0"/>
      <w:divBdr>
        <w:top w:val="none" w:sz="0" w:space="0" w:color="auto"/>
        <w:left w:val="none" w:sz="0" w:space="0" w:color="auto"/>
        <w:bottom w:val="none" w:sz="0" w:space="0" w:color="auto"/>
        <w:right w:val="none" w:sz="0" w:space="0" w:color="auto"/>
      </w:divBdr>
    </w:div>
    <w:div w:id="1402676075">
      <w:bodyDiv w:val="1"/>
      <w:marLeft w:val="0"/>
      <w:marRight w:val="0"/>
      <w:marTop w:val="0"/>
      <w:marBottom w:val="0"/>
      <w:divBdr>
        <w:top w:val="none" w:sz="0" w:space="0" w:color="auto"/>
        <w:left w:val="none" w:sz="0" w:space="0" w:color="auto"/>
        <w:bottom w:val="none" w:sz="0" w:space="0" w:color="auto"/>
        <w:right w:val="none" w:sz="0" w:space="0" w:color="auto"/>
      </w:divBdr>
    </w:div>
    <w:div w:id="1493179828">
      <w:bodyDiv w:val="1"/>
      <w:marLeft w:val="0"/>
      <w:marRight w:val="0"/>
      <w:marTop w:val="0"/>
      <w:marBottom w:val="0"/>
      <w:divBdr>
        <w:top w:val="none" w:sz="0" w:space="0" w:color="auto"/>
        <w:left w:val="none" w:sz="0" w:space="0" w:color="auto"/>
        <w:bottom w:val="none" w:sz="0" w:space="0" w:color="auto"/>
        <w:right w:val="none" w:sz="0" w:space="0" w:color="auto"/>
      </w:divBdr>
    </w:div>
    <w:div w:id="1580560859">
      <w:bodyDiv w:val="1"/>
      <w:marLeft w:val="0"/>
      <w:marRight w:val="0"/>
      <w:marTop w:val="0"/>
      <w:marBottom w:val="0"/>
      <w:divBdr>
        <w:top w:val="none" w:sz="0" w:space="0" w:color="auto"/>
        <w:left w:val="none" w:sz="0" w:space="0" w:color="auto"/>
        <w:bottom w:val="none" w:sz="0" w:space="0" w:color="auto"/>
        <w:right w:val="none" w:sz="0" w:space="0" w:color="auto"/>
      </w:divBdr>
    </w:div>
    <w:div w:id="169195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www.ratchakitcha.soc.go.th/DATA/PDF/2561/E/188/T15.PDF" TargetMode="External"/><Relationship Id="rId3" Type="http://schemas.openxmlformats.org/officeDocument/2006/relationships/customXml" Target="../customXml/item3.xml"/><Relationship Id="rId21" Type="http://schemas.openxmlformats.org/officeDocument/2006/relationships/hyperlink" Target="http://www9.monre.gov.vn/wps/portal/news/!ut/p/c5/dclJDoIwFADQE5n_RYawbJAZFWgh2A0hJJpCw6AVlNPrBcxbPuDwMzSLuDdKjEMjoQJu1o5PAt1KEP2SmEgozS6hFWnoI1yBW38_1oFBhXpNOxxfCZ3ijS5v1uLDrljebZl2VlkgJl54M5tzPeafmzSignihK4-OduoIKrv09mva9lxU0phZvxaHUHVuELqZk-6eooepb8gXeJcnsw!!/"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nationmultimedia.com/detail/national/3035179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reemalaysiatoday.com/category/nation/2018/07/24/permits-to-import-plastic-waste-for-114-factories-revoked/" TargetMode="External"/><Relationship Id="rId20" Type="http://schemas.openxmlformats.org/officeDocument/2006/relationships/hyperlink" Target="http://www.vietnam-briefing.com/news/vietnam-to-restrict-surging-scrap-imports.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blueenvironment.com.au/wp-content/uploads/2018/05/Exports-of-recyclables-from-Aust-to-China-v2.pdf"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ciwm-journal.co.uk/thailand-set-to-ban-plastic-waste-imports-by-2021/"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Blue Environment">
      <a:dk1>
        <a:sysClr val="windowText" lastClr="000000"/>
      </a:dk1>
      <a:lt1>
        <a:sysClr val="window" lastClr="FFFFFF"/>
      </a:lt1>
      <a:dk2>
        <a:srgbClr val="000099"/>
      </a:dk2>
      <a:lt2>
        <a:srgbClr val="E7E6E6"/>
      </a:lt2>
      <a:accent1>
        <a:srgbClr val="4D4DB8"/>
      </a:accent1>
      <a:accent2>
        <a:srgbClr val="B31284"/>
      </a:accent2>
      <a:accent3>
        <a:srgbClr val="12B352"/>
      </a:accent3>
      <a:accent4>
        <a:srgbClr val="F79E00"/>
      </a:accent4>
      <a:accent5>
        <a:srgbClr val="A0D2FA"/>
      </a:accent5>
      <a:accent6>
        <a:srgbClr val="FFF133"/>
      </a:accent6>
      <a:hlink>
        <a:srgbClr val="0000FF"/>
      </a:hlink>
      <a:folHlink>
        <a:srgbClr val="0000FF"/>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9A01945CD6444CA9596BDB31FA19BA" ma:contentTypeVersion="" ma:contentTypeDescription="Create a new document." ma:contentTypeScope="" ma:versionID="c81a69b63a9003c49d2436d961fa66cf">
  <xsd:schema xmlns:xsd="http://www.w3.org/2001/XMLSchema" xmlns:xs="http://www.w3.org/2001/XMLSchema" xmlns:p="http://schemas.microsoft.com/office/2006/metadata/properties" xmlns:ns2="2ad5b749-a559-4ff7-b337-5976eb7c1197" xmlns:ns3="cefb566d-1dde-4b16-88c3-ae141852d522" targetNamespace="http://schemas.microsoft.com/office/2006/metadata/properties" ma:root="true" ma:fieldsID="97b9588b1d4eed29d35d154643890ce9" ns2:_="" ns3:_="">
    <xsd:import namespace="2ad5b749-a559-4ff7-b337-5976eb7c1197"/>
    <xsd:import namespace="cefb566d-1dde-4b16-88c3-ae141852d5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5b749-a559-4ff7-b337-5976eb7c1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fb566d-1dde-4b16-88c3-ae141852d52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reviewers>Name Surname, Name Surname</reviewers>
  <projnumber>1234</projnumber>
  <contractdate>2018-01-01T00:00:00</contractdate>
  <infocurrent>2017-07-01T00:00:00</infocurrent>
  <copyright/>
</root>
</file>

<file path=customXml/item6.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40A215-B830-40C0-91EC-5EE3078176A1}">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2ad5b749-a559-4ff7-b337-5976eb7c1197"/>
    <ds:schemaRef ds:uri="http://purl.org/dc/dcmitype/"/>
    <ds:schemaRef ds:uri="http://schemas.openxmlformats.org/package/2006/metadata/core-properties"/>
    <ds:schemaRef ds:uri="cefb566d-1dde-4b16-88c3-ae141852d522"/>
  </ds:schemaRefs>
</ds:datastoreItem>
</file>

<file path=customXml/itemProps3.xml><?xml version="1.0" encoding="utf-8"?>
<ds:datastoreItem xmlns:ds="http://schemas.openxmlformats.org/officeDocument/2006/customXml" ds:itemID="{420AD298-290C-4BEE-A0E2-A204453B6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5b749-a559-4ff7-b337-5976eb7c1197"/>
    <ds:schemaRef ds:uri="cefb566d-1dde-4b16-88c3-ae141852d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8B79E7-06B1-401D-B83A-58A8A1C0C3A5}">
  <ds:schemaRefs>
    <ds:schemaRef ds:uri="http://schemas.microsoft.com/sharepoint/v3/contenttype/forms"/>
  </ds:schemaRefs>
</ds:datastoreItem>
</file>

<file path=customXml/itemProps5.xml><?xml version="1.0" encoding="utf-8"?>
<ds:datastoreItem xmlns:ds="http://schemas.openxmlformats.org/officeDocument/2006/customXml" ds:itemID="{A510F670-9325-470C-97D0-A9A4BC3018FA}">
  <ds:schemaRefs/>
</ds:datastoreItem>
</file>

<file path=customXml/itemProps6.xml><?xml version="1.0" encoding="utf-8"?>
<ds:datastoreItem xmlns:ds="http://schemas.openxmlformats.org/officeDocument/2006/customXml" ds:itemID="{FB6160AF-30C1-4C64-9FD4-359F35776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Richmond</dc:creator>
  <cp:keywords>Copyright</cp:keywords>
  <dc:description/>
  <cp:lastModifiedBy>Steve Lenthall</cp:lastModifiedBy>
  <cp:revision>2</cp:revision>
  <cp:lastPrinted>2019-02-20T02:06:00Z</cp:lastPrinted>
  <dcterms:created xsi:type="dcterms:W3CDTF">2019-03-20T01:27:00Z</dcterms:created>
  <dcterms:modified xsi:type="dcterms:W3CDTF">2019-03-20T01:27:00Z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0x010100D89A01945CD6444CA9596BDB31FA19BA</vt:lpwstr>
  </property>
</Properties>
</file>