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B5A7E" w14:textId="16B35D06" w:rsidR="00850B51" w:rsidRPr="005C315D" w:rsidRDefault="00693E99" w:rsidP="00305B22">
      <w:pPr>
        <w:pStyle w:val="Heading2nonumber"/>
      </w:pPr>
      <w:bookmarkStart w:id="1" w:name="_GoBack"/>
      <w:r>
        <w:t>E</w:t>
      </w:r>
      <w:r w:rsidR="00B02A2E">
        <w:t>xports</w:t>
      </w:r>
      <w:r w:rsidR="00007F34">
        <w:t xml:space="preserve"> of </w:t>
      </w:r>
      <w:r w:rsidR="00B02A2E">
        <w:t xml:space="preserve">Australian </w:t>
      </w:r>
      <w:r>
        <w:t>waste-derived products and waste</w:t>
      </w:r>
      <w:r w:rsidR="00A87F19">
        <w:t>s</w:t>
      </w:r>
      <w:r w:rsidR="00305B22" w:rsidRPr="005C315D">
        <w:t xml:space="preserve"> </w:t>
      </w:r>
      <w:r w:rsidR="003522E8" w:rsidRPr="005C315D">
        <w:t xml:space="preserve">in </w:t>
      </w:r>
      <w:r w:rsidR="00702B60">
        <w:t>Dec</w:t>
      </w:r>
      <w:r w:rsidR="00197629">
        <w:t xml:space="preserve">ember </w:t>
      </w:r>
      <w:r w:rsidR="00B4774E">
        <w:t>2019</w:t>
      </w:r>
    </w:p>
    <w:bookmarkEnd w:id="1"/>
    <w:p w14:paraId="2642DFDA" w14:textId="6EB4246D" w:rsidR="00305B22" w:rsidRPr="005C315D" w:rsidRDefault="00FB7284" w:rsidP="009D1226">
      <w:pPr>
        <w:pStyle w:val="BodyText"/>
        <w:spacing w:after="120"/>
        <w:jc w:val="right"/>
        <w:rPr>
          <w:i/>
        </w:rPr>
      </w:pPr>
      <w:r>
        <w:rPr>
          <w:i/>
        </w:rPr>
        <w:t>8 April</w:t>
      </w:r>
      <w:r w:rsidR="00365DA2" w:rsidRPr="00EB5C8F">
        <w:rPr>
          <w:i/>
        </w:rPr>
        <w:t xml:space="preserve"> </w:t>
      </w:r>
      <w:r w:rsidR="00305B22" w:rsidRPr="00EB5C8F">
        <w:rPr>
          <w:i/>
        </w:rPr>
        <w:t>20</w:t>
      </w:r>
      <w:r w:rsidR="00197629" w:rsidRPr="00EB5C8F">
        <w:rPr>
          <w:i/>
        </w:rPr>
        <w:t>20</w:t>
      </w:r>
      <w:r w:rsidR="00305B22" w:rsidRPr="00EB5C8F">
        <w:rPr>
          <w:i/>
        </w:rPr>
        <w:tab/>
      </w:r>
      <w:r w:rsidR="006261B0" w:rsidRPr="00EB5C8F">
        <w:rPr>
          <w:i/>
        </w:rPr>
        <w:t>Joe Pickin</w:t>
      </w:r>
      <w:r w:rsidR="00EA03E3" w:rsidRPr="00EB5C8F">
        <w:rPr>
          <w:i/>
        </w:rPr>
        <w:t xml:space="preserve"> and </w:t>
      </w:r>
      <w:r w:rsidR="00702B60">
        <w:rPr>
          <w:i/>
        </w:rPr>
        <w:t>Sally Donovan</w:t>
      </w:r>
    </w:p>
    <w:p w14:paraId="051969CE" w14:textId="7736033B" w:rsidR="00862833" w:rsidRDefault="00AF1D05" w:rsidP="00B50BE7">
      <w:pPr>
        <w:pStyle w:val="BodyText"/>
      </w:pPr>
      <w:r>
        <w:t xml:space="preserve">Blue Environment is commissioned by the Department of </w:t>
      </w:r>
      <w:r w:rsidR="003B0ED0">
        <w:t xml:space="preserve">Agriculture, Water and </w:t>
      </w:r>
      <w:r w:rsidR="005D3814">
        <w:t xml:space="preserve">the </w:t>
      </w:r>
      <w:r w:rsidR="003B0ED0">
        <w:t>Environment</w:t>
      </w:r>
      <w:r>
        <w:t xml:space="preserve"> to </w:t>
      </w:r>
      <w:r w:rsidR="001D40D7">
        <w:t xml:space="preserve">analyse and report on </w:t>
      </w:r>
      <w:r w:rsidR="00862833">
        <w:t xml:space="preserve">monthly exports of </w:t>
      </w:r>
      <w:r w:rsidR="00693E99">
        <w:t>waste-derived products</w:t>
      </w:r>
      <w:r w:rsidR="004259D3">
        <w:t xml:space="preserve"> (e.g. recycled plastic chip)</w:t>
      </w:r>
      <w:r w:rsidR="00693E99">
        <w:t xml:space="preserve"> and </w:t>
      </w:r>
      <w:r w:rsidR="004259D3">
        <w:t xml:space="preserve">materials that are still </w:t>
      </w:r>
      <w:r w:rsidR="00693E99">
        <w:t>waste</w:t>
      </w:r>
      <w:r w:rsidR="00A87F19">
        <w:t>s</w:t>
      </w:r>
      <w:r>
        <w:t>. The data is provided by the Australian Bureau of Statistics</w:t>
      </w:r>
      <w:r w:rsidR="00ED5FE9">
        <w:rPr>
          <w:rStyle w:val="FootnoteReference"/>
        </w:rPr>
        <w:footnoteReference w:id="1"/>
      </w:r>
      <w:r>
        <w:t xml:space="preserve">, </w:t>
      </w:r>
      <w:r w:rsidR="0033615A">
        <w:t>and comprises</w:t>
      </w:r>
      <w:r>
        <w:t xml:space="preserve"> monthly data covering the previous six months, including any updates</w:t>
      </w:r>
      <w:r w:rsidR="00486797">
        <w:t xml:space="preserve"> to previously reported data</w:t>
      </w:r>
      <w:r>
        <w:t>.</w:t>
      </w:r>
      <w:r w:rsidR="004B2354">
        <w:t xml:space="preserve"> </w:t>
      </w:r>
      <w:r w:rsidR="00F03947">
        <w:t>On a tonnage basis nearly all these exports are materials recovered from waste streams for recycling or energy recovery</w:t>
      </w:r>
      <w:r w:rsidR="00486797">
        <w:rPr>
          <w:rStyle w:val="FootnoteReference"/>
        </w:rPr>
        <w:footnoteReference w:id="2"/>
      </w:r>
      <w:r w:rsidR="00B02A2E">
        <w:t>, but a small portion is hazardous waste sent for treatment</w:t>
      </w:r>
      <w:r w:rsidR="00F03947">
        <w:t xml:space="preserve">. </w:t>
      </w:r>
    </w:p>
    <w:p w14:paraId="46C49E33" w14:textId="7465FDA7" w:rsidR="00E30EBE" w:rsidRPr="00850B51" w:rsidRDefault="00E30EBE" w:rsidP="00E30EBE">
      <w:pPr>
        <w:pStyle w:val="Heading3-nonumber"/>
        <w:spacing w:before="240"/>
      </w:pPr>
      <w:r>
        <w:t>Summary</w:t>
      </w:r>
    </w:p>
    <w:p w14:paraId="6E430D81" w14:textId="6AC8E1FF" w:rsidR="00AF302E" w:rsidRDefault="0083200E" w:rsidP="00B50BE7">
      <w:pPr>
        <w:pStyle w:val="BodyText"/>
      </w:pPr>
      <w:r w:rsidRPr="00545CCF">
        <w:t xml:space="preserve">In </w:t>
      </w:r>
      <w:r w:rsidR="00702B60">
        <w:t>Dec</w:t>
      </w:r>
      <w:r w:rsidR="00197629">
        <w:t>ember</w:t>
      </w:r>
      <w:r w:rsidR="00197629" w:rsidRPr="00545CCF">
        <w:t xml:space="preserve"> </w:t>
      </w:r>
      <w:r w:rsidRPr="00545CCF">
        <w:t>201</w:t>
      </w:r>
      <w:r w:rsidR="00B4774E" w:rsidRPr="00545CCF">
        <w:t>9</w:t>
      </w:r>
      <w:r w:rsidRPr="00545CCF">
        <w:t xml:space="preserve">, Australia exported </w:t>
      </w:r>
      <w:r w:rsidR="00C3658F" w:rsidRPr="0049132A">
        <w:t>about</w:t>
      </w:r>
      <w:r w:rsidR="007928A3" w:rsidRPr="0049132A">
        <w:t xml:space="preserve"> </w:t>
      </w:r>
      <w:r w:rsidR="0049132A" w:rsidRPr="0049132A">
        <w:t>418</w:t>
      </w:r>
      <w:r w:rsidR="00E80E97" w:rsidRPr="0049132A">
        <w:t>,000</w:t>
      </w:r>
      <w:r w:rsidRPr="00545CCF">
        <w:t xml:space="preserve"> tonnes of </w:t>
      </w:r>
      <w:r w:rsidR="00693E99">
        <w:t>waste-derived products and waste</w:t>
      </w:r>
      <w:r w:rsidR="00A87F19">
        <w:t>s</w:t>
      </w:r>
      <w:r w:rsidRPr="00545CCF">
        <w:t xml:space="preserve"> with a value of $</w:t>
      </w:r>
      <w:r w:rsidR="00197629" w:rsidRPr="00EC6280">
        <w:t>A</w:t>
      </w:r>
      <w:r w:rsidR="00197629" w:rsidRPr="0049132A">
        <w:t>26</w:t>
      </w:r>
      <w:r w:rsidR="0049132A" w:rsidRPr="0049132A">
        <w:t>0</w:t>
      </w:r>
      <w:r w:rsidR="00197629" w:rsidRPr="00545CCF">
        <w:t xml:space="preserve"> </w:t>
      </w:r>
      <w:r w:rsidR="00B02451" w:rsidRPr="00545CCF">
        <w:t>million</w:t>
      </w:r>
      <w:r w:rsidRPr="00545CCF">
        <w:t>. This</w:t>
      </w:r>
      <w:r w:rsidR="00FD30F3" w:rsidRPr="00545CCF">
        <w:t xml:space="preserve"> represents</w:t>
      </w:r>
      <w:r w:rsidRPr="00545CCF">
        <w:t xml:space="preserve"> </w:t>
      </w:r>
      <w:r w:rsidR="0049132A">
        <w:t xml:space="preserve">an </w:t>
      </w:r>
      <w:r w:rsidR="00EE0FC4">
        <w:t>increase</w:t>
      </w:r>
      <w:r w:rsidR="00E80E97">
        <w:t xml:space="preserve"> of </w:t>
      </w:r>
      <w:r w:rsidR="0049132A">
        <w:t>16</w:t>
      </w:r>
      <w:r w:rsidR="000A6DC0">
        <w:t xml:space="preserve">% </w:t>
      </w:r>
      <w:r w:rsidRPr="00545CCF">
        <w:t>in</w:t>
      </w:r>
      <w:r w:rsidR="00545CCF" w:rsidRPr="00545CCF">
        <w:t xml:space="preserve"> </w:t>
      </w:r>
      <w:r w:rsidR="00B02451" w:rsidRPr="00545CCF">
        <w:t>the</w:t>
      </w:r>
      <w:r w:rsidR="007928A3" w:rsidRPr="00545CCF">
        <w:t xml:space="preserve"> </w:t>
      </w:r>
      <w:r w:rsidR="006371CB" w:rsidRPr="00545CCF">
        <w:t xml:space="preserve">quantity </w:t>
      </w:r>
      <w:r w:rsidR="0049132A">
        <w:t xml:space="preserve">but a negligible change </w:t>
      </w:r>
      <w:r w:rsidR="00837CF1">
        <w:t xml:space="preserve">in the </w:t>
      </w:r>
      <w:r w:rsidR="00850B51" w:rsidRPr="00545CCF">
        <w:t xml:space="preserve">value of </w:t>
      </w:r>
      <w:r w:rsidR="00F03947">
        <w:t>these</w:t>
      </w:r>
      <w:r w:rsidR="00850B51" w:rsidRPr="00545CCF">
        <w:t xml:space="preserve"> export</w:t>
      </w:r>
      <w:r w:rsidR="005830D2" w:rsidRPr="00545CCF">
        <w:t>s</w:t>
      </w:r>
      <w:r w:rsidR="00850B51" w:rsidRPr="00545CCF">
        <w:t xml:space="preserve"> </w:t>
      </w:r>
      <w:r w:rsidRPr="00545CCF">
        <w:t xml:space="preserve">compared with </w:t>
      </w:r>
      <w:r w:rsidR="00702B60">
        <w:t>Novem</w:t>
      </w:r>
      <w:r w:rsidR="00197629">
        <w:t>ber</w:t>
      </w:r>
      <w:r w:rsidR="00197629" w:rsidRPr="00545CCF">
        <w:t xml:space="preserve"> </w:t>
      </w:r>
      <w:r w:rsidRPr="00545CCF">
        <w:t>201</w:t>
      </w:r>
      <w:r w:rsidR="00545CCF" w:rsidRPr="00545CCF">
        <w:t>9</w:t>
      </w:r>
      <w:r w:rsidR="00BA4F19">
        <w:t>.</w:t>
      </w:r>
      <w:r w:rsidR="00DD1345">
        <w:t xml:space="preserve"> </w:t>
      </w:r>
      <w:r w:rsidR="00C84755">
        <w:t xml:space="preserve">The quantity of all </w:t>
      </w:r>
      <w:r w:rsidR="00336889">
        <w:t>the main material types</w:t>
      </w:r>
      <w:r w:rsidR="00C84755">
        <w:t xml:space="preserve"> increased, the largest increases </w:t>
      </w:r>
      <w:r w:rsidR="00336889">
        <w:t xml:space="preserve">being </w:t>
      </w:r>
      <w:r w:rsidR="00C84755">
        <w:t>metals and paper and cardboard. The lack of change</w:t>
      </w:r>
      <w:r w:rsidR="00FD31C3">
        <w:t xml:space="preserve"> in value</w:t>
      </w:r>
      <w:r w:rsidR="00C84755">
        <w:t xml:space="preserve"> </w:t>
      </w:r>
      <w:r w:rsidR="00336889">
        <w:t>corresponds to a decline in</w:t>
      </w:r>
      <w:r w:rsidR="00C84755">
        <w:t xml:space="preserve"> value </w:t>
      </w:r>
      <w:r w:rsidR="00336889">
        <w:t>per tonne, including for metals (from $737 in November to</w:t>
      </w:r>
      <w:r w:rsidR="00C84755">
        <w:t xml:space="preserve"> $649 </w:t>
      </w:r>
      <w:r w:rsidR="00FD31C3">
        <w:t>in December</w:t>
      </w:r>
      <w:r w:rsidR="00336889">
        <w:t>)</w:t>
      </w:r>
      <w:r w:rsidR="00C84755">
        <w:t xml:space="preserve"> and paper and cardboard </w:t>
      </w:r>
      <w:r w:rsidR="00336889">
        <w:t>(</w:t>
      </w:r>
      <w:r w:rsidR="00C84755">
        <w:t xml:space="preserve">from </w:t>
      </w:r>
      <w:r w:rsidR="00902041">
        <w:t>$</w:t>
      </w:r>
      <w:r w:rsidR="00C84755">
        <w:t xml:space="preserve">131 to </w:t>
      </w:r>
      <w:r w:rsidR="00902041">
        <w:t>$</w:t>
      </w:r>
      <w:r w:rsidR="00C84755">
        <w:t>122</w:t>
      </w:r>
      <w:r w:rsidR="00336889">
        <w:t>)</w:t>
      </w:r>
      <w:r w:rsidR="00C84755">
        <w:t>. The only products that saw an increase in price were plastics</w:t>
      </w:r>
      <w:r w:rsidR="003F4D50">
        <w:t xml:space="preserve"> and ‘other’</w:t>
      </w:r>
      <w:r w:rsidR="00584D11">
        <w:t>.</w:t>
      </w:r>
      <w:r w:rsidR="00DE7B91">
        <w:t xml:space="preserve"> </w:t>
      </w:r>
    </w:p>
    <w:p w14:paraId="4A850E9E" w14:textId="688D9FB8" w:rsidR="009F7431" w:rsidRDefault="009F7431" w:rsidP="00B50BE7">
      <w:pPr>
        <w:pStyle w:val="BodyText"/>
      </w:pPr>
    </w:p>
    <w:p w14:paraId="1D350116" w14:textId="3C6E231A" w:rsidR="002615D4" w:rsidRDefault="002615D4" w:rsidP="00B50BE7">
      <w:pPr>
        <w:pStyle w:val="BodyText"/>
      </w:pPr>
      <w:r w:rsidRPr="003F4D50">
        <w:t xml:space="preserve">About </w:t>
      </w:r>
      <w:r w:rsidR="00584D11" w:rsidRPr="003F4D50">
        <w:t>1</w:t>
      </w:r>
      <w:r w:rsidR="003F4D50" w:rsidRPr="003F4D50">
        <w:t>16</w:t>
      </w:r>
      <w:r w:rsidR="009E5752" w:rsidRPr="003F4D50">
        <w:t>,000</w:t>
      </w:r>
      <w:r w:rsidRPr="003F4D50">
        <w:t xml:space="preserve"> tonnes</w:t>
      </w:r>
      <w:r>
        <w:t xml:space="preserve"> </w:t>
      </w:r>
      <w:r w:rsidR="001C3828">
        <w:t xml:space="preserve">of </w:t>
      </w:r>
      <w:r w:rsidR="00693E99">
        <w:t>waste-derived products and waste</w:t>
      </w:r>
      <w:r w:rsidR="001C3828">
        <w:t xml:space="preserve"> </w:t>
      </w:r>
      <w:r w:rsidR="009E5752">
        <w:t xml:space="preserve">exported in </w:t>
      </w:r>
      <w:r w:rsidR="00702B60">
        <w:t>Dec</w:t>
      </w:r>
      <w:r w:rsidR="00BB0D07">
        <w:t xml:space="preserve">ember </w:t>
      </w:r>
      <w:r w:rsidR="009E5752">
        <w:t xml:space="preserve">could be affected by </w:t>
      </w:r>
      <w:r w:rsidR="00180FF6">
        <w:t>the</w:t>
      </w:r>
      <w:r w:rsidR="009E5752">
        <w:t xml:space="preserve"> </w:t>
      </w:r>
      <w:r w:rsidR="001C3828">
        <w:t xml:space="preserve">COAG </w:t>
      </w:r>
      <w:r w:rsidR="009E5752">
        <w:t xml:space="preserve">export </w:t>
      </w:r>
      <w:r w:rsidR="001C3828">
        <w:t xml:space="preserve">ban. </w:t>
      </w:r>
      <w:r w:rsidR="009E5752">
        <w:t xml:space="preserve">This </w:t>
      </w:r>
      <w:r w:rsidR="00180FF6">
        <w:t>is</w:t>
      </w:r>
      <w:r w:rsidR="009E5752">
        <w:t xml:space="preserve"> </w:t>
      </w:r>
      <w:r w:rsidR="003F4D50">
        <w:t>28</w:t>
      </w:r>
      <w:r w:rsidR="000F315D">
        <w:t>%</w:t>
      </w:r>
      <w:r w:rsidR="009E5752">
        <w:t xml:space="preserve"> of the total waste exported in </w:t>
      </w:r>
      <w:r w:rsidR="00702B60">
        <w:t>Dec</w:t>
      </w:r>
      <w:r w:rsidR="00BB0D07">
        <w:t xml:space="preserve">ember </w:t>
      </w:r>
      <w:r w:rsidR="009047BC">
        <w:t>2019</w:t>
      </w:r>
      <w:r w:rsidR="009E5752">
        <w:t xml:space="preserve">. </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4CDEB55B" w14:textId="11868163" w:rsidR="006C74ED" w:rsidRDefault="00767CBE" w:rsidP="00B50BE7">
      <w:pPr>
        <w:pStyle w:val="BodyText"/>
      </w:pPr>
      <w:r>
        <w:t>The top 10 recipients of Australian</w:t>
      </w:r>
      <w:r w:rsidR="002A4B1D">
        <w:t xml:space="preserve"> waste-</w:t>
      </w:r>
      <w:r>
        <w:t xml:space="preserve">derived products and wastes </w:t>
      </w:r>
      <w:r w:rsidR="00913C37">
        <w:t>between</w:t>
      </w:r>
      <w:r>
        <w:t xml:space="preserve"> July 2018</w:t>
      </w:r>
      <w:r w:rsidR="00913C37">
        <w:t xml:space="preserve"> and </w:t>
      </w:r>
      <w:r w:rsidR="00702B60">
        <w:t>Dec</w:t>
      </w:r>
      <w:r w:rsidR="00BB0D07">
        <w:t xml:space="preserve">ember </w:t>
      </w:r>
      <w:r w:rsidR="00913C37">
        <w:t>2019</w:t>
      </w:r>
      <w:r>
        <w:t xml:space="preserve"> were Indonesia, Vietnam, </w:t>
      </w:r>
      <w:r w:rsidR="003F4D50">
        <w:t>India</w:t>
      </w:r>
      <w:r w:rsidR="003F4D50" w:rsidRPr="00586F34">
        <w:t xml:space="preserve">, </w:t>
      </w:r>
      <w:r w:rsidRPr="00586F34">
        <w:t xml:space="preserve">China (including Hong Kong and Macau), Bangladesh, Malaysia, Thailand, </w:t>
      </w:r>
      <w:r w:rsidR="003F4D50" w:rsidRPr="00586F34">
        <w:t xml:space="preserve">Republic of </w:t>
      </w:r>
      <w:r w:rsidRPr="00586F34">
        <w:t xml:space="preserve">Korea, Taiwan and </w:t>
      </w:r>
      <w:r w:rsidR="003F4D50" w:rsidRPr="00586F34">
        <w:t>New Zealand</w:t>
      </w:r>
      <w:r>
        <w:t xml:space="preserve">. </w:t>
      </w:r>
      <w:r w:rsidR="006C74ED">
        <w:t xml:space="preserve">In </w:t>
      </w:r>
      <w:r w:rsidR="003F4D50">
        <w:t>Dec</w:t>
      </w:r>
      <w:r w:rsidR="00BB0D07">
        <w:t xml:space="preserve">ember </w:t>
      </w:r>
      <w:r w:rsidR="006C74ED">
        <w:t xml:space="preserve">2019, </w:t>
      </w:r>
      <w:r w:rsidR="00BB0D07">
        <w:t>8</w:t>
      </w:r>
      <w:r w:rsidR="003F4D50">
        <w:t>7</w:t>
      </w:r>
      <w:r w:rsidR="006C74ED">
        <w:t xml:space="preserve">% by weight of Australia’s </w:t>
      </w:r>
      <w:r w:rsidR="005D3814">
        <w:t xml:space="preserve">exported </w:t>
      </w:r>
      <w:r w:rsidR="00693E99">
        <w:t>waste-derived products and waste</w:t>
      </w:r>
      <w:r w:rsidR="00A87F19">
        <w:t>s</w:t>
      </w:r>
      <w:r w:rsidR="006C74ED">
        <w:t xml:space="preserve"> were </w:t>
      </w:r>
      <w:r w:rsidR="005D3814">
        <w:t xml:space="preserve">sent </w:t>
      </w:r>
      <w:r w:rsidR="006C74ED">
        <w:t>to the</w:t>
      </w:r>
      <w:r>
        <w:t>se countries.</w:t>
      </w:r>
      <w:r w:rsidR="0064473D">
        <w:t xml:space="preserve"> </w:t>
      </w:r>
    </w:p>
    <w:p w14:paraId="33C1D195" w14:textId="2D9205EA" w:rsidR="006C74ED" w:rsidRDefault="006C74ED" w:rsidP="00B50BE7">
      <w:pPr>
        <w:pStyle w:val="BodyText"/>
      </w:pPr>
    </w:p>
    <w:p w14:paraId="682B5F90" w14:textId="3780B336" w:rsidR="005B6A95" w:rsidRDefault="00F75B4F" w:rsidP="004259D3">
      <w:pPr>
        <w:pStyle w:val="BodyText"/>
      </w:pPr>
      <w:r>
        <w:t xml:space="preserve">Table 1 </w:t>
      </w:r>
      <w:r w:rsidR="00767CBE">
        <w:t xml:space="preserve">(overleaf) </w:t>
      </w:r>
      <w:r>
        <w:t xml:space="preserve">compares exports </w:t>
      </w:r>
      <w:r w:rsidR="000A6DC0">
        <w:t xml:space="preserve">of </w:t>
      </w:r>
      <w:r w:rsidR="00693E99">
        <w:t>waste-derived products and waste</w:t>
      </w:r>
      <w:r w:rsidR="00A87F19">
        <w:t>s</w:t>
      </w:r>
      <w:r w:rsidR="000A6DC0">
        <w:t xml:space="preserve"> to </w:t>
      </w:r>
      <w:r>
        <w:t xml:space="preserve">these top 10 countries </w:t>
      </w:r>
      <w:r w:rsidR="00FE67BB">
        <w:t xml:space="preserve">in </w:t>
      </w:r>
      <w:r w:rsidR="003F4D50">
        <w:t>Dec</w:t>
      </w:r>
      <w:r w:rsidR="00BB0D07">
        <w:t xml:space="preserve">ember </w:t>
      </w:r>
      <w:r w:rsidR="006F3380">
        <w:t xml:space="preserve">and </w:t>
      </w:r>
      <w:r w:rsidR="003F4D50">
        <w:t>Nov</w:t>
      </w:r>
      <w:r w:rsidR="001E554E">
        <w:t>em</w:t>
      </w:r>
      <w:r w:rsidR="00BB0D07">
        <w:t>ber</w:t>
      </w:r>
      <w:r w:rsidR="00FE67BB">
        <w:t xml:space="preserve"> 2019 and includes each country’s 2018-19 monthly average. </w:t>
      </w:r>
      <w:r w:rsidR="001E554E">
        <w:t>Dec</w:t>
      </w:r>
      <w:r w:rsidR="00C03D50">
        <w:t>ember</w:t>
      </w:r>
      <w:r w:rsidR="00DC26A4">
        <w:t> </w:t>
      </w:r>
      <w:r w:rsidR="00C03D50">
        <w:t>2019 e</w:t>
      </w:r>
      <w:r w:rsidR="00051B6E">
        <w:t xml:space="preserve">xports to </w:t>
      </w:r>
      <w:r w:rsidR="001E554E">
        <w:t xml:space="preserve">India, Bangladesh, Malaysia, Thailand, Republic of Korea, and Taiwan </w:t>
      </w:r>
      <w:r w:rsidR="00051B6E">
        <w:t xml:space="preserve">were </w:t>
      </w:r>
      <w:r w:rsidR="0062038E">
        <w:t xml:space="preserve">higher </w:t>
      </w:r>
      <w:r w:rsidR="00051B6E">
        <w:t>than their 2018-19 monthly averages</w:t>
      </w:r>
      <w:r w:rsidR="00913C37">
        <w:t xml:space="preserve">. Those to </w:t>
      </w:r>
      <w:r w:rsidR="001E554E">
        <w:t xml:space="preserve">Indonesia, Vietnam, China, and New Zealand </w:t>
      </w:r>
      <w:r w:rsidR="00051B6E">
        <w:t xml:space="preserve">were </w:t>
      </w:r>
      <w:r w:rsidR="0062038E">
        <w:t>lower</w:t>
      </w:r>
      <w:r w:rsidR="00051B6E">
        <w:t xml:space="preserve">. </w:t>
      </w:r>
      <w:r w:rsidR="00FD3033" w:rsidRPr="00626CAF">
        <w:t xml:space="preserve">Exports to Vietnam fell to a low of </w:t>
      </w:r>
      <w:r w:rsidR="003D2DDC">
        <w:t>4</w:t>
      </w:r>
      <w:r w:rsidR="00FD3033" w:rsidRPr="00626CAF">
        <w:t>,000 tonnes in November 2019</w:t>
      </w:r>
      <w:r w:rsidR="004867B8">
        <w:t xml:space="preserve">, </w:t>
      </w:r>
      <w:r w:rsidR="00FD3033" w:rsidRPr="00626CAF">
        <w:t xml:space="preserve">due to a significant decline in metal exports following </w:t>
      </w:r>
      <w:r w:rsidR="00262898" w:rsidRPr="00626CAF">
        <w:t xml:space="preserve">Vietnam’s </w:t>
      </w:r>
      <w:r w:rsidR="00C03D50" w:rsidRPr="00626CAF">
        <w:t xml:space="preserve">imposition of import restrictions on </w:t>
      </w:r>
      <w:r w:rsidR="00CF0CED" w:rsidRPr="00626CAF">
        <w:t xml:space="preserve">mixed </w:t>
      </w:r>
      <w:r w:rsidR="00262898" w:rsidRPr="00626CAF">
        <w:t xml:space="preserve">scrap </w:t>
      </w:r>
      <w:r w:rsidR="00CF0CED" w:rsidRPr="00626CAF">
        <w:t>metal</w:t>
      </w:r>
      <w:r w:rsidR="00C03D50" w:rsidRPr="00626CAF">
        <w:t>s</w:t>
      </w:r>
      <w:r w:rsidR="00CF0CED" w:rsidRPr="00626CAF">
        <w:t xml:space="preserve"> </w:t>
      </w:r>
      <w:r w:rsidR="00262898" w:rsidRPr="00626CAF">
        <w:t>in October 2019</w:t>
      </w:r>
      <w:r w:rsidR="004867B8">
        <w:t>. In December</w:t>
      </w:r>
      <w:r w:rsidR="00E0334B" w:rsidRPr="00626CAF">
        <w:t>, however</w:t>
      </w:r>
      <w:r w:rsidR="004867B8">
        <w:t>, export quantities</w:t>
      </w:r>
      <w:r w:rsidR="00E0334B" w:rsidRPr="00626CAF">
        <w:t xml:space="preserve"> recovered to 45,000</w:t>
      </w:r>
      <w:r w:rsidR="00DC26A4">
        <w:t> </w:t>
      </w:r>
      <w:r w:rsidR="00E0334B" w:rsidRPr="00626CAF">
        <w:t>tonnes</w:t>
      </w:r>
      <w:r w:rsidR="00FD3033" w:rsidRPr="00626CAF">
        <w:t>.</w:t>
      </w:r>
    </w:p>
    <w:p w14:paraId="7EAD4FAE" w14:textId="59D6CB22" w:rsidR="00767CBE" w:rsidRDefault="00767CBE" w:rsidP="004259D3">
      <w:pPr>
        <w:pStyle w:val="BodyText"/>
      </w:pPr>
    </w:p>
    <w:p w14:paraId="7CEE91E3" w14:textId="2A19D0B6" w:rsidR="00767CBE" w:rsidRPr="00693E99" w:rsidRDefault="001E554E" w:rsidP="00767CBE">
      <w:pPr>
        <w:pStyle w:val="BodyText"/>
      </w:pPr>
      <w:r>
        <w:t>Dec</w:t>
      </w:r>
      <w:r w:rsidR="00366EF8">
        <w:t xml:space="preserve">ember </w:t>
      </w:r>
      <w:r w:rsidR="00767CBE">
        <w:t xml:space="preserve">2019 </w:t>
      </w:r>
      <w:r w:rsidR="00767CBE" w:rsidRPr="00693E99">
        <w:t xml:space="preserve">exports of </w:t>
      </w:r>
      <w:r w:rsidR="00767CBE">
        <w:t>waste-derived products and wastes</w:t>
      </w:r>
      <w:r w:rsidR="00767CBE" w:rsidRPr="00693E99">
        <w:t xml:space="preserve"> to Bangladesh</w:t>
      </w:r>
      <w:r w:rsidR="000E33C6">
        <w:t>, Republic of Korea</w:t>
      </w:r>
      <w:r w:rsidR="00CA7438">
        <w:t xml:space="preserve"> and</w:t>
      </w:r>
      <w:r w:rsidR="00767CBE" w:rsidRPr="00693E99">
        <w:t xml:space="preserve"> Taiwan</w:t>
      </w:r>
      <w:r w:rsidR="00CA7438">
        <w:t xml:space="preserve"> </w:t>
      </w:r>
      <w:r w:rsidR="00767CBE" w:rsidRPr="00693E99">
        <w:t xml:space="preserve">were </w:t>
      </w:r>
      <w:r w:rsidR="00767CBE" w:rsidRPr="00AE799D">
        <w:t>dominated by scrap metals (</w:t>
      </w:r>
      <w:r w:rsidR="00CA7438">
        <w:t>90</w:t>
      </w:r>
      <w:r w:rsidR="00767CBE" w:rsidRPr="00AE799D">
        <w:t>%</w:t>
      </w:r>
      <w:r w:rsidR="000E33C6">
        <w:t xml:space="preserve"> or more</w:t>
      </w:r>
      <w:r w:rsidR="00767CBE" w:rsidRPr="00AE799D">
        <w:t>). India</w:t>
      </w:r>
      <w:r w:rsidR="00CA7438">
        <w:t xml:space="preserve"> and </w:t>
      </w:r>
      <w:r w:rsidR="000E33C6">
        <w:t xml:space="preserve">Vietnam’s exports were also </w:t>
      </w:r>
      <w:r w:rsidR="00054717">
        <w:t>mainly</w:t>
      </w:r>
      <w:r w:rsidR="000E33C6">
        <w:t xml:space="preserve"> metals </w:t>
      </w:r>
      <w:r w:rsidR="00054717">
        <w:t xml:space="preserve">at </w:t>
      </w:r>
      <w:r w:rsidR="000E33C6">
        <w:t>60% and 80% respectively, with paper and cardboard the second largest export of 35%</w:t>
      </w:r>
      <w:r w:rsidR="00054717">
        <w:t xml:space="preserve"> and 17%</w:t>
      </w:r>
      <w:r w:rsidR="000E33C6">
        <w:t xml:space="preserve">. Thailand received around 52% metals and 48% paper and cardboard. Malaysia, China and Indonesia’s exports were </w:t>
      </w:r>
      <w:r w:rsidR="004867B8">
        <w:t>mainly</w:t>
      </w:r>
      <w:r w:rsidR="000E33C6">
        <w:t xml:space="preserve"> paper and cardboard at 51%, 69% and 78%, metals being the second largest material. </w:t>
      </w:r>
      <w:r w:rsidR="00902041">
        <w:t>E</w:t>
      </w:r>
      <w:r w:rsidR="000E33C6">
        <w:t>xports to New Zealand were 8</w:t>
      </w:r>
      <w:r w:rsidR="004867B8">
        <w:t>1% organics</w:t>
      </w:r>
      <w:r w:rsidR="000E33C6">
        <w:t xml:space="preserve"> and 14% metals. </w:t>
      </w:r>
      <w:r w:rsidR="00767CBE" w:rsidRPr="00693E99">
        <w:t xml:space="preserve"> </w:t>
      </w:r>
    </w:p>
    <w:p w14:paraId="28F5E0B6" w14:textId="37886E4B" w:rsidR="00B02451" w:rsidRDefault="00B02451" w:rsidP="009C465E">
      <w:pPr>
        <w:pStyle w:val="Caption"/>
      </w:pPr>
      <w:bookmarkStart w:id="2" w:name="_Ref524597468"/>
      <w:r>
        <w:lastRenderedPageBreak/>
        <w:t xml:space="preserve">Table </w:t>
      </w:r>
      <w:r w:rsidR="00EC1C4A">
        <w:rPr>
          <w:noProof/>
        </w:rPr>
        <w:fldChar w:fldCharType="begin"/>
      </w:r>
      <w:r w:rsidR="00EC1C4A">
        <w:rPr>
          <w:noProof/>
        </w:rPr>
        <w:instrText xml:space="preserve"> SEQ Table \* ARABIC </w:instrText>
      </w:r>
      <w:r w:rsidR="00EC1C4A">
        <w:rPr>
          <w:noProof/>
        </w:rPr>
        <w:fldChar w:fldCharType="separate"/>
      </w:r>
      <w:r w:rsidR="005823AE">
        <w:rPr>
          <w:noProof/>
        </w:rPr>
        <w:t>1</w:t>
      </w:r>
      <w:r w:rsidR="00EC1C4A">
        <w:rPr>
          <w:noProof/>
        </w:rPr>
        <w:fldChar w:fldCharType="end"/>
      </w:r>
      <w:bookmarkEnd w:id="2"/>
      <w:r>
        <w:tab/>
        <w:t>Comparison of month-to-month export</w:t>
      </w:r>
      <w:r w:rsidR="00FA1FB3">
        <w:t xml:space="preserve">s of </w:t>
      </w:r>
      <w:r w:rsidR="00693E99">
        <w:t>waste-derived products and waste</w:t>
      </w:r>
      <w:r w:rsidR="00A87F19">
        <w:t>s</w:t>
      </w:r>
      <w:r w:rsidR="00FA1FB3">
        <w:t xml:space="preserve"> </w:t>
      </w:r>
      <w:r w:rsidR="003522E8">
        <w:t>by destination</w:t>
      </w:r>
    </w:p>
    <w:tbl>
      <w:tblPr>
        <w:tblW w:w="5000" w:type="pct"/>
        <w:tblLook w:val="04A0" w:firstRow="1" w:lastRow="0" w:firstColumn="1" w:lastColumn="0" w:noHBand="0" w:noVBand="1"/>
      </w:tblPr>
      <w:tblGrid>
        <w:gridCol w:w="399"/>
        <w:gridCol w:w="1570"/>
        <w:gridCol w:w="810"/>
        <w:gridCol w:w="651"/>
        <w:gridCol w:w="863"/>
        <w:gridCol w:w="751"/>
        <w:gridCol w:w="918"/>
        <w:gridCol w:w="718"/>
        <w:gridCol w:w="736"/>
        <w:gridCol w:w="754"/>
        <w:gridCol w:w="852"/>
      </w:tblGrid>
      <w:tr w:rsidR="003364B1" w:rsidRPr="003364B1" w14:paraId="64D5FB94" w14:textId="77777777" w:rsidTr="00495C3F">
        <w:trPr>
          <w:trHeight w:val="315"/>
        </w:trPr>
        <w:tc>
          <w:tcPr>
            <w:tcW w:w="221" w:type="pct"/>
            <w:tcBorders>
              <w:top w:val="single" w:sz="8" w:space="0" w:color="B7B7E2"/>
              <w:left w:val="nil"/>
              <w:bottom w:val="nil"/>
              <w:right w:val="single" w:sz="8" w:space="0" w:color="B7B7E2"/>
            </w:tcBorders>
            <w:shd w:val="clear" w:color="000000" w:fill="B7B7E2"/>
            <w:vAlign w:val="bottom"/>
            <w:hideMark/>
          </w:tcPr>
          <w:p w14:paraId="29C25D2C" w14:textId="77777777" w:rsidR="003364B1" w:rsidRPr="003364B1" w:rsidRDefault="003364B1" w:rsidP="003364B1">
            <w:pPr>
              <w:rPr>
                <w:rFonts w:eastAsia="Times New Roman" w:cs="Calibri"/>
                <w:b/>
                <w:bCs/>
                <w:color w:val="FFFFFF"/>
                <w:sz w:val="20"/>
                <w:szCs w:val="20"/>
                <w:lang w:eastAsia="en-AU"/>
              </w:rPr>
            </w:pPr>
            <w:r w:rsidRPr="003364B1">
              <w:rPr>
                <w:rFonts w:eastAsia="Times New Roman" w:cs="Calibri"/>
                <w:b/>
                <w:bCs/>
                <w:color w:val="FFFFFF"/>
                <w:sz w:val="20"/>
                <w:szCs w:val="20"/>
                <w:lang w:eastAsia="en-AU"/>
              </w:rPr>
              <w:t> </w:t>
            </w:r>
          </w:p>
        </w:tc>
        <w:tc>
          <w:tcPr>
            <w:tcW w:w="870" w:type="pct"/>
            <w:tcBorders>
              <w:top w:val="single" w:sz="8" w:space="0" w:color="B7B7E2"/>
              <w:left w:val="nil"/>
              <w:bottom w:val="nil"/>
              <w:right w:val="single" w:sz="6" w:space="0" w:color="37378B" w:themeColor="accent1" w:themeShade="BF"/>
            </w:tcBorders>
            <w:shd w:val="clear" w:color="000000" w:fill="B7B7E2"/>
            <w:vAlign w:val="bottom"/>
            <w:hideMark/>
          </w:tcPr>
          <w:p w14:paraId="207D2818" w14:textId="77777777" w:rsidR="003364B1" w:rsidRPr="003364B1" w:rsidRDefault="003364B1" w:rsidP="003364B1">
            <w:pPr>
              <w:rPr>
                <w:rFonts w:eastAsia="Times New Roman" w:cs="Calibri"/>
                <w:b/>
                <w:bCs/>
                <w:color w:val="FFFFFF"/>
                <w:sz w:val="20"/>
                <w:szCs w:val="20"/>
                <w:lang w:eastAsia="en-AU"/>
              </w:rPr>
            </w:pPr>
            <w:r w:rsidRPr="003364B1">
              <w:rPr>
                <w:rFonts w:eastAsia="Times New Roman" w:cs="Calibri"/>
                <w:b/>
                <w:bCs/>
                <w:color w:val="FFFFFF"/>
                <w:sz w:val="20"/>
                <w:szCs w:val="20"/>
                <w:lang w:eastAsia="en-AU"/>
              </w:rPr>
              <w:t> </w:t>
            </w:r>
          </w:p>
        </w:tc>
        <w:tc>
          <w:tcPr>
            <w:tcW w:w="449" w:type="pct"/>
            <w:tcBorders>
              <w:top w:val="single" w:sz="8" w:space="0" w:color="B7B7E2"/>
              <w:left w:val="single" w:sz="6" w:space="0" w:color="37378B" w:themeColor="accent1" w:themeShade="BF"/>
              <w:bottom w:val="nil"/>
              <w:right w:val="single" w:sz="8" w:space="0" w:color="B7B7E2"/>
            </w:tcBorders>
            <w:shd w:val="clear" w:color="000000" w:fill="B7B7E2"/>
            <w:vAlign w:val="bottom"/>
            <w:hideMark/>
          </w:tcPr>
          <w:p w14:paraId="7C77E2A7" w14:textId="77777777" w:rsidR="003364B1" w:rsidRPr="003364B1" w:rsidRDefault="003364B1" w:rsidP="00495C3F">
            <w:pPr>
              <w:jc w:val="right"/>
              <w:rPr>
                <w:rFonts w:eastAsia="Times New Roman" w:cs="Calibri"/>
                <w:b/>
                <w:bCs/>
                <w:color w:val="FFFFFF"/>
                <w:sz w:val="20"/>
                <w:szCs w:val="20"/>
                <w:lang w:eastAsia="en-AU"/>
              </w:rPr>
            </w:pPr>
            <w:r w:rsidRPr="003364B1">
              <w:rPr>
                <w:rFonts w:eastAsia="Times New Roman" w:cs="Calibri"/>
                <w:b/>
                <w:bCs/>
                <w:color w:val="FFFFFF"/>
                <w:sz w:val="20"/>
                <w:szCs w:val="20"/>
                <w:lang w:eastAsia="en-AU"/>
              </w:rPr>
              <w:t> </w:t>
            </w:r>
          </w:p>
        </w:tc>
        <w:tc>
          <w:tcPr>
            <w:tcW w:w="361" w:type="pct"/>
            <w:tcBorders>
              <w:top w:val="single" w:sz="8" w:space="0" w:color="B7B7E2"/>
              <w:left w:val="nil"/>
              <w:bottom w:val="nil"/>
              <w:right w:val="single" w:sz="8" w:space="0" w:color="B7B7E2"/>
            </w:tcBorders>
            <w:shd w:val="clear" w:color="000000" w:fill="B7B7E2"/>
            <w:vAlign w:val="bottom"/>
            <w:hideMark/>
          </w:tcPr>
          <w:p w14:paraId="1E3F1AE1" w14:textId="77777777" w:rsidR="003364B1" w:rsidRPr="003364B1" w:rsidRDefault="003364B1" w:rsidP="00495C3F">
            <w:pPr>
              <w:jc w:val="right"/>
              <w:rPr>
                <w:rFonts w:eastAsia="Times New Roman" w:cs="Calibri"/>
                <w:b/>
                <w:bCs/>
                <w:color w:val="FFFFFF"/>
                <w:sz w:val="20"/>
                <w:szCs w:val="20"/>
                <w:lang w:eastAsia="en-AU"/>
              </w:rPr>
            </w:pPr>
            <w:r w:rsidRPr="003364B1">
              <w:rPr>
                <w:rFonts w:eastAsia="Times New Roman" w:cs="Calibri"/>
                <w:b/>
                <w:bCs/>
                <w:color w:val="FFFFFF"/>
                <w:sz w:val="20"/>
                <w:szCs w:val="20"/>
                <w:lang w:eastAsia="en-AU"/>
              </w:rPr>
              <w:t> </w:t>
            </w:r>
          </w:p>
        </w:tc>
        <w:tc>
          <w:tcPr>
            <w:tcW w:w="478" w:type="pct"/>
            <w:tcBorders>
              <w:top w:val="single" w:sz="8" w:space="0" w:color="B7B7E2"/>
              <w:left w:val="nil"/>
              <w:bottom w:val="nil"/>
              <w:right w:val="single" w:sz="8" w:space="0" w:color="B7B7E2"/>
            </w:tcBorders>
            <w:shd w:val="clear" w:color="000000" w:fill="B7B7E2"/>
            <w:vAlign w:val="bottom"/>
            <w:hideMark/>
          </w:tcPr>
          <w:p w14:paraId="75F6E71A" w14:textId="4332953C" w:rsidR="003364B1" w:rsidRPr="003364B1" w:rsidRDefault="003364B1" w:rsidP="00495C3F">
            <w:pPr>
              <w:jc w:val="right"/>
              <w:rPr>
                <w:rFonts w:eastAsia="Times New Roman" w:cs="Calibri"/>
                <w:b/>
                <w:bCs/>
                <w:color w:val="FFFFFF"/>
                <w:sz w:val="20"/>
                <w:szCs w:val="20"/>
                <w:lang w:eastAsia="en-AU"/>
              </w:rPr>
            </w:pPr>
            <w:r w:rsidRPr="003364B1">
              <w:rPr>
                <w:rFonts w:eastAsia="Times New Roman" w:cs="Calibri"/>
                <w:b/>
                <w:bCs/>
                <w:color w:val="FFFFFF"/>
                <w:sz w:val="20"/>
                <w:szCs w:val="20"/>
                <w:lang w:eastAsia="en-AU"/>
              </w:rPr>
              <w:t> </w:t>
            </w:r>
            <w:r w:rsidR="00A9680F">
              <w:rPr>
                <w:rFonts w:eastAsia="Times New Roman" w:cs="Calibri"/>
                <w:b/>
                <w:bCs/>
                <w:color w:val="FFFFFF"/>
                <w:sz w:val="20"/>
                <w:szCs w:val="20"/>
                <w:lang w:eastAsia="en-AU"/>
              </w:rPr>
              <w:t>Tonnes</w:t>
            </w:r>
          </w:p>
        </w:tc>
        <w:tc>
          <w:tcPr>
            <w:tcW w:w="416" w:type="pct"/>
            <w:tcBorders>
              <w:top w:val="single" w:sz="8" w:space="0" w:color="B7B7E2"/>
              <w:left w:val="nil"/>
              <w:bottom w:val="nil"/>
              <w:right w:val="single" w:sz="8" w:space="0" w:color="B7B7E2"/>
            </w:tcBorders>
            <w:shd w:val="clear" w:color="000000" w:fill="B7B7E2"/>
            <w:vAlign w:val="bottom"/>
            <w:hideMark/>
          </w:tcPr>
          <w:p w14:paraId="1C0CC795" w14:textId="77777777" w:rsidR="003364B1" w:rsidRPr="003364B1" w:rsidRDefault="003364B1" w:rsidP="00495C3F">
            <w:pPr>
              <w:jc w:val="right"/>
              <w:rPr>
                <w:rFonts w:eastAsia="Times New Roman" w:cs="Calibri"/>
                <w:b/>
                <w:bCs/>
                <w:color w:val="FFFFFF"/>
                <w:sz w:val="20"/>
                <w:szCs w:val="20"/>
                <w:lang w:eastAsia="en-AU"/>
              </w:rPr>
            </w:pPr>
            <w:r w:rsidRPr="003364B1">
              <w:rPr>
                <w:rFonts w:eastAsia="Times New Roman" w:cs="Calibri"/>
                <w:b/>
                <w:bCs/>
                <w:color w:val="FFFFFF"/>
                <w:sz w:val="20"/>
                <w:szCs w:val="20"/>
                <w:lang w:eastAsia="en-AU"/>
              </w:rPr>
              <w:t> </w:t>
            </w:r>
          </w:p>
        </w:tc>
        <w:tc>
          <w:tcPr>
            <w:tcW w:w="509" w:type="pct"/>
            <w:tcBorders>
              <w:top w:val="single" w:sz="8" w:space="0" w:color="B7B7E2"/>
              <w:left w:val="nil"/>
              <w:bottom w:val="nil"/>
              <w:right w:val="single" w:sz="6" w:space="0" w:color="37378B" w:themeColor="accent1" w:themeShade="BF"/>
            </w:tcBorders>
            <w:shd w:val="clear" w:color="000000" w:fill="B7B7E2"/>
            <w:vAlign w:val="bottom"/>
            <w:hideMark/>
          </w:tcPr>
          <w:p w14:paraId="315171C7" w14:textId="77777777" w:rsidR="003364B1" w:rsidRPr="003364B1" w:rsidRDefault="003364B1" w:rsidP="00495C3F">
            <w:pPr>
              <w:jc w:val="right"/>
              <w:rPr>
                <w:rFonts w:eastAsia="Times New Roman" w:cs="Calibri"/>
                <w:b/>
                <w:bCs/>
                <w:color w:val="FFFFFF"/>
                <w:sz w:val="20"/>
                <w:szCs w:val="20"/>
                <w:lang w:eastAsia="en-AU"/>
              </w:rPr>
            </w:pPr>
            <w:r w:rsidRPr="003364B1">
              <w:rPr>
                <w:rFonts w:eastAsia="Times New Roman" w:cs="Calibri"/>
                <w:b/>
                <w:bCs/>
                <w:color w:val="FFFFFF"/>
                <w:sz w:val="20"/>
                <w:szCs w:val="20"/>
                <w:lang w:eastAsia="en-AU"/>
              </w:rPr>
              <w:t> </w:t>
            </w:r>
          </w:p>
        </w:tc>
        <w:tc>
          <w:tcPr>
            <w:tcW w:w="398" w:type="pct"/>
            <w:tcBorders>
              <w:top w:val="single" w:sz="8" w:space="0" w:color="B7B7E2"/>
              <w:left w:val="single" w:sz="6" w:space="0" w:color="37378B" w:themeColor="accent1" w:themeShade="BF"/>
              <w:bottom w:val="nil"/>
              <w:right w:val="single" w:sz="8" w:space="0" w:color="B7B7E2"/>
            </w:tcBorders>
            <w:shd w:val="clear" w:color="000000" w:fill="B7B7E2"/>
            <w:vAlign w:val="bottom"/>
            <w:hideMark/>
          </w:tcPr>
          <w:p w14:paraId="1C86A02F" w14:textId="77777777" w:rsidR="003364B1" w:rsidRPr="003364B1" w:rsidRDefault="003364B1" w:rsidP="00495C3F">
            <w:pPr>
              <w:jc w:val="right"/>
              <w:rPr>
                <w:rFonts w:eastAsia="Times New Roman" w:cs="Calibri"/>
                <w:b/>
                <w:bCs/>
                <w:color w:val="FFFFFF"/>
                <w:sz w:val="20"/>
                <w:szCs w:val="20"/>
                <w:lang w:eastAsia="en-AU"/>
              </w:rPr>
            </w:pPr>
            <w:r w:rsidRPr="003364B1">
              <w:rPr>
                <w:rFonts w:eastAsia="Times New Roman" w:cs="Calibri"/>
                <w:b/>
                <w:bCs/>
                <w:color w:val="FFFFFF"/>
                <w:sz w:val="20"/>
                <w:szCs w:val="20"/>
                <w:lang w:eastAsia="en-AU"/>
              </w:rPr>
              <w:t> </w:t>
            </w:r>
          </w:p>
        </w:tc>
        <w:tc>
          <w:tcPr>
            <w:tcW w:w="408" w:type="pct"/>
            <w:tcBorders>
              <w:top w:val="single" w:sz="8" w:space="0" w:color="B7B7E2"/>
              <w:left w:val="nil"/>
              <w:bottom w:val="nil"/>
              <w:right w:val="single" w:sz="8" w:space="0" w:color="B7B7E2"/>
            </w:tcBorders>
            <w:shd w:val="clear" w:color="000000" w:fill="B7B7E2"/>
            <w:vAlign w:val="bottom"/>
            <w:hideMark/>
          </w:tcPr>
          <w:p w14:paraId="73BBEA16" w14:textId="03D3C75C" w:rsidR="003364B1" w:rsidRPr="003364B1" w:rsidRDefault="003364B1" w:rsidP="00495C3F">
            <w:pPr>
              <w:jc w:val="right"/>
              <w:rPr>
                <w:rFonts w:eastAsia="Times New Roman" w:cs="Calibri"/>
                <w:b/>
                <w:bCs/>
                <w:color w:val="FFFFFF"/>
                <w:sz w:val="20"/>
                <w:szCs w:val="20"/>
                <w:lang w:eastAsia="en-AU"/>
              </w:rPr>
            </w:pPr>
            <w:r w:rsidRPr="003364B1">
              <w:rPr>
                <w:rFonts w:eastAsia="Times New Roman" w:cs="Calibri"/>
                <w:b/>
                <w:bCs/>
                <w:color w:val="FFFFFF"/>
                <w:sz w:val="20"/>
                <w:szCs w:val="20"/>
                <w:lang w:eastAsia="en-AU"/>
              </w:rPr>
              <w:t> </w:t>
            </w:r>
            <w:r w:rsidR="00A9680F">
              <w:rPr>
                <w:rFonts w:eastAsia="Times New Roman" w:cs="Calibri"/>
                <w:b/>
                <w:bCs/>
                <w:color w:val="FFFFFF"/>
                <w:sz w:val="20"/>
                <w:szCs w:val="20"/>
                <w:lang w:eastAsia="en-AU"/>
              </w:rPr>
              <w:t>Value</w:t>
            </w:r>
          </w:p>
        </w:tc>
        <w:tc>
          <w:tcPr>
            <w:tcW w:w="418" w:type="pct"/>
            <w:tcBorders>
              <w:top w:val="single" w:sz="8" w:space="0" w:color="B7B7E2"/>
              <w:left w:val="nil"/>
              <w:bottom w:val="nil"/>
              <w:right w:val="single" w:sz="8" w:space="0" w:color="B7B7E2"/>
            </w:tcBorders>
            <w:shd w:val="clear" w:color="000000" w:fill="B7B7E2"/>
            <w:vAlign w:val="bottom"/>
            <w:hideMark/>
          </w:tcPr>
          <w:p w14:paraId="0B1044FB" w14:textId="77777777" w:rsidR="003364B1" w:rsidRPr="003364B1" w:rsidRDefault="003364B1" w:rsidP="00495C3F">
            <w:pPr>
              <w:jc w:val="right"/>
              <w:rPr>
                <w:rFonts w:eastAsia="Times New Roman" w:cs="Calibri"/>
                <w:b/>
                <w:bCs/>
                <w:color w:val="FFFFFF"/>
                <w:sz w:val="20"/>
                <w:szCs w:val="20"/>
                <w:lang w:eastAsia="en-AU"/>
              </w:rPr>
            </w:pPr>
            <w:r w:rsidRPr="003364B1">
              <w:rPr>
                <w:rFonts w:eastAsia="Times New Roman" w:cs="Calibri"/>
                <w:b/>
                <w:bCs/>
                <w:color w:val="FFFFFF"/>
                <w:sz w:val="20"/>
                <w:szCs w:val="20"/>
                <w:lang w:eastAsia="en-AU"/>
              </w:rPr>
              <w:t> </w:t>
            </w:r>
          </w:p>
        </w:tc>
        <w:tc>
          <w:tcPr>
            <w:tcW w:w="473" w:type="pct"/>
            <w:tcBorders>
              <w:top w:val="single" w:sz="8" w:space="0" w:color="B7B7E2"/>
              <w:left w:val="nil"/>
              <w:bottom w:val="nil"/>
              <w:right w:val="single" w:sz="8" w:space="0" w:color="B7B7E2"/>
            </w:tcBorders>
            <w:shd w:val="clear" w:color="000000" w:fill="B7B7E2"/>
            <w:vAlign w:val="bottom"/>
            <w:hideMark/>
          </w:tcPr>
          <w:p w14:paraId="0A3315BF" w14:textId="77777777" w:rsidR="003364B1" w:rsidRPr="003364B1" w:rsidRDefault="003364B1" w:rsidP="00495C3F">
            <w:pPr>
              <w:jc w:val="right"/>
              <w:rPr>
                <w:rFonts w:eastAsia="Times New Roman" w:cs="Calibri"/>
                <w:b/>
                <w:bCs/>
                <w:color w:val="FFFFFF"/>
                <w:sz w:val="20"/>
                <w:szCs w:val="20"/>
                <w:lang w:eastAsia="en-AU"/>
              </w:rPr>
            </w:pPr>
            <w:r w:rsidRPr="003364B1">
              <w:rPr>
                <w:rFonts w:eastAsia="Times New Roman" w:cs="Calibri"/>
                <w:b/>
                <w:bCs/>
                <w:color w:val="FFFFFF"/>
                <w:sz w:val="20"/>
                <w:szCs w:val="20"/>
                <w:lang w:eastAsia="en-AU"/>
              </w:rPr>
              <w:t> </w:t>
            </w:r>
          </w:p>
        </w:tc>
      </w:tr>
      <w:tr w:rsidR="00495C3F" w:rsidRPr="003364B1" w14:paraId="5DA46575" w14:textId="77777777" w:rsidTr="00495C3F">
        <w:trPr>
          <w:trHeight w:val="315"/>
        </w:trPr>
        <w:tc>
          <w:tcPr>
            <w:tcW w:w="1091" w:type="pct"/>
            <w:gridSpan w:val="2"/>
            <w:vMerge w:val="restart"/>
            <w:tcBorders>
              <w:left w:val="single" w:sz="8" w:space="0" w:color="B7B7E2"/>
              <w:right w:val="single" w:sz="6" w:space="0" w:color="37378B" w:themeColor="accent1" w:themeShade="BF"/>
            </w:tcBorders>
            <w:shd w:val="clear" w:color="000000" w:fill="B7B7E2"/>
            <w:vAlign w:val="bottom"/>
            <w:hideMark/>
          </w:tcPr>
          <w:p w14:paraId="002149A4" w14:textId="77777777" w:rsidR="00495C3F" w:rsidRPr="003364B1" w:rsidRDefault="00495C3F" w:rsidP="003364B1">
            <w:pPr>
              <w:rPr>
                <w:rFonts w:eastAsia="Times New Roman" w:cs="Calibri"/>
                <w:b/>
                <w:bCs/>
                <w:color w:val="FFFFFF"/>
                <w:sz w:val="18"/>
                <w:szCs w:val="18"/>
                <w:lang w:eastAsia="en-AU"/>
              </w:rPr>
            </w:pPr>
            <w:r w:rsidRPr="003364B1">
              <w:rPr>
                <w:rFonts w:eastAsia="Times New Roman" w:cs="Calibri"/>
                <w:b/>
                <w:bCs/>
                <w:color w:val="FFFFFF"/>
                <w:sz w:val="18"/>
                <w:szCs w:val="18"/>
                <w:lang w:eastAsia="en-AU"/>
              </w:rPr>
              <w:t>Export destination (ranked by tonnes since July 2018)</w:t>
            </w:r>
          </w:p>
        </w:tc>
        <w:tc>
          <w:tcPr>
            <w:tcW w:w="810" w:type="pct"/>
            <w:gridSpan w:val="2"/>
            <w:tcBorders>
              <w:left w:val="single" w:sz="6" w:space="0" w:color="37378B" w:themeColor="accent1" w:themeShade="BF"/>
              <w:right w:val="single" w:sz="8" w:space="0" w:color="B7B7E2"/>
            </w:tcBorders>
            <w:shd w:val="clear" w:color="000000" w:fill="B7B7E2"/>
            <w:vAlign w:val="center"/>
            <w:hideMark/>
          </w:tcPr>
          <w:p w14:paraId="1812C922" w14:textId="77777777" w:rsidR="00495C3F" w:rsidRPr="003364B1" w:rsidRDefault="00495C3F" w:rsidP="00495C3F">
            <w:pPr>
              <w:jc w:val="center"/>
              <w:rPr>
                <w:rFonts w:eastAsia="Times New Roman" w:cs="Calibri"/>
                <w:b/>
                <w:bCs/>
                <w:color w:val="FFFFFF"/>
                <w:sz w:val="18"/>
                <w:szCs w:val="18"/>
                <w:lang w:eastAsia="en-AU"/>
              </w:rPr>
            </w:pPr>
            <w:r w:rsidRPr="003364B1">
              <w:rPr>
                <w:rFonts w:eastAsia="Times New Roman" w:cs="Calibri"/>
                <w:b/>
                <w:bCs/>
                <w:color w:val="FFFFFF"/>
                <w:sz w:val="18"/>
                <w:szCs w:val="18"/>
                <w:lang w:eastAsia="en-AU"/>
              </w:rPr>
              <w:t>Dec-19</w:t>
            </w:r>
          </w:p>
        </w:tc>
        <w:tc>
          <w:tcPr>
            <w:tcW w:w="894" w:type="pct"/>
            <w:gridSpan w:val="2"/>
            <w:tcBorders>
              <w:left w:val="single" w:sz="8" w:space="0" w:color="B7B7E2"/>
              <w:right w:val="single" w:sz="8" w:space="0" w:color="B7B7E2"/>
            </w:tcBorders>
            <w:shd w:val="clear" w:color="000000" w:fill="B7B7E2"/>
            <w:vAlign w:val="center"/>
            <w:hideMark/>
          </w:tcPr>
          <w:p w14:paraId="54F5067F" w14:textId="3D6664C6" w:rsidR="00495C3F" w:rsidRPr="003364B1" w:rsidRDefault="00495C3F" w:rsidP="00495C3F">
            <w:pPr>
              <w:jc w:val="center"/>
              <w:rPr>
                <w:rFonts w:eastAsia="Times New Roman" w:cs="Calibri"/>
                <w:b/>
                <w:bCs/>
                <w:color w:val="FFFFFF"/>
                <w:sz w:val="18"/>
                <w:szCs w:val="18"/>
                <w:lang w:eastAsia="en-AU"/>
              </w:rPr>
            </w:pPr>
            <w:r w:rsidRPr="003364B1">
              <w:rPr>
                <w:rFonts w:eastAsia="Times New Roman" w:cs="Calibri"/>
                <w:b/>
                <w:bCs/>
                <w:color w:val="FFFFFF"/>
                <w:sz w:val="18"/>
                <w:szCs w:val="18"/>
                <w:lang w:eastAsia="en-AU"/>
              </w:rPr>
              <w:t>Nov-19</w:t>
            </w:r>
          </w:p>
        </w:tc>
        <w:tc>
          <w:tcPr>
            <w:tcW w:w="509" w:type="pct"/>
            <w:tcBorders>
              <w:left w:val="nil"/>
              <w:right w:val="single" w:sz="6" w:space="0" w:color="37378B" w:themeColor="accent1" w:themeShade="BF"/>
            </w:tcBorders>
            <w:shd w:val="clear" w:color="000000" w:fill="B7B7E2"/>
            <w:vAlign w:val="bottom"/>
            <w:hideMark/>
          </w:tcPr>
          <w:p w14:paraId="57071F2F" w14:textId="77777777" w:rsidR="00495C3F" w:rsidRPr="003364B1" w:rsidRDefault="00495C3F" w:rsidP="00495C3F">
            <w:pPr>
              <w:jc w:val="right"/>
              <w:rPr>
                <w:rFonts w:eastAsia="Times New Roman" w:cs="Calibri"/>
                <w:b/>
                <w:bCs/>
                <w:color w:val="FFFFFF"/>
                <w:sz w:val="18"/>
                <w:szCs w:val="18"/>
                <w:lang w:eastAsia="en-AU"/>
              </w:rPr>
            </w:pPr>
            <w:r w:rsidRPr="003364B1">
              <w:rPr>
                <w:rFonts w:eastAsia="Times New Roman" w:cs="Calibri"/>
                <w:b/>
                <w:bCs/>
                <w:color w:val="FFFFFF"/>
                <w:sz w:val="18"/>
                <w:szCs w:val="18"/>
                <w:lang w:eastAsia="en-AU"/>
              </w:rPr>
              <w:t> </w:t>
            </w:r>
          </w:p>
        </w:tc>
        <w:tc>
          <w:tcPr>
            <w:tcW w:w="398" w:type="pct"/>
            <w:tcBorders>
              <w:left w:val="single" w:sz="6" w:space="0" w:color="37378B" w:themeColor="accent1" w:themeShade="BF"/>
              <w:right w:val="nil"/>
            </w:tcBorders>
            <w:shd w:val="clear" w:color="000000" w:fill="B7B7E2"/>
            <w:vAlign w:val="center"/>
            <w:hideMark/>
          </w:tcPr>
          <w:p w14:paraId="4744413D" w14:textId="6BB46D64" w:rsidR="00495C3F" w:rsidRPr="003364B1" w:rsidRDefault="00495C3F" w:rsidP="00495C3F">
            <w:pPr>
              <w:jc w:val="right"/>
              <w:rPr>
                <w:rFonts w:eastAsia="Times New Roman" w:cs="Calibri"/>
                <w:b/>
                <w:bCs/>
                <w:color w:val="FFFFFF"/>
                <w:sz w:val="18"/>
                <w:szCs w:val="18"/>
                <w:lang w:eastAsia="en-AU"/>
              </w:rPr>
            </w:pPr>
            <w:r w:rsidRPr="003364B1">
              <w:rPr>
                <w:rFonts w:eastAsia="Times New Roman" w:cs="Calibri"/>
                <w:b/>
                <w:bCs/>
                <w:color w:val="FFFFFF"/>
                <w:sz w:val="18"/>
                <w:szCs w:val="18"/>
                <w:lang w:eastAsia="en-AU"/>
              </w:rPr>
              <w:t>Dec-</w:t>
            </w:r>
            <w:r>
              <w:rPr>
                <w:rFonts w:eastAsia="Times New Roman" w:cs="Calibri"/>
                <w:b/>
                <w:bCs/>
                <w:color w:val="FFFFFF"/>
                <w:sz w:val="18"/>
                <w:szCs w:val="18"/>
                <w:lang w:eastAsia="en-AU"/>
              </w:rPr>
              <w:t>1</w:t>
            </w:r>
            <w:r w:rsidRPr="003364B1">
              <w:rPr>
                <w:rFonts w:eastAsia="Times New Roman" w:cs="Calibri"/>
                <w:b/>
                <w:bCs/>
                <w:color w:val="FFFFFF"/>
                <w:sz w:val="18"/>
                <w:szCs w:val="18"/>
                <w:lang w:eastAsia="en-AU"/>
              </w:rPr>
              <w:t>9</w:t>
            </w:r>
          </w:p>
        </w:tc>
        <w:tc>
          <w:tcPr>
            <w:tcW w:w="408" w:type="pct"/>
            <w:tcBorders>
              <w:left w:val="nil"/>
              <w:right w:val="nil"/>
            </w:tcBorders>
            <w:shd w:val="clear" w:color="000000" w:fill="B7B7E2"/>
            <w:vAlign w:val="center"/>
            <w:hideMark/>
          </w:tcPr>
          <w:p w14:paraId="2087A1F8" w14:textId="77777777" w:rsidR="00495C3F" w:rsidRPr="003364B1" w:rsidRDefault="00495C3F" w:rsidP="00495C3F">
            <w:pPr>
              <w:jc w:val="right"/>
              <w:rPr>
                <w:rFonts w:eastAsia="Times New Roman" w:cs="Calibri"/>
                <w:b/>
                <w:bCs/>
                <w:color w:val="FFFFFF"/>
                <w:sz w:val="18"/>
                <w:szCs w:val="18"/>
                <w:lang w:eastAsia="en-AU"/>
              </w:rPr>
            </w:pPr>
            <w:r w:rsidRPr="003364B1">
              <w:rPr>
                <w:rFonts w:eastAsia="Times New Roman" w:cs="Calibri"/>
                <w:b/>
                <w:bCs/>
                <w:color w:val="FFFFFF"/>
                <w:sz w:val="18"/>
                <w:szCs w:val="18"/>
                <w:lang w:eastAsia="en-AU"/>
              </w:rPr>
              <w:t>Nov-19</w:t>
            </w:r>
          </w:p>
        </w:tc>
        <w:tc>
          <w:tcPr>
            <w:tcW w:w="418" w:type="pct"/>
            <w:tcBorders>
              <w:left w:val="nil"/>
              <w:right w:val="single" w:sz="8" w:space="0" w:color="B7B7E2"/>
            </w:tcBorders>
            <w:shd w:val="clear" w:color="000000" w:fill="B7B7E2"/>
            <w:hideMark/>
          </w:tcPr>
          <w:p w14:paraId="0E5D74A6" w14:textId="77777777" w:rsidR="00495C3F" w:rsidRPr="003364B1" w:rsidRDefault="00495C3F" w:rsidP="00495C3F">
            <w:pPr>
              <w:jc w:val="right"/>
              <w:rPr>
                <w:rFonts w:eastAsia="Times New Roman" w:cs="Calibri"/>
                <w:b/>
                <w:bCs/>
                <w:color w:val="FFFFFF"/>
                <w:sz w:val="18"/>
                <w:szCs w:val="18"/>
                <w:lang w:eastAsia="en-AU"/>
              </w:rPr>
            </w:pPr>
            <w:r w:rsidRPr="003364B1">
              <w:rPr>
                <w:rFonts w:eastAsia="Times New Roman" w:cs="Calibri"/>
                <w:b/>
                <w:bCs/>
                <w:color w:val="FFFFFF"/>
                <w:sz w:val="18"/>
                <w:szCs w:val="18"/>
                <w:lang w:eastAsia="en-AU"/>
              </w:rPr>
              <w:t> </w:t>
            </w:r>
          </w:p>
        </w:tc>
        <w:tc>
          <w:tcPr>
            <w:tcW w:w="473" w:type="pct"/>
            <w:tcBorders>
              <w:left w:val="nil"/>
              <w:right w:val="single" w:sz="8" w:space="0" w:color="B7B7E2"/>
            </w:tcBorders>
            <w:shd w:val="clear" w:color="000000" w:fill="B7B7E2"/>
            <w:vAlign w:val="bottom"/>
            <w:hideMark/>
          </w:tcPr>
          <w:p w14:paraId="3250B7B5" w14:textId="77777777" w:rsidR="00495C3F" w:rsidRPr="003364B1" w:rsidRDefault="00495C3F" w:rsidP="00495C3F">
            <w:pPr>
              <w:jc w:val="right"/>
              <w:rPr>
                <w:rFonts w:eastAsia="Times New Roman" w:cs="Calibri"/>
                <w:b/>
                <w:bCs/>
                <w:color w:val="FFFFFF"/>
                <w:sz w:val="18"/>
                <w:szCs w:val="18"/>
                <w:lang w:eastAsia="en-AU"/>
              </w:rPr>
            </w:pPr>
            <w:r w:rsidRPr="003364B1">
              <w:rPr>
                <w:rFonts w:eastAsia="Times New Roman" w:cs="Calibri"/>
                <w:b/>
                <w:bCs/>
                <w:color w:val="FFFFFF"/>
                <w:sz w:val="18"/>
                <w:szCs w:val="18"/>
                <w:lang w:eastAsia="en-AU"/>
              </w:rPr>
              <w:t> </w:t>
            </w:r>
          </w:p>
        </w:tc>
      </w:tr>
      <w:tr w:rsidR="003364B1" w:rsidRPr="003364B1" w14:paraId="5078CB3B" w14:textId="77777777" w:rsidTr="00495C3F">
        <w:trPr>
          <w:trHeight w:val="540"/>
        </w:trPr>
        <w:tc>
          <w:tcPr>
            <w:tcW w:w="1091" w:type="pct"/>
            <w:gridSpan w:val="2"/>
            <w:vMerge/>
            <w:tcBorders>
              <w:left w:val="single" w:sz="8" w:space="0" w:color="B7B7E2"/>
              <w:bottom w:val="single" w:sz="8" w:space="0" w:color="B7B7E2"/>
              <w:right w:val="single" w:sz="6" w:space="0" w:color="37378B" w:themeColor="accent1" w:themeShade="BF"/>
            </w:tcBorders>
            <w:vAlign w:val="center"/>
            <w:hideMark/>
          </w:tcPr>
          <w:p w14:paraId="06D51705" w14:textId="77777777" w:rsidR="003364B1" w:rsidRPr="003364B1" w:rsidRDefault="003364B1" w:rsidP="003364B1">
            <w:pPr>
              <w:rPr>
                <w:rFonts w:eastAsia="Times New Roman" w:cs="Calibri"/>
                <w:b/>
                <w:bCs/>
                <w:color w:val="FFFFFF"/>
                <w:sz w:val="18"/>
                <w:szCs w:val="18"/>
                <w:lang w:eastAsia="en-AU"/>
              </w:rPr>
            </w:pPr>
          </w:p>
        </w:tc>
        <w:tc>
          <w:tcPr>
            <w:tcW w:w="449" w:type="pct"/>
            <w:tcBorders>
              <w:left w:val="single" w:sz="6" w:space="0" w:color="37378B" w:themeColor="accent1" w:themeShade="BF"/>
              <w:bottom w:val="single" w:sz="8" w:space="0" w:color="B7B7E2"/>
              <w:right w:val="single" w:sz="8" w:space="0" w:color="B7B7E2"/>
            </w:tcBorders>
            <w:shd w:val="clear" w:color="000000" w:fill="B7B7E2"/>
            <w:vAlign w:val="bottom"/>
            <w:hideMark/>
          </w:tcPr>
          <w:p w14:paraId="37E0C24E" w14:textId="77777777" w:rsidR="003364B1" w:rsidRPr="003364B1" w:rsidRDefault="003364B1" w:rsidP="00495C3F">
            <w:pPr>
              <w:jc w:val="right"/>
              <w:rPr>
                <w:rFonts w:eastAsia="Times New Roman" w:cs="Calibri"/>
                <w:b/>
                <w:bCs/>
                <w:color w:val="FFFFFF"/>
                <w:sz w:val="18"/>
                <w:szCs w:val="18"/>
                <w:lang w:eastAsia="en-AU"/>
              </w:rPr>
            </w:pPr>
            <w:r w:rsidRPr="003364B1">
              <w:rPr>
                <w:rFonts w:eastAsia="Times New Roman" w:cs="Calibri"/>
                <w:b/>
                <w:bCs/>
                <w:color w:val="FFFFFF"/>
                <w:sz w:val="18"/>
                <w:szCs w:val="18"/>
                <w:lang w:eastAsia="en-AU"/>
              </w:rPr>
              <w:t>Tonnes</w:t>
            </w:r>
          </w:p>
        </w:tc>
        <w:tc>
          <w:tcPr>
            <w:tcW w:w="361" w:type="pct"/>
            <w:tcBorders>
              <w:left w:val="nil"/>
              <w:bottom w:val="single" w:sz="8" w:space="0" w:color="B7B7E2"/>
              <w:right w:val="single" w:sz="8" w:space="0" w:color="B7B7E2"/>
            </w:tcBorders>
            <w:shd w:val="clear" w:color="000000" w:fill="B7B7E2"/>
            <w:vAlign w:val="bottom"/>
            <w:hideMark/>
          </w:tcPr>
          <w:p w14:paraId="448AF99C" w14:textId="77777777" w:rsidR="003364B1" w:rsidRPr="003364B1" w:rsidRDefault="003364B1" w:rsidP="00495C3F">
            <w:pPr>
              <w:jc w:val="right"/>
              <w:rPr>
                <w:rFonts w:eastAsia="Times New Roman" w:cs="Calibri"/>
                <w:b/>
                <w:bCs/>
                <w:color w:val="FFFFFF"/>
                <w:sz w:val="18"/>
                <w:szCs w:val="18"/>
                <w:lang w:eastAsia="en-AU"/>
              </w:rPr>
            </w:pPr>
            <w:r w:rsidRPr="003364B1">
              <w:rPr>
                <w:rFonts w:eastAsia="Times New Roman" w:cs="Calibri"/>
                <w:b/>
                <w:bCs/>
                <w:color w:val="FFFFFF"/>
                <w:sz w:val="18"/>
                <w:szCs w:val="18"/>
                <w:lang w:eastAsia="en-AU"/>
              </w:rPr>
              <w:t>% of total</w:t>
            </w:r>
          </w:p>
        </w:tc>
        <w:tc>
          <w:tcPr>
            <w:tcW w:w="478" w:type="pct"/>
            <w:tcBorders>
              <w:left w:val="nil"/>
              <w:bottom w:val="single" w:sz="8" w:space="0" w:color="B7B7E2"/>
              <w:right w:val="single" w:sz="8" w:space="0" w:color="B7B7E2"/>
            </w:tcBorders>
            <w:shd w:val="clear" w:color="000000" w:fill="B7B7E2"/>
            <w:vAlign w:val="bottom"/>
            <w:hideMark/>
          </w:tcPr>
          <w:p w14:paraId="2296B642" w14:textId="77777777" w:rsidR="003364B1" w:rsidRPr="003364B1" w:rsidRDefault="003364B1" w:rsidP="00495C3F">
            <w:pPr>
              <w:jc w:val="right"/>
              <w:rPr>
                <w:rFonts w:eastAsia="Times New Roman" w:cs="Calibri"/>
                <w:b/>
                <w:bCs/>
                <w:color w:val="FFFFFF"/>
                <w:sz w:val="18"/>
                <w:szCs w:val="18"/>
                <w:lang w:eastAsia="en-AU"/>
              </w:rPr>
            </w:pPr>
            <w:r w:rsidRPr="003364B1">
              <w:rPr>
                <w:rFonts w:eastAsia="Times New Roman" w:cs="Calibri"/>
                <w:b/>
                <w:bCs/>
                <w:color w:val="FFFFFF"/>
                <w:sz w:val="18"/>
                <w:szCs w:val="18"/>
                <w:lang w:eastAsia="en-AU"/>
              </w:rPr>
              <w:t>Tonnes</w:t>
            </w:r>
          </w:p>
        </w:tc>
        <w:tc>
          <w:tcPr>
            <w:tcW w:w="416" w:type="pct"/>
            <w:tcBorders>
              <w:left w:val="nil"/>
              <w:bottom w:val="single" w:sz="8" w:space="0" w:color="B7B7E2"/>
              <w:right w:val="single" w:sz="8" w:space="0" w:color="B7B7E2"/>
            </w:tcBorders>
            <w:shd w:val="clear" w:color="000000" w:fill="B7B7E2"/>
            <w:vAlign w:val="bottom"/>
            <w:hideMark/>
          </w:tcPr>
          <w:p w14:paraId="0ADABAA0" w14:textId="77777777" w:rsidR="003364B1" w:rsidRPr="003364B1" w:rsidRDefault="003364B1" w:rsidP="00495C3F">
            <w:pPr>
              <w:jc w:val="right"/>
              <w:rPr>
                <w:rFonts w:eastAsia="Times New Roman" w:cs="Calibri"/>
                <w:b/>
                <w:bCs/>
                <w:color w:val="FFFFFF"/>
                <w:sz w:val="18"/>
                <w:szCs w:val="18"/>
                <w:lang w:eastAsia="en-AU"/>
              </w:rPr>
            </w:pPr>
            <w:r w:rsidRPr="003364B1">
              <w:rPr>
                <w:rFonts w:eastAsia="Times New Roman" w:cs="Calibri"/>
                <w:b/>
                <w:bCs/>
                <w:color w:val="FFFFFF"/>
                <w:sz w:val="18"/>
                <w:szCs w:val="18"/>
                <w:lang w:eastAsia="en-AU"/>
              </w:rPr>
              <w:t>% change</w:t>
            </w:r>
          </w:p>
        </w:tc>
        <w:tc>
          <w:tcPr>
            <w:tcW w:w="509" w:type="pct"/>
            <w:tcBorders>
              <w:left w:val="nil"/>
              <w:bottom w:val="nil"/>
              <w:right w:val="single" w:sz="6" w:space="0" w:color="37378B" w:themeColor="accent1" w:themeShade="BF"/>
            </w:tcBorders>
            <w:shd w:val="clear" w:color="000000" w:fill="B7B7E2"/>
            <w:vAlign w:val="bottom"/>
            <w:hideMark/>
          </w:tcPr>
          <w:p w14:paraId="04364BE5" w14:textId="77777777" w:rsidR="003364B1" w:rsidRPr="003364B1" w:rsidRDefault="003364B1" w:rsidP="00495C3F">
            <w:pPr>
              <w:jc w:val="right"/>
              <w:rPr>
                <w:rFonts w:eastAsia="Times New Roman" w:cs="Calibri"/>
                <w:b/>
                <w:bCs/>
                <w:color w:val="FFFFFF"/>
                <w:sz w:val="18"/>
                <w:szCs w:val="18"/>
                <w:lang w:eastAsia="en-AU"/>
              </w:rPr>
            </w:pPr>
            <w:r w:rsidRPr="003364B1">
              <w:rPr>
                <w:rFonts w:eastAsia="Times New Roman" w:cs="Calibri"/>
                <w:b/>
                <w:bCs/>
                <w:color w:val="FFFFFF"/>
                <w:sz w:val="18"/>
                <w:szCs w:val="18"/>
                <w:lang w:eastAsia="en-AU"/>
              </w:rPr>
              <w:t>2018-19 monthly avg</w:t>
            </w:r>
          </w:p>
        </w:tc>
        <w:tc>
          <w:tcPr>
            <w:tcW w:w="398" w:type="pct"/>
            <w:tcBorders>
              <w:left w:val="single" w:sz="6" w:space="0" w:color="37378B" w:themeColor="accent1" w:themeShade="BF"/>
              <w:bottom w:val="nil"/>
              <w:right w:val="single" w:sz="8" w:space="0" w:color="B7B7E2"/>
            </w:tcBorders>
            <w:shd w:val="clear" w:color="000000" w:fill="B7B7E2"/>
            <w:vAlign w:val="bottom"/>
            <w:hideMark/>
          </w:tcPr>
          <w:p w14:paraId="320A3369" w14:textId="77777777" w:rsidR="003364B1" w:rsidRPr="003364B1" w:rsidRDefault="003364B1" w:rsidP="00495C3F">
            <w:pPr>
              <w:jc w:val="right"/>
              <w:rPr>
                <w:rFonts w:eastAsia="Times New Roman" w:cs="Calibri"/>
                <w:b/>
                <w:bCs/>
                <w:color w:val="FFFFFF"/>
                <w:sz w:val="18"/>
                <w:szCs w:val="18"/>
                <w:lang w:eastAsia="en-AU"/>
              </w:rPr>
            </w:pPr>
            <w:r w:rsidRPr="003364B1">
              <w:rPr>
                <w:rFonts w:eastAsia="Times New Roman" w:cs="Calibri"/>
                <w:b/>
                <w:bCs/>
                <w:color w:val="FFFFFF"/>
                <w:sz w:val="18"/>
                <w:szCs w:val="18"/>
                <w:lang w:eastAsia="en-AU"/>
              </w:rPr>
              <w:t>$ mil</w:t>
            </w:r>
          </w:p>
        </w:tc>
        <w:tc>
          <w:tcPr>
            <w:tcW w:w="408" w:type="pct"/>
            <w:tcBorders>
              <w:left w:val="nil"/>
              <w:bottom w:val="nil"/>
              <w:right w:val="single" w:sz="8" w:space="0" w:color="B7B7E2"/>
            </w:tcBorders>
            <w:shd w:val="clear" w:color="000000" w:fill="B7B7E2"/>
            <w:vAlign w:val="bottom"/>
            <w:hideMark/>
          </w:tcPr>
          <w:p w14:paraId="4C6304DB" w14:textId="77777777" w:rsidR="003364B1" w:rsidRPr="003364B1" w:rsidRDefault="003364B1" w:rsidP="00495C3F">
            <w:pPr>
              <w:jc w:val="right"/>
              <w:rPr>
                <w:rFonts w:eastAsia="Times New Roman" w:cs="Calibri"/>
                <w:b/>
                <w:bCs/>
                <w:color w:val="FFFFFF"/>
                <w:sz w:val="18"/>
                <w:szCs w:val="18"/>
                <w:lang w:eastAsia="en-AU"/>
              </w:rPr>
            </w:pPr>
            <w:r w:rsidRPr="003364B1">
              <w:rPr>
                <w:rFonts w:eastAsia="Times New Roman" w:cs="Calibri"/>
                <w:b/>
                <w:bCs/>
                <w:color w:val="FFFFFF"/>
                <w:sz w:val="18"/>
                <w:szCs w:val="18"/>
                <w:lang w:eastAsia="en-AU"/>
              </w:rPr>
              <w:t>$ mil</w:t>
            </w:r>
          </w:p>
        </w:tc>
        <w:tc>
          <w:tcPr>
            <w:tcW w:w="418" w:type="pct"/>
            <w:tcBorders>
              <w:left w:val="nil"/>
              <w:bottom w:val="nil"/>
              <w:right w:val="single" w:sz="8" w:space="0" w:color="B7B7E2"/>
            </w:tcBorders>
            <w:shd w:val="clear" w:color="000000" w:fill="B7B7E2"/>
            <w:vAlign w:val="bottom"/>
            <w:hideMark/>
          </w:tcPr>
          <w:p w14:paraId="0DBE2ADD" w14:textId="77777777" w:rsidR="003364B1" w:rsidRPr="003364B1" w:rsidRDefault="003364B1" w:rsidP="00495C3F">
            <w:pPr>
              <w:jc w:val="right"/>
              <w:rPr>
                <w:rFonts w:eastAsia="Times New Roman" w:cs="Calibri"/>
                <w:b/>
                <w:bCs/>
                <w:color w:val="FFFFFF"/>
                <w:sz w:val="18"/>
                <w:szCs w:val="18"/>
                <w:lang w:eastAsia="en-AU"/>
              </w:rPr>
            </w:pPr>
            <w:r w:rsidRPr="003364B1">
              <w:rPr>
                <w:rFonts w:eastAsia="Times New Roman" w:cs="Calibri"/>
                <w:b/>
                <w:bCs/>
                <w:color w:val="FFFFFF"/>
                <w:sz w:val="18"/>
                <w:szCs w:val="18"/>
                <w:lang w:eastAsia="en-AU"/>
              </w:rPr>
              <w:t>% change</w:t>
            </w:r>
          </w:p>
        </w:tc>
        <w:tc>
          <w:tcPr>
            <w:tcW w:w="473" w:type="pct"/>
            <w:tcBorders>
              <w:left w:val="nil"/>
              <w:bottom w:val="nil"/>
              <w:right w:val="nil"/>
            </w:tcBorders>
            <w:shd w:val="clear" w:color="000000" w:fill="B7B7E2"/>
            <w:vAlign w:val="bottom"/>
            <w:hideMark/>
          </w:tcPr>
          <w:p w14:paraId="537F29F0" w14:textId="77777777" w:rsidR="003364B1" w:rsidRPr="003364B1" w:rsidRDefault="003364B1" w:rsidP="00495C3F">
            <w:pPr>
              <w:jc w:val="right"/>
              <w:rPr>
                <w:rFonts w:eastAsia="Times New Roman" w:cs="Calibri"/>
                <w:b/>
                <w:bCs/>
                <w:color w:val="FFFFFF"/>
                <w:sz w:val="18"/>
                <w:szCs w:val="18"/>
                <w:lang w:eastAsia="en-AU"/>
              </w:rPr>
            </w:pPr>
            <w:r w:rsidRPr="003364B1">
              <w:rPr>
                <w:rFonts w:eastAsia="Times New Roman" w:cs="Calibri"/>
                <w:b/>
                <w:bCs/>
                <w:color w:val="FFFFFF"/>
                <w:sz w:val="18"/>
                <w:szCs w:val="18"/>
                <w:lang w:eastAsia="en-AU"/>
              </w:rPr>
              <w:t>2018-19 monthly avg</w:t>
            </w:r>
          </w:p>
        </w:tc>
      </w:tr>
      <w:tr w:rsidR="003364B1" w:rsidRPr="003364B1" w14:paraId="3EE31A03" w14:textId="77777777" w:rsidTr="00495C3F">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4519779E" w14:textId="77777777" w:rsidR="003364B1" w:rsidRPr="003364B1" w:rsidRDefault="003364B1" w:rsidP="003364B1">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w:t>
            </w:r>
          </w:p>
        </w:tc>
        <w:tc>
          <w:tcPr>
            <w:tcW w:w="870" w:type="pct"/>
            <w:tcBorders>
              <w:top w:val="nil"/>
              <w:left w:val="nil"/>
              <w:bottom w:val="single" w:sz="8" w:space="0" w:color="B7B7E2"/>
              <w:right w:val="single" w:sz="6" w:space="0" w:color="37378B" w:themeColor="accent1" w:themeShade="BF"/>
            </w:tcBorders>
            <w:shd w:val="clear" w:color="auto" w:fill="auto"/>
            <w:vAlign w:val="center"/>
            <w:hideMark/>
          </w:tcPr>
          <w:p w14:paraId="7D0EB26D" w14:textId="77777777" w:rsidR="003364B1" w:rsidRPr="003364B1" w:rsidRDefault="003364B1" w:rsidP="003364B1">
            <w:pPr>
              <w:rPr>
                <w:rFonts w:eastAsia="Times New Roman" w:cs="Calibri"/>
                <w:color w:val="000000"/>
                <w:sz w:val="18"/>
                <w:szCs w:val="18"/>
                <w:lang w:eastAsia="en-AU"/>
              </w:rPr>
            </w:pPr>
            <w:r w:rsidRPr="003364B1">
              <w:rPr>
                <w:rFonts w:eastAsia="Times New Roman" w:cs="Calibri"/>
                <w:color w:val="000000"/>
                <w:sz w:val="18"/>
                <w:szCs w:val="18"/>
                <w:lang w:eastAsia="en-AU"/>
              </w:rPr>
              <w:t>Indonesia</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37DFEB1F"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11,000</w:t>
            </w:r>
          </w:p>
        </w:tc>
        <w:tc>
          <w:tcPr>
            <w:tcW w:w="361" w:type="pct"/>
            <w:tcBorders>
              <w:top w:val="nil"/>
              <w:left w:val="nil"/>
              <w:bottom w:val="single" w:sz="8" w:space="0" w:color="B7B7E2"/>
              <w:right w:val="single" w:sz="8" w:space="0" w:color="B7B7E2"/>
            </w:tcBorders>
            <w:shd w:val="clear" w:color="auto" w:fill="auto"/>
            <w:vAlign w:val="center"/>
            <w:hideMark/>
          </w:tcPr>
          <w:p w14:paraId="244BD0EA"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w:t>
            </w:r>
          </w:p>
        </w:tc>
        <w:tc>
          <w:tcPr>
            <w:tcW w:w="478" w:type="pct"/>
            <w:tcBorders>
              <w:top w:val="nil"/>
              <w:left w:val="nil"/>
              <w:bottom w:val="single" w:sz="8" w:space="0" w:color="B7B7E2"/>
              <w:right w:val="single" w:sz="8" w:space="0" w:color="B7B7E2"/>
            </w:tcBorders>
            <w:shd w:val="clear" w:color="auto" w:fill="auto"/>
            <w:vAlign w:val="center"/>
            <w:hideMark/>
          </w:tcPr>
          <w:p w14:paraId="0B9A73E2"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75,000</w:t>
            </w:r>
          </w:p>
        </w:tc>
        <w:tc>
          <w:tcPr>
            <w:tcW w:w="416" w:type="pct"/>
            <w:tcBorders>
              <w:top w:val="nil"/>
              <w:left w:val="nil"/>
              <w:bottom w:val="single" w:sz="8" w:space="0" w:color="B7B7E2"/>
              <w:right w:val="single" w:sz="8" w:space="0" w:color="B7B7E2"/>
            </w:tcBorders>
            <w:shd w:val="clear" w:color="auto" w:fill="auto"/>
            <w:vAlign w:val="center"/>
            <w:hideMark/>
          </w:tcPr>
          <w:p w14:paraId="3F5C5488"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-85%</w:t>
            </w:r>
          </w:p>
        </w:tc>
        <w:tc>
          <w:tcPr>
            <w:tcW w:w="509" w:type="pct"/>
            <w:tcBorders>
              <w:top w:val="nil"/>
              <w:left w:val="nil"/>
              <w:bottom w:val="single" w:sz="8" w:space="0" w:color="B7B7E2"/>
              <w:right w:val="single" w:sz="6" w:space="0" w:color="37378B" w:themeColor="accent1" w:themeShade="BF"/>
            </w:tcBorders>
            <w:shd w:val="clear" w:color="auto" w:fill="auto"/>
            <w:vAlign w:val="center"/>
            <w:hideMark/>
          </w:tcPr>
          <w:p w14:paraId="5423BE6C"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60,000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7A4D06FA"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$3.6</w:t>
            </w:r>
          </w:p>
        </w:tc>
        <w:tc>
          <w:tcPr>
            <w:tcW w:w="408" w:type="pct"/>
            <w:tcBorders>
              <w:top w:val="nil"/>
              <w:left w:val="nil"/>
              <w:bottom w:val="single" w:sz="8" w:space="0" w:color="B7B7E2"/>
              <w:right w:val="single" w:sz="8" w:space="0" w:color="B7B7E2"/>
            </w:tcBorders>
            <w:shd w:val="clear" w:color="auto" w:fill="auto"/>
            <w:vAlign w:val="center"/>
            <w:hideMark/>
          </w:tcPr>
          <w:p w14:paraId="7811AB8A"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$24.4</w:t>
            </w:r>
          </w:p>
        </w:tc>
        <w:tc>
          <w:tcPr>
            <w:tcW w:w="418" w:type="pct"/>
            <w:tcBorders>
              <w:top w:val="nil"/>
              <w:left w:val="nil"/>
              <w:bottom w:val="single" w:sz="8" w:space="0" w:color="B7B7E2"/>
              <w:right w:val="single" w:sz="8" w:space="0" w:color="B7B7E2"/>
            </w:tcBorders>
            <w:shd w:val="clear" w:color="auto" w:fill="auto"/>
            <w:vAlign w:val="center"/>
            <w:hideMark/>
          </w:tcPr>
          <w:p w14:paraId="58EEBDC0"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-85%</w:t>
            </w:r>
          </w:p>
        </w:tc>
        <w:tc>
          <w:tcPr>
            <w:tcW w:w="473" w:type="pct"/>
            <w:tcBorders>
              <w:top w:val="nil"/>
              <w:left w:val="nil"/>
              <w:bottom w:val="single" w:sz="8" w:space="0" w:color="B7B7E2"/>
              <w:right w:val="single" w:sz="8" w:space="0" w:color="B7B7E2"/>
            </w:tcBorders>
            <w:shd w:val="clear" w:color="auto" w:fill="auto"/>
            <w:vAlign w:val="center"/>
            <w:hideMark/>
          </w:tcPr>
          <w:p w14:paraId="59F248E3"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$23.7</w:t>
            </w:r>
          </w:p>
        </w:tc>
      </w:tr>
      <w:tr w:rsidR="003364B1" w:rsidRPr="003364B1" w14:paraId="52E1EC1F" w14:textId="77777777" w:rsidTr="00495C3F">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2969ADFF" w14:textId="77777777" w:rsidR="003364B1" w:rsidRPr="003364B1" w:rsidRDefault="003364B1" w:rsidP="003364B1">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w:t>
            </w:r>
          </w:p>
        </w:tc>
        <w:tc>
          <w:tcPr>
            <w:tcW w:w="870" w:type="pct"/>
            <w:tcBorders>
              <w:top w:val="nil"/>
              <w:left w:val="nil"/>
              <w:bottom w:val="single" w:sz="8" w:space="0" w:color="B7B7E2"/>
              <w:right w:val="single" w:sz="6" w:space="0" w:color="37378B" w:themeColor="accent1" w:themeShade="BF"/>
            </w:tcBorders>
            <w:shd w:val="clear" w:color="auto" w:fill="auto"/>
            <w:vAlign w:val="center"/>
            <w:hideMark/>
          </w:tcPr>
          <w:p w14:paraId="5644DF5C" w14:textId="77777777" w:rsidR="003364B1" w:rsidRPr="003364B1" w:rsidRDefault="003364B1" w:rsidP="003364B1">
            <w:pPr>
              <w:rPr>
                <w:rFonts w:eastAsia="Times New Roman" w:cs="Calibri"/>
                <w:color w:val="000000"/>
                <w:sz w:val="18"/>
                <w:szCs w:val="18"/>
                <w:lang w:eastAsia="en-AU"/>
              </w:rPr>
            </w:pPr>
            <w:r w:rsidRPr="003364B1">
              <w:rPr>
                <w:rFonts w:eastAsia="Times New Roman" w:cs="Calibri"/>
                <w:color w:val="000000"/>
                <w:sz w:val="18"/>
                <w:szCs w:val="18"/>
                <w:lang w:eastAsia="en-AU"/>
              </w:rPr>
              <w:t>Vietnam</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2B39B074"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45,000</w:t>
            </w:r>
          </w:p>
        </w:tc>
        <w:tc>
          <w:tcPr>
            <w:tcW w:w="361" w:type="pct"/>
            <w:tcBorders>
              <w:top w:val="nil"/>
              <w:left w:val="nil"/>
              <w:bottom w:val="single" w:sz="8" w:space="0" w:color="B7B7E2"/>
              <w:right w:val="single" w:sz="8" w:space="0" w:color="B7B7E2"/>
            </w:tcBorders>
            <w:shd w:val="clear" w:color="auto" w:fill="auto"/>
            <w:vAlign w:val="center"/>
            <w:hideMark/>
          </w:tcPr>
          <w:p w14:paraId="5F33186C"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11%</w:t>
            </w:r>
          </w:p>
        </w:tc>
        <w:tc>
          <w:tcPr>
            <w:tcW w:w="478" w:type="pct"/>
            <w:tcBorders>
              <w:top w:val="nil"/>
              <w:left w:val="nil"/>
              <w:bottom w:val="single" w:sz="8" w:space="0" w:color="B7B7E2"/>
              <w:right w:val="single" w:sz="8" w:space="0" w:color="B7B7E2"/>
            </w:tcBorders>
            <w:shd w:val="clear" w:color="auto" w:fill="auto"/>
            <w:vAlign w:val="center"/>
            <w:hideMark/>
          </w:tcPr>
          <w:p w14:paraId="463CCF9C"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4,000</w:t>
            </w:r>
          </w:p>
        </w:tc>
        <w:tc>
          <w:tcPr>
            <w:tcW w:w="416" w:type="pct"/>
            <w:tcBorders>
              <w:top w:val="nil"/>
              <w:left w:val="nil"/>
              <w:bottom w:val="single" w:sz="8" w:space="0" w:color="B7B7E2"/>
              <w:right w:val="single" w:sz="8" w:space="0" w:color="B7B7E2"/>
            </w:tcBorders>
            <w:shd w:val="clear" w:color="auto" w:fill="auto"/>
            <w:vAlign w:val="center"/>
            <w:hideMark/>
          </w:tcPr>
          <w:p w14:paraId="25F56E7D"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924%</w:t>
            </w:r>
          </w:p>
        </w:tc>
        <w:tc>
          <w:tcPr>
            <w:tcW w:w="509" w:type="pct"/>
            <w:tcBorders>
              <w:top w:val="nil"/>
              <w:left w:val="nil"/>
              <w:bottom w:val="single" w:sz="8" w:space="0" w:color="B7B7E2"/>
              <w:right w:val="single" w:sz="6" w:space="0" w:color="37378B" w:themeColor="accent1" w:themeShade="BF"/>
            </w:tcBorders>
            <w:shd w:val="clear" w:color="auto" w:fill="auto"/>
            <w:vAlign w:val="center"/>
            <w:hideMark/>
          </w:tcPr>
          <w:p w14:paraId="539C6A94"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61,000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32B1A04F"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$17.2</w:t>
            </w:r>
          </w:p>
        </w:tc>
        <w:tc>
          <w:tcPr>
            <w:tcW w:w="408" w:type="pct"/>
            <w:tcBorders>
              <w:top w:val="nil"/>
              <w:left w:val="nil"/>
              <w:bottom w:val="single" w:sz="8" w:space="0" w:color="B7B7E2"/>
              <w:right w:val="single" w:sz="8" w:space="0" w:color="B7B7E2"/>
            </w:tcBorders>
            <w:shd w:val="clear" w:color="auto" w:fill="auto"/>
            <w:vAlign w:val="center"/>
            <w:hideMark/>
          </w:tcPr>
          <w:p w14:paraId="635FC9CB"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$3.0</w:t>
            </w:r>
          </w:p>
        </w:tc>
        <w:tc>
          <w:tcPr>
            <w:tcW w:w="418" w:type="pct"/>
            <w:tcBorders>
              <w:top w:val="nil"/>
              <w:left w:val="nil"/>
              <w:bottom w:val="single" w:sz="8" w:space="0" w:color="B7B7E2"/>
              <w:right w:val="single" w:sz="8" w:space="0" w:color="B7B7E2"/>
            </w:tcBorders>
            <w:shd w:val="clear" w:color="auto" w:fill="auto"/>
            <w:vAlign w:val="center"/>
            <w:hideMark/>
          </w:tcPr>
          <w:p w14:paraId="6CCD5B71"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471%</w:t>
            </w:r>
          </w:p>
        </w:tc>
        <w:tc>
          <w:tcPr>
            <w:tcW w:w="473" w:type="pct"/>
            <w:tcBorders>
              <w:top w:val="nil"/>
              <w:left w:val="nil"/>
              <w:bottom w:val="single" w:sz="8" w:space="0" w:color="B7B7E2"/>
              <w:right w:val="single" w:sz="8" w:space="0" w:color="B7B7E2"/>
            </w:tcBorders>
            <w:shd w:val="clear" w:color="auto" w:fill="auto"/>
            <w:vAlign w:val="center"/>
            <w:hideMark/>
          </w:tcPr>
          <w:p w14:paraId="1D39F111"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$29.8</w:t>
            </w:r>
          </w:p>
        </w:tc>
      </w:tr>
      <w:tr w:rsidR="003364B1" w:rsidRPr="003364B1" w14:paraId="6465CF7B" w14:textId="77777777" w:rsidTr="00495C3F">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402C3E06" w14:textId="77777777" w:rsidR="003364B1" w:rsidRPr="003364B1" w:rsidRDefault="003364B1" w:rsidP="003364B1">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w:t>
            </w:r>
          </w:p>
        </w:tc>
        <w:tc>
          <w:tcPr>
            <w:tcW w:w="870" w:type="pct"/>
            <w:tcBorders>
              <w:top w:val="nil"/>
              <w:left w:val="nil"/>
              <w:bottom w:val="single" w:sz="8" w:space="0" w:color="B7B7E2"/>
              <w:right w:val="single" w:sz="6" w:space="0" w:color="37378B" w:themeColor="accent1" w:themeShade="BF"/>
            </w:tcBorders>
            <w:shd w:val="clear" w:color="auto" w:fill="auto"/>
            <w:vAlign w:val="center"/>
            <w:hideMark/>
          </w:tcPr>
          <w:p w14:paraId="7C544112" w14:textId="77777777" w:rsidR="003364B1" w:rsidRPr="003364B1" w:rsidRDefault="003364B1" w:rsidP="003364B1">
            <w:pPr>
              <w:rPr>
                <w:rFonts w:eastAsia="Times New Roman" w:cs="Calibri"/>
                <w:color w:val="000000"/>
                <w:sz w:val="18"/>
                <w:szCs w:val="18"/>
                <w:lang w:eastAsia="en-AU"/>
              </w:rPr>
            </w:pPr>
            <w:r w:rsidRPr="003364B1">
              <w:rPr>
                <w:rFonts w:eastAsia="Times New Roman" w:cs="Calibri"/>
                <w:color w:val="000000"/>
                <w:sz w:val="18"/>
                <w:szCs w:val="18"/>
                <w:lang w:eastAsia="en-AU"/>
              </w:rPr>
              <w:t>India</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47514806"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69,000</w:t>
            </w:r>
          </w:p>
        </w:tc>
        <w:tc>
          <w:tcPr>
            <w:tcW w:w="361" w:type="pct"/>
            <w:tcBorders>
              <w:top w:val="nil"/>
              <w:left w:val="nil"/>
              <w:bottom w:val="single" w:sz="8" w:space="0" w:color="B7B7E2"/>
              <w:right w:val="single" w:sz="8" w:space="0" w:color="B7B7E2"/>
            </w:tcBorders>
            <w:shd w:val="clear" w:color="auto" w:fill="auto"/>
            <w:vAlign w:val="center"/>
            <w:hideMark/>
          </w:tcPr>
          <w:p w14:paraId="1444EB05"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17%</w:t>
            </w:r>
          </w:p>
        </w:tc>
        <w:tc>
          <w:tcPr>
            <w:tcW w:w="478" w:type="pct"/>
            <w:tcBorders>
              <w:top w:val="nil"/>
              <w:left w:val="nil"/>
              <w:bottom w:val="single" w:sz="8" w:space="0" w:color="B7B7E2"/>
              <w:right w:val="single" w:sz="8" w:space="0" w:color="B7B7E2"/>
            </w:tcBorders>
            <w:shd w:val="clear" w:color="auto" w:fill="auto"/>
            <w:vAlign w:val="center"/>
            <w:hideMark/>
          </w:tcPr>
          <w:p w14:paraId="32F8D451"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42,000</w:t>
            </w:r>
          </w:p>
        </w:tc>
        <w:tc>
          <w:tcPr>
            <w:tcW w:w="416" w:type="pct"/>
            <w:tcBorders>
              <w:top w:val="nil"/>
              <w:left w:val="nil"/>
              <w:bottom w:val="single" w:sz="8" w:space="0" w:color="B7B7E2"/>
              <w:right w:val="single" w:sz="8" w:space="0" w:color="B7B7E2"/>
            </w:tcBorders>
            <w:shd w:val="clear" w:color="auto" w:fill="auto"/>
            <w:vAlign w:val="center"/>
            <w:hideMark/>
          </w:tcPr>
          <w:p w14:paraId="0EF5F56E"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63%</w:t>
            </w:r>
          </w:p>
        </w:tc>
        <w:tc>
          <w:tcPr>
            <w:tcW w:w="509" w:type="pct"/>
            <w:tcBorders>
              <w:top w:val="nil"/>
              <w:left w:val="nil"/>
              <w:bottom w:val="single" w:sz="8" w:space="0" w:color="B7B7E2"/>
              <w:right w:val="single" w:sz="6" w:space="0" w:color="37378B" w:themeColor="accent1" w:themeShade="BF"/>
            </w:tcBorders>
            <w:shd w:val="clear" w:color="auto" w:fill="auto"/>
            <w:vAlign w:val="center"/>
            <w:hideMark/>
          </w:tcPr>
          <w:p w14:paraId="0CD533D0"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49,000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6A31648A"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$37.4</w:t>
            </w:r>
          </w:p>
        </w:tc>
        <w:tc>
          <w:tcPr>
            <w:tcW w:w="408" w:type="pct"/>
            <w:tcBorders>
              <w:top w:val="nil"/>
              <w:left w:val="nil"/>
              <w:bottom w:val="single" w:sz="8" w:space="0" w:color="B7B7E2"/>
              <w:right w:val="single" w:sz="8" w:space="0" w:color="B7B7E2"/>
            </w:tcBorders>
            <w:shd w:val="clear" w:color="auto" w:fill="auto"/>
            <w:vAlign w:val="center"/>
            <w:hideMark/>
          </w:tcPr>
          <w:p w14:paraId="03EAE1E5"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$25.7</w:t>
            </w:r>
          </w:p>
        </w:tc>
        <w:tc>
          <w:tcPr>
            <w:tcW w:w="418" w:type="pct"/>
            <w:tcBorders>
              <w:top w:val="nil"/>
              <w:left w:val="nil"/>
              <w:bottom w:val="single" w:sz="8" w:space="0" w:color="B7B7E2"/>
              <w:right w:val="single" w:sz="8" w:space="0" w:color="B7B7E2"/>
            </w:tcBorders>
            <w:shd w:val="clear" w:color="auto" w:fill="auto"/>
            <w:vAlign w:val="center"/>
            <w:hideMark/>
          </w:tcPr>
          <w:p w14:paraId="64E8C6E9"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45%</w:t>
            </w:r>
          </w:p>
        </w:tc>
        <w:tc>
          <w:tcPr>
            <w:tcW w:w="473" w:type="pct"/>
            <w:tcBorders>
              <w:top w:val="nil"/>
              <w:left w:val="nil"/>
              <w:bottom w:val="single" w:sz="8" w:space="0" w:color="B7B7E2"/>
              <w:right w:val="single" w:sz="8" w:space="0" w:color="B7B7E2"/>
            </w:tcBorders>
            <w:shd w:val="clear" w:color="auto" w:fill="auto"/>
            <w:vAlign w:val="center"/>
            <w:hideMark/>
          </w:tcPr>
          <w:p w14:paraId="5123C5BD"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$33.5</w:t>
            </w:r>
          </w:p>
        </w:tc>
      </w:tr>
      <w:tr w:rsidR="003364B1" w:rsidRPr="003364B1" w14:paraId="12BCD075" w14:textId="77777777" w:rsidTr="00495C3F">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30D58A23" w14:textId="77777777" w:rsidR="003364B1" w:rsidRPr="003364B1" w:rsidRDefault="003364B1" w:rsidP="003364B1">
            <w:pPr>
              <w:jc w:val="right"/>
              <w:rPr>
                <w:rFonts w:eastAsia="Times New Roman" w:cs="Calibri"/>
                <w:color w:val="000000"/>
                <w:sz w:val="18"/>
                <w:szCs w:val="18"/>
                <w:lang w:eastAsia="en-AU"/>
              </w:rPr>
            </w:pPr>
            <w:r w:rsidRPr="003364B1">
              <w:rPr>
                <w:rFonts w:eastAsia="Times New Roman" w:cs="Calibri"/>
                <w:color w:val="000000"/>
                <w:sz w:val="18"/>
                <w:szCs w:val="18"/>
                <w:lang w:eastAsia="en-AU"/>
              </w:rPr>
              <w:t>4</w:t>
            </w:r>
          </w:p>
        </w:tc>
        <w:tc>
          <w:tcPr>
            <w:tcW w:w="870" w:type="pct"/>
            <w:tcBorders>
              <w:top w:val="nil"/>
              <w:left w:val="nil"/>
              <w:bottom w:val="single" w:sz="8" w:space="0" w:color="B7B7E2"/>
              <w:right w:val="single" w:sz="6" w:space="0" w:color="37378B" w:themeColor="accent1" w:themeShade="BF"/>
            </w:tcBorders>
            <w:shd w:val="clear" w:color="auto" w:fill="auto"/>
            <w:vAlign w:val="center"/>
            <w:hideMark/>
          </w:tcPr>
          <w:p w14:paraId="0B211C23" w14:textId="77777777" w:rsidR="003364B1" w:rsidRPr="003364B1" w:rsidRDefault="003364B1" w:rsidP="003364B1">
            <w:pPr>
              <w:rPr>
                <w:rFonts w:eastAsia="Times New Roman" w:cs="Calibri"/>
                <w:color w:val="000000"/>
                <w:sz w:val="18"/>
                <w:szCs w:val="18"/>
                <w:lang w:eastAsia="en-AU"/>
              </w:rPr>
            </w:pPr>
            <w:r w:rsidRPr="003364B1">
              <w:rPr>
                <w:rFonts w:eastAsia="Times New Roman" w:cs="Calibri"/>
                <w:color w:val="000000"/>
                <w:sz w:val="18"/>
                <w:szCs w:val="18"/>
                <w:lang w:eastAsia="en-AU"/>
              </w:rPr>
              <w:t>China</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10411FC4"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26,000</w:t>
            </w:r>
          </w:p>
        </w:tc>
        <w:tc>
          <w:tcPr>
            <w:tcW w:w="361" w:type="pct"/>
            <w:tcBorders>
              <w:top w:val="nil"/>
              <w:left w:val="nil"/>
              <w:bottom w:val="single" w:sz="8" w:space="0" w:color="B7B7E2"/>
              <w:right w:val="single" w:sz="8" w:space="0" w:color="B7B7E2"/>
            </w:tcBorders>
            <w:shd w:val="clear" w:color="auto" w:fill="auto"/>
            <w:vAlign w:val="center"/>
            <w:hideMark/>
          </w:tcPr>
          <w:p w14:paraId="2D6C6CC2"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6%</w:t>
            </w:r>
          </w:p>
        </w:tc>
        <w:tc>
          <w:tcPr>
            <w:tcW w:w="478" w:type="pct"/>
            <w:tcBorders>
              <w:top w:val="nil"/>
              <w:left w:val="nil"/>
              <w:bottom w:val="single" w:sz="8" w:space="0" w:color="B7B7E2"/>
              <w:right w:val="single" w:sz="8" w:space="0" w:color="B7B7E2"/>
            </w:tcBorders>
            <w:shd w:val="clear" w:color="auto" w:fill="auto"/>
            <w:vAlign w:val="center"/>
            <w:hideMark/>
          </w:tcPr>
          <w:p w14:paraId="33951E0D"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35,000</w:t>
            </w:r>
          </w:p>
        </w:tc>
        <w:tc>
          <w:tcPr>
            <w:tcW w:w="416" w:type="pct"/>
            <w:tcBorders>
              <w:top w:val="nil"/>
              <w:left w:val="nil"/>
              <w:bottom w:val="single" w:sz="8" w:space="0" w:color="B7B7E2"/>
              <w:right w:val="single" w:sz="8" w:space="0" w:color="B7B7E2"/>
            </w:tcBorders>
            <w:shd w:val="clear" w:color="auto" w:fill="auto"/>
            <w:vAlign w:val="center"/>
            <w:hideMark/>
          </w:tcPr>
          <w:p w14:paraId="7AAEAED0"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-25%</w:t>
            </w:r>
          </w:p>
        </w:tc>
        <w:tc>
          <w:tcPr>
            <w:tcW w:w="509" w:type="pct"/>
            <w:tcBorders>
              <w:top w:val="nil"/>
              <w:left w:val="nil"/>
              <w:bottom w:val="single" w:sz="8" w:space="0" w:color="B7B7E2"/>
              <w:right w:val="single" w:sz="6" w:space="0" w:color="37378B" w:themeColor="accent1" w:themeShade="BF"/>
            </w:tcBorders>
            <w:shd w:val="clear" w:color="auto" w:fill="auto"/>
            <w:vAlign w:val="center"/>
            <w:hideMark/>
          </w:tcPr>
          <w:p w14:paraId="1A755674"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54,000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22826168"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$23.5</w:t>
            </w:r>
          </w:p>
        </w:tc>
        <w:tc>
          <w:tcPr>
            <w:tcW w:w="408" w:type="pct"/>
            <w:tcBorders>
              <w:top w:val="nil"/>
              <w:left w:val="nil"/>
              <w:bottom w:val="single" w:sz="8" w:space="0" w:color="B7B7E2"/>
              <w:right w:val="single" w:sz="8" w:space="0" w:color="B7B7E2"/>
            </w:tcBorders>
            <w:shd w:val="clear" w:color="auto" w:fill="auto"/>
            <w:vAlign w:val="center"/>
            <w:hideMark/>
          </w:tcPr>
          <w:p w14:paraId="7EDF8E45"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$35.5</w:t>
            </w:r>
          </w:p>
        </w:tc>
        <w:tc>
          <w:tcPr>
            <w:tcW w:w="418" w:type="pct"/>
            <w:tcBorders>
              <w:top w:val="nil"/>
              <w:left w:val="nil"/>
              <w:bottom w:val="single" w:sz="8" w:space="0" w:color="B7B7E2"/>
              <w:right w:val="single" w:sz="8" w:space="0" w:color="B7B7E2"/>
            </w:tcBorders>
            <w:shd w:val="clear" w:color="auto" w:fill="auto"/>
            <w:vAlign w:val="center"/>
            <w:hideMark/>
          </w:tcPr>
          <w:p w14:paraId="6161F5CF"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-34%</w:t>
            </w:r>
          </w:p>
        </w:tc>
        <w:tc>
          <w:tcPr>
            <w:tcW w:w="473" w:type="pct"/>
            <w:tcBorders>
              <w:top w:val="nil"/>
              <w:left w:val="nil"/>
              <w:bottom w:val="single" w:sz="8" w:space="0" w:color="B7B7E2"/>
              <w:right w:val="single" w:sz="8" w:space="0" w:color="B7B7E2"/>
            </w:tcBorders>
            <w:shd w:val="clear" w:color="auto" w:fill="auto"/>
            <w:vAlign w:val="center"/>
            <w:hideMark/>
          </w:tcPr>
          <w:p w14:paraId="061FF313"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$41.6</w:t>
            </w:r>
          </w:p>
        </w:tc>
      </w:tr>
      <w:tr w:rsidR="003364B1" w:rsidRPr="003364B1" w14:paraId="4558D2EC" w14:textId="77777777" w:rsidTr="00495C3F">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7095E6F4" w14:textId="77777777" w:rsidR="003364B1" w:rsidRPr="003364B1" w:rsidRDefault="003364B1" w:rsidP="003364B1">
            <w:pPr>
              <w:jc w:val="right"/>
              <w:rPr>
                <w:rFonts w:eastAsia="Times New Roman" w:cs="Calibri"/>
                <w:color w:val="000000"/>
                <w:sz w:val="18"/>
                <w:szCs w:val="18"/>
                <w:lang w:eastAsia="en-AU"/>
              </w:rPr>
            </w:pPr>
            <w:r w:rsidRPr="003364B1">
              <w:rPr>
                <w:rFonts w:eastAsia="Times New Roman" w:cs="Calibri"/>
                <w:color w:val="000000"/>
                <w:sz w:val="18"/>
                <w:szCs w:val="18"/>
                <w:lang w:eastAsia="en-AU"/>
              </w:rPr>
              <w:t>5</w:t>
            </w:r>
          </w:p>
        </w:tc>
        <w:tc>
          <w:tcPr>
            <w:tcW w:w="870" w:type="pct"/>
            <w:tcBorders>
              <w:top w:val="nil"/>
              <w:left w:val="nil"/>
              <w:bottom w:val="single" w:sz="8" w:space="0" w:color="B7B7E2"/>
              <w:right w:val="single" w:sz="6" w:space="0" w:color="37378B" w:themeColor="accent1" w:themeShade="BF"/>
            </w:tcBorders>
            <w:shd w:val="clear" w:color="auto" w:fill="auto"/>
            <w:vAlign w:val="center"/>
            <w:hideMark/>
          </w:tcPr>
          <w:p w14:paraId="41C9FF4C" w14:textId="77777777" w:rsidR="003364B1" w:rsidRPr="003364B1" w:rsidRDefault="003364B1" w:rsidP="003364B1">
            <w:pPr>
              <w:rPr>
                <w:rFonts w:eastAsia="Times New Roman" w:cs="Calibri"/>
                <w:color w:val="000000"/>
                <w:sz w:val="18"/>
                <w:szCs w:val="18"/>
                <w:lang w:eastAsia="en-AU"/>
              </w:rPr>
            </w:pPr>
            <w:r w:rsidRPr="003364B1">
              <w:rPr>
                <w:rFonts w:eastAsia="Times New Roman" w:cs="Calibri"/>
                <w:color w:val="000000"/>
                <w:sz w:val="18"/>
                <w:szCs w:val="18"/>
                <w:lang w:eastAsia="en-AU"/>
              </w:rPr>
              <w:t>Bangladesh</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7D53ECBC"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92,000</w:t>
            </w:r>
          </w:p>
        </w:tc>
        <w:tc>
          <w:tcPr>
            <w:tcW w:w="361" w:type="pct"/>
            <w:tcBorders>
              <w:top w:val="nil"/>
              <w:left w:val="nil"/>
              <w:bottom w:val="single" w:sz="8" w:space="0" w:color="B7B7E2"/>
              <w:right w:val="single" w:sz="8" w:space="0" w:color="B7B7E2"/>
            </w:tcBorders>
            <w:shd w:val="clear" w:color="auto" w:fill="auto"/>
            <w:vAlign w:val="center"/>
            <w:hideMark/>
          </w:tcPr>
          <w:p w14:paraId="17ADD83E"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22%</w:t>
            </w:r>
          </w:p>
        </w:tc>
        <w:tc>
          <w:tcPr>
            <w:tcW w:w="478" w:type="pct"/>
            <w:tcBorders>
              <w:top w:val="nil"/>
              <w:left w:val="nil"/>
              <w:bottom w:val="single" w:sz="8" w:space="0" w:color="B7B7E2"/>
              <w:right w:val="single" w:sz="8" w:space="0" w:color="B7B7E2"/>
            </w:tcBorders>
            <w:shd w:val="clear" w:color="auto" w:fill="auto"/>
            <w:vAlign w:val="center"/>
            <w:hideMark/>
          </w:tcPr>
          <w:p w14:paraId="034D8464"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67,000</w:t>
            </w:r>
          </w:p>
        </w:tc>
        <w:tc>
          <w:tcPr>
            <w:tcW w:w="416" w:type="pct"/>
            <w:tcBorders>
              <w:top w:val="nil"/>
              <w:left w:val="nil"/>
              <w:bottom w:val="single" w:sz="8" w:space="0" w:color="B7B7E2"/>
              <w:right w:val="single" w:sz="8" w:space="0" w:color="B7B7E2"/>
            </w:tcBorders>
            <w:shd w:val="clear" w:color="auto" w:fill="auto"/>
            <w:vAlign w:val="center"/>
            <w:hideMark/>
          </w:tcPr>
          <w:p w14:paraId="4FDC96D7"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37%</w:t>
            </w:r>
          </w:p>
        </w:tc>
        <w:tc>
          <w:tcPr>
            <w:tcW w:w="509" w:type="pct"/>
            <w:tcBorders>
              <w:top w:val="nil"/>
              <w:left w:val="nil"/>
              <w:bottom w:val="single" w:sz="8" w:space="0" w:color="B7B7E2"/>
              <w:right w:val="single" w:sz="6" w:space="0" w:color="37378B" w:themeColor="accent1" w:themeShade="BF"/>
            </w:tcBorders>
            <w:shd w:val="clear" w:color="auto" w:fill="auto"/>
            <w:vAlign w:val="center"/>
            <w:hideMark/>
          </w:tcPr>
          <w:p w14:paraId="5C939DE2"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25,000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261CC789"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$34.4</w:t>
            </w:r>
          </w:p>
        </w:tc>
        <w:tc>
          <w:tcPr>
            <w:tcW w:w="408" w:type="pct"/>
            <w:tcBorders>
              <w:top w:val="nil"/>
              <w:left w:val="nil"/>
              <w:bottom w:val="single" w:sz="8" w:space="0" w:color="B7B7E2"/>
              <w:right w:val="single" w:sz="8" w:space="0" w:color="B7B7E2"/>
            </w:tcBorders>
            <w:shd w:val="clear" w:color="auto" w:fill="auto"/>
            <w:vAlign w:val="center"/>
            <w:hideMark/>
          </w:tcPr>
          <w:p w14:paraId="391FA3D8"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$23.4</w:t>
            </w:r>
          </w:p>
        </w:tc>
        <w:tc>
          <w:tcPr>
            <w:tcW w:w="418" w:type="pct"/>
            <w:tcBorders>
              <w:top w:val="nil"/>
              <w:left w:val="nil"/>
              <w:bottom w:val="single" w:sz="8" w:space="0" w:color="B7B7E2"/>
              <w:right w:val="single" w:sz="8" w:space="0" w:color="B7B7E2"/>
            </w:tcBorders>
            <w:shd w:val="clear" w:color="auto" w:fill="auto"/>
            <w:vAlign w:val="center"/>
            <w:hideMark/>
          </w:tcPr>
          <w:p w14:paraId="0DDD5D7A"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47%</w:t>
            </w:r>
          </w:p>
        </w:tc>
        <w:tc>
          <w:tcPr>
            <w:tcW w:w="473" w:type="pct"/>
            <w:tcBorders>
              <w:top w:val="nil"/>
              <w:left w:val="nil"/>
              <w:bottom w:val="single" w:sz="8" w:space="0" w:color="B7B7E2"/>
              <w:right w:val="single" w:sz="8" w:space="0" w:color="B7B7E2"/>
            </w:tcBorders>
            <w:shd w:val="clear" w:color="auto" w:fill="auto"/>
            <w:vAlign w:val="center"/>
            <w:hideMark/>
          </w:tcPr>
          <w:p w14:paraId="0057DA28"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$11.2</w:t>
            </w:r>
          </w:p>
        </w:tc>
      </w:tr>
      <w:tr w:rsidR="003364B1" w:rsidRPr="003364B1" w14:paraId="02343C8A" w14:textId="77777777" w:rsidTr="00495C3F">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7BA08FE2" w14:textId="77777777" w:rsidR="003364B1" w:rsidRPr="003364B1" w:rsidRDefault="003364B1" w:rsidP="003364B1">
            <w:pPr>
              <w:jc w:val="right"/>
              <w:rPr>
                <w:rFonts w:eastAsia="Times New Roman" w:cs="Calibri"/>
                <w:color w:val="000000"/>
                <w:sz w:val="18"/>
                <w:szCs w:val="18"/>
                <w:lang w:eastAsia="en-AU"/>
              </w:rPr>
            </w:pPr>
            <w:r w:rsidRPr="003364B1">
              <w:rPr>
                <w:rFonts w:eastAsia="Times New Roman" w:cs="Calibri"/>
                <w:color w:val="000000"/>
                <w:sz w:val="18"/>
                <w:szCs w:val="18"/>
                <w:lang w:eastAsia="en-AU"/>
              </w:rPr>
              <w:t>6</w:t>
            </w:r>
          </w:p>
        </w:tc>
        <w:tc>
          <w:tcPr>
            <w:tcW w:w="870" w:type="pct"/>
            <w:tcBorders>
              <w:top w:val="nil"/>
              <w:left w:val="nil"/>
              <w:bottom w:val="single" w:sz="8" w:space="0" w:color="B7B7E2"/>
              <w:right w:val="single" w:sz="6" w:space="0" w:color="37378B" w:themeColor="accent1" w:themeShade="BF"/>
            </w:tcBorders>
            <w:shd w:val="clear" w:color="auto" w:fill="auto"/>
            <w:vAlign w:val="center"/>
            <w:hideMark/>
          </w:tcPr>
          <w:p w14:paraId="59BCCBC2" w14:textId="77777777" w:rsidR="003364B1" w:rsidRPr="003364B1" w:rsidRDefault="003364B1" w:rsidP="003364B1">
            <w:pPr>
              <w:rPr>
                <w:rFonts w:eastAsia="Times New Roman" w:cs="Calibri"/>
                <w:color w:val="000000"/>
                <w:sz w:val="18"/>
                <w:szCs w:val="18"/>
                <w:lang w:eastAsia="en-AU"/>
              </w:rPr>
            </w:pPr>
            <w:r w:rsidRPr="003364B1">
              <w:rPr>
                <w:rFonts w:eastAsia="Times New Roman" w:cs="Calibri"/>
                <w:color w:val="000000"/>
                <w:sz w:val="18"/>
                <w:szCs w:val="18"/>
                <w:lang w:eastAsia="en-AU"/>
              </w:rPr>
              <w:t>Malaysia</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3AE1B8A7"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40,000</w:t>
            </w:r>
          </w:p>
        </w:tc>
        <w:tc>
          <w:tcPr>
            <w:tcW w:w="361" w:type="pct"/>
            <w:tcBorders>
              <w:top w:val="nil"/>
              <w:left w:val="nil"/>
              <w:bottom w:val="single" w:sz="8" w:space="0" w:color="B7B7E2"/>
              <w:right w:val="single" w:sz="8" w:space="0" w:color="B7B7E2"/>
            </w:tcBorders>
            <w:shd w:val="clear" w:color="auto" w:fill="auto"/>
            <w:vAlign w:val="center"/>
            <w:hideMark/>
          </w:tcPr>
          <w:p w14:paraId="0075BD15"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10%</w:t>
            </w:r>
          </w:p>
        </w:tc>
        <w:tc>
          <w:tcPr>
            <w:tcW w:w="478" w:type="pct"/>
            <w:tcBorders>
              <w:top w:val="nil"/>
              <w:left w:val="nil"/>
              <w:bottom w:val="single" w:sz="8" w:space="0" w:color="B7B7E2"/>
              <w:right w:val="single" w:sz="8" w:space="0" w:color="B7B7E2"/>
            </w:tcBorders>
            <w:shd w:val="clear" w:color="auto" w:fill="auto"/>
            <w:vAlign w:val="center"/>
            <w:hideMark/>
          </w:tcPr>
          <w:p w14:paraId="3FE37D03"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42,000</w:t>
            </w:r>
          </w:p>
        </w:tc>
        <w:tc>
          <w:tcPr>
            <w:tcW w:w="416" w:type="pct"/>
            <w:tcBorders>
              <w:top w:val="nil"/>
              <w:left w:val="nil"/>
              <w:bottom w:val="single" w:sz="8" w:space="0" w:color="B7B7E2"/>
              <w:right w:val="single" w:sz="8" w:space="0" w:color="B7B7E2"/>
            </w:tcBorders>
            <w:shd w:val="clear" w:color="auto" w:fill="auto"/>
            <w:vAlign w:val="center"/>
            <w:hideMark/>
          </w:tcPr>
          <w:p w14:paraId="153FA047"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-5%</w:t>
            </w:r>
          </w:p>
        </w:tc>
        <w:tc>
          <w:tcPr>
            <w:tcW w:w="509" w:type="pct"/>
            <w:tcBorders>
              <w:top w:val="nil"/>
              <w:left w:val="nil"/>
              <w:bottom w:val="single" w:sz="8" w:space="0" w:color="B7B7E2"/>
              <w:right w:val="single" w:sz="6" w:space="0" w:color="37378B" w:themeColor="accent1" w:themeShade="BF"/>
            </w:tcBorders>
            <w:shd w:val="clear" w:color="auto" w:fill="auto"/>
            <w:vAlign w:val="center"/>
            <w:hideMark/>
          </w:tcPr>
          <w:p w14:paraId="44F48DF9"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27,000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74F75C8D"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$16.7</w:t>
            </w:r>
          </w:p>
        </w:tc>
        <w:tc>
          <w:tcPr>
            <w:tcW w:w="408" w:type="pct"/>
            <w:tcBorders>
              <w:top w:val="nil"/>
              <w:left w:val="nil"/>
              <w:bottom w:val="single" w:sz="8" w:space="0" w:color="B7B7E2"/>
              <w:right w:val="single" w:sz="8" w:space="0" w:color="B7B7E2"/>
            </w:tcBorders>
            <w:shd w:val="clear" w:color="auto" w:fill="auto"/>
            <w:vAlign w:val="center"/>
            <w:hideMark/>
          </w:tcPr>
          <w:p w14:paraId="50A677EB"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$11.9</w:t>
            </w:r>
          </w:p>
        </w:tc>
        <w:tc>
          <w:tcPr>
            <w:tcW w:w="418" w:type="pct"/>
            <w:tcBorders>
              <w:top w:val="nil"/>
              <w:left w:val="nil"/>
              <w:bottom w:val="single" w:sz="8" w:space="0" w:color="B7B7E2"/>
              <w:right w:val="single" w:sz="8" w:space="0" w:color="B7B7E2"/>
            </w:tcBorders>
            <w:shd w:val="clear" w:color="auto" w:fill="auto"/>
            <w:vAlign w:val="center"/>
            <w:hideMark/>
          </w:tcPr>
          <w:p w14:paraId="1D536563"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41%</w:t>
            </w:r>
          </w:p>
        </w:tc>
        <w:tc>
          <w:tcPr>
            <w:tcW w:w="473" w:type="pct"/>
            <w:tcBorders>
              <w:top w:val="nil"/>
              <w:left w:val="nil"/>
              <w:bottom w:val="single" w:sz="8" w:space="0" w:color="B7B7E2"/>
              <w:right w:val="single" w:sz="8" w:space="0" w:color="B7B7E2"/>
            </w:tcBorders>
            <w:shd w:val="clear" w:color="auto" w:fill="auto"/>
            <w:vAlign w:val="center"/>
            <w:hideMark/>
          </w:tcPr>
          <w:p w14:paraId="236559D6"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$10.4</w:t>
            </w:r>
          </w:p>
        </w:tc>
      </w:tr>
      <w:tr w:rsidR="003364B1" w:rsidRPr="003364B1" w14:paraId="3F63BF49" w14:textId="77777777" w:rsidTr="00495C3F">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29032CC9" w14:textId="77777777" w:rsidR="003364B1" w:rsidRPr="003364B1" w:rsidRDefault="003364B1" w:rsidP="003364B1">
            <w:pPr>
              <w:jc w:val="right"/>
              <w:rPr>
                <w:rFonts w:eastAsia="Times New Roman" w:cs="Calibri"/>
                <w:color w:val="000000"/>
                <w:sz w:val="18"/>
                <w:szCs w:val="18"/>
                <w:lang w:eastAsia="en-AU"/>
              </w:rPr>
            </w:pPr>
            <w:r w:rsidRPr="003364B1">
              <w:rPr>
                <w:rFonts w:eastAsia="Times New Roman" w:cs="Calibri"/>
                <w:color w:val="000000"/>
                <w:sz w:val="18"/>
                <w:szCs w:val="18"/>
                <w:lang w:eastAsia="en-AU"/>
              </w:rPr>
              <w:t>7</w:t>
            </w:r>
          </w:p>
        </w:tc>
        <w:tc>
          <w:tcPr>
            <w:tcW w:w="870" w:type="pct"/>
            <w:tcBorders>
              <w:top w:val="nil"/>
              <w:left w:val="nil"/>
              <w:bottom w:val="single" w:sz="8" w:space="0" w:color="B7B7E2"/>
              <w:right w:val="single" w:sz="6" w:space="0" w:color="37378B" w:themeColor="accent1" w:themeShade="BF"/>
            </w:tcBorders>
            <w:shd w:val="clear" w:color="auto" w:fill="auto"/>
            <w:vAlign w:val="center"/>
            <w:hideMark/>
          </w:tcPr>
          <w:p w14:paraId="79D9ECC4" w14:textId="77777777" w:rsidR="003364B1" w:rsidRPr="003364B1" w:rsidRDefault="003364B1" w:rsidP="003364B1">
            <w:pPr>
              <w:rPr>
                <w:rFonts w:eastAsia="Times New Roman" w:cs="Calibri"/>
                <w:color w:val="000000"/>
                <w:sz w:val="18"/>
                <w:szCs w:val="18"/>
                <w:lang w:eastAsia="en-AU"/>
              </w:rPr>
            </w:pPr>
            <w:r w:rsidRPr="003364B1">
              <w:rPr>
                <w:rFonts w:eastAsia="Times New Roman" w:cs="Calibri"/>
                <w:color w:val="000000"/>
                <w:sz w:val="18"/>
                <w:szCs w:val="18"/>
                <w:lang w:eastAsia="en-AU"/>
              </w:rPr>
              <w:t>Thailand</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385D1291"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27,000</w:t>
            </w:r>
          </w:p>
        </w:tc>
        <w:tc>
          <w:tcPr>
            <w:tcW w:w="361" w:type="pct"/>
            <w:tcBorders>
              <w:top w:val="nil"/>
              <w:left w:val="nil"/>
              <w:bottom w:val="single" w:sz="8" w:space="0" w:color="B7B7E2"/>
              <w:right w:val="single" w:sz="8" w:space="0" w:color="B7B7E2"/>
            </w:tcBorders>
            <w:shd w:val="clear" w:color="auto" w:fill="auto"/>
            <w:vAlign w:val="center"/>
            <w:hideMark/>
          </w:tcPr>
          <w:p w14:paraId="659E05C9"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6%</w:t>
            </w:r>
          </w:p>
        </w:tc>
        <w:tc>
          <w:tcPr>
            <w:tcW w:w="478" w:type="pct"/>
            <w:tcBorders>
              <w:top w:val="nil"/>
              <w:left w:val="nil"/>
              <w:bottom w:val="single" w:sz="8" w:space="0" w:color="B7B7E2"/>
              <w:right w:val="single" w:sz="8" w:space="0" w:color="B7B7E2"/>
            </w:tcBorders>
            <w:shd w:val="clear" w:color="auto" w:fill="auto"/>
            <w:vAlign w:val="center"/>
            <w:hideMark/>
          </w:tcPr>
          <w:p w14:paraId="7A50EA4D"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21,000</w:t>
            </w:r>
          </w:p>
        </w:tc>
        <w:tc>
          <w:tcPr>
            <w:tcW w:w="416" w:type="pct"/>
            <w:tcBorders>
              <w:top w:val="nil"/>
              <w:left w:val="nil"/>
              <w:bottom w:val="single" w:sz="8" w:space="0" w:color="B7B7E2"/>
              <w:right w:val="single" w:sz="8" w:space="0" w:color="B7B7E2"/>
            </w:tcBorders>
            <w:shd w:val="clear" w:color="auto" w:fill="auto"/>
            <w:vAlign w:val="center"/>
            <w:hideMark/>
          </w:tcPr>
          <w:p w14:paraId="0D397699"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30%</w:t>
            </w:r>
          </w:p>
        </w:tc>
        <w:tc>
          <w:tcPr>
            <w:tcW w:w="509" w:type="pct"/>
            <w:tcBorders>
              <w:top w:val="nil"/>
              <w:left w:val="nil"/>
              <w:bottom w:val="single" w:sz="8" w:space="0" w:color="B7B7E2"/>
              <w:right w:val="single" w:sz="6" w:space="0" w:color="37378B" w:themeColor="accent1" w:themeShade="BF"/>
            </w:tcBorders>
            <w:shd w:val="clear" w:color="auto" w:fill="auto"/>
            <w:vAlign w:val="center"/>
            <w:hideMark/>
          </w:tcPr>
          <w:p w14:paraId="70879156"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20,000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1BDF9491"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$9.9</w:t>
            </w:r>
          </w:p>
        </w:tc>
        <w:tc>
          <w:tcPr>
            <w:tcW w:w="408" w:type="pct"/>
            <w:tcBorders>
              <w:top w:val="nil"/>
              <w:left w:val="nil"/>
              <w:bottom w:val="single" w:sz="8" w:space="0" w:color="B7B7E2"/>
              <w:right w:val="single" w:sz="8" w:space="0" w:color="B7B7E2"/>
            </w:tcBorders>
            <w:shd w:val="clear" w:color="auto" w:fill="auto"/>
            <w:vAlign w:val="center"/>
            <w:hideMark/>
          </w:tcPr>
          <w:p w14:paraId="6B53501F"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$6.5</w:t>
            </w:r>
          </w:p>
        </w:tc>
        <w:tc>
          <w:tcPr>
            <w:tcW w:w="418" w:type="pct"/>
            <w:tcBorders>
              <w:top w:val="nil"/>
              <w:left w:val="nil"/>
              <w:bottom w:val="single" w:sz="8" w:space="0" w:color="B7B7E2"/>
              <w:right w:val="single" w:sz="8" w:space="0" w:color="B7B7E2"/>
            </w:tcBorders>
            <w:shd w:val="clear" w:color="auto" w:fill="auto"/>
            <w:vAlign w:val="center"/>
            <w:hideMark/>
          </w:tcPr>
          <w:p w14:paraId="7635A01B"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51%</w:t>
            </w:r>
          </w:p>
        </w:tc>
        <w:tc>
          <w:tcPr>
            <w:tcW w:w="473" w:type="pct"/>
            <w:tcBorders>
              <w:top w:val="nil"/>
              <w:left w:val="nil"/>
              <w:bottom w:val="single" w:sz="8" w:space="0" w:color="B7B7E2"/>
              <w:right w:val="single" w:sz="8" w:space="0" w:color="B7B7E2"/>
            </w:tcBorders>
            <w:shd w:val="clear" w:color="auto" w:fill="auto"/>
            <w:vAlign w:val="center"/>
            <w:hideMark/>
          </w:tcPr>
          <w:p w14:paraId="024C2CEA"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$7.9</w:t>
            </w:r>
          </w:p>
        </w:tc>
      </w:tr>
      <w:tr w:rsidR="003364B1" w:rsidRPr="003364B1" w14:paraId="4A1D3D54" w14:textId="77777777" w:rsidTr="00495C3F">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70AE28CA" w14:textId="77777777" w:rsidR="003364B1" w:rsidRPr="003364B1" w:rsidRDefault="003364B1" w:rsidP="003364B1">
            <w:pPr>
              <w:jc w:val="right"/>
              <w:rPr>
                <w:rFonts w:eastAsia="Times New Roman" w:cs="Calibri"/>
                <w:color w:val="000000"/>
                <w:sz w:val="18"/>
                <w:szCs w:val="18"/>
                <w:lang w:eastAsia="en-AU"/>
              </w:rPr>
            </w:pPr>
            <w:r w:rsidRPr="003364B1">
              <w:rPr>
                <w:rFonts w:eastAsia="Times New Roman" w:cs="Calibri"/>
                <w:color w:val="000000"/>
                <w:sz w:val="18"/>
                <w:szCs w:val="18"/>
                <w:lang w:eastAsia="en-AU"/>
              </w:rPr>
              <w:t>8</w:t>
            </w:r>
          </w:p>
        </w:tc>
        <w:tc>
          <w:tcPr>
            <w:tcW w:w="870" w:type="pct"/>
            <w:tcBorders>
              <w:top w:val="nil"/>
              <w:left w:val="nil"/>
              <w:bottom w:val="single" w:sz="8" w:space="0" w:color="B7B7E2"/>
              <w:right w:val="single" w:sz="6" w:space="0" w:color="37378B" w:themeColor="accent1" w:themeShade="BF"/>
            </w:tcBorders>
            <w:shd w:val="clear" w:color="auto" w:fill="auto"/>
            <w:vAlign w:val="center"/>
            <w:hideMark/>
          </w:tcPr>
          <w:p w14:paraId="645FB2FC" w14:textId="77777777" w:rsidR="003364B1" w:rsidRPr="003364B1" w:rsidRDefault="003364B1" w:rsidP="003364B1">
            <w:pPr>
              <w:rPr>
                <w:rFonts w:eastAsia="Times New Roman" w:cs="Calibri"/>
                <w:color w:val="000000"/>
                <w:sz w:val="18"/>
                <w:szCs w:val="18"/>
                <w:lang w:eastAsia="en-AU"/>
              </w:rPr>
            </w:pPr>
            <w:r w:rsidRPr="003364B1">
              <w:rPr>
                <w:rFonts w:eastAsia="Times New Roman" w:cs="Calibri"/>
                <w:color w:val="000000"/>
                <w:sz w:val="18"/>
                <w:szCs w:val="18"/>
                <w:lang w:eastAsia="en-AU"/>
              </w:rPr>
              <w:t>Korea, Republic of</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46625313"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34,000</w:t>
            </w:r>
          </w:p>
        </w:tc>
        <w:tc>
          <w:tcPr>
            <w:tcW w:w="361" w:type="pct"/>
            <w:tcBorders>
              <w:top w:val="nil"/>
              <w:left w:val="nil"/>
              <w:bottom w:val="single" w:sz="8" w:space="0" w:color="B7B7E2"/>
              <w:right w:val="single" w:sz="8" w:space="0" w:color="B7B7E2"/>
            </w:tcBorders>
            <w:shd w:val="clear" w:color="auto" w:fill="auto"/>
            <w:vAlign w:val="center"/>
            <w:hideMark/>
          </w:tcPr>
          <w:p w14:paraId="4519DE76"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8%</w:t>
            </w:r>
          </w:p>
        </w:tc>
        <w:tc>
          <w:tcPr>
            <w:tcW w:w="478" w:type="pct"/>
            <w:tcBorders>
              <w:top w:val="nil"/>
              <w:left w:val="nil"/>
              <w:bottom w:val="single" w:sz="8" w:space="0" w:color="B7B7E2"/>
              <w:right w:val="single" w:sz="8" w:space="0" w:color="B7B7E2"/>
            </w:tcBorders>
            <w:shd w:val="clear" w:color="auto" w:fill="auto"/>
            <w:vAlign w:val="center"/>
            <w:hideMark/>
          </w:tcPr>
          <w:p w14:paraId="0C78378D"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9,000</w:t>
            </w:r>
          </w:p>
        </w:tc>
        <w:tc>
          <w:tcPr>
            <w:tcW w:w="416" w:type="pct"/>
            <w:tcBorders>
              <w:top w:val="nil"/>
              <w:left w:val="nil"/>
              <w:bottom w:val="single" w:sz="8" w:space="0" w:color="B7B7E2"/>
              <w:right w:val="single" w:sz="8" w:space="0" w:color="B7B7E2"/>
            </w:tcBorders>
            <w:shd w:val="clear" w:color="auto" w:fill="auto"/>
            <w:vAlign w:val="center"/>
            <w:hideMark/>
          </w:tcPr>
          <w:p w14:paraId="7AF7D829"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266%</w:t>
            </w:r>
          </w:p>
        </w:tc>
        <w:tc>
          <w:tcPr>
            <w:tcW w:w="509" w:type="pct"/>
            <w:tcBorders>
              <w:top w:val="nil"/>
              <w:left w:val="nil"/>
              <w:bottom w:val="single" w:sz="8" w:space="0" w:color="B7B7E2"/>
              <w:right w:val="single" w:sz="6" w:space="0" w:color="37378B" w:themeColor="accent1" w:themeShade="BF"/>
            </w:tcBorders>
            <w:shd w:val="clear" w:color="auto" w:fill="auto"/>
            <w:vAlign w:val="center"/>
            <w:hideMark/>
          </w:tcPr>
          <w:p w14:paraId="112CA917"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15,000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795F8522"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$53.7</w:t>
            </w:r>
          </w:p>
        </w:tc>
        <w:tc>
          <w:tcPr>
            <w:tcW w:w="408" w:type="pct"/>
            <w:tcBorders>
              <w:top w:val="nil"/>
              <w:left w:val="nil"/>
              <w:bottom w:val="single" w:sz="8" w:space="0" w:color="B7B7E2"/>
              <w:right w:val="single" w:sz="8" w:space="0" w:color="B7B7E2"/>
            </w:tcBorders>
            <w:shd w:val="clear" w:color="auto" w:fill="auto"/>
            <w:vAlign w:val="center"/>
            <w:hideMark/>
          </w:tcPr>
          <w:p w14:paraId="608368E1"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$63.6</w:t>
            </w:r>
          </w:p>
        </w:tc>
        <w:tc>
          <w:tcPr>
            <w:tcW w:w="418" w:type="pct"/>
            <w:tcBorders>
              <w:top w:val="nil"/>
              <w:left w:val="nil"/>
              <w:bottom w:val="single" w:sz="8" w:space="0" w:color="B7B7E2"/>
              <w:right w:val="single" w:sz="8" w:space="0" w:color="B7B7E2"/>
            </w:tcBorders>
            <w:shd w:val="clear" w:color="auto" w:fill="auto"/>
            <w:vAlign w:val="center"/>
            <w:hideMark/>
          </w:tcPr>
          <w:p w14:paraId="2C5B5F93"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-16%</w:t>
            </w:r>
          </w:p>
        </w:tc>
        <w:tc>
          <w:tcPr>
            <w:tcW w:w="473" w:type="pct"/>
            <w:tcBorders>
              <w:top w:val="nil"/>
              <w:left w:val="nil"/>
              <w:bottom w:val="single" w:sz="8" w:space="0" w:color="B7B7E2"/>
              <w:right w:val="single" w:sz="8" w:space="0" w:color="B7B7E2"/>
            </w:tcBorders>
            <w:shd w:val="clear" w:color="auto" w:fill="auto"/>
            <w:vAlign w:val="center"/>
            <w:hideMark/>
          </w:tcPr>
          <w:p w14:paraId="486E4A17"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$32.6</w:t>
            </w:r>
          </w:p>
        </w:tc>
      </w:tr>
      <w:tr w:rsidR="003364B1" w:rsidRPr="003364B1" w14:paraId="4B5849B2" w14:textId="77777777" w:rsidTr="00495C3F">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5EC6ABB6" w14:textId="77777777" w:rsidR="003364B1" w:rsidRPr="003364B1" w:rsidRDefault="003364B1" w:rsidP="003364B1">
            <w:pPr>
              <w:jc w:val="right"/>
              <w:rPr>
                <w:rFonts w:eastAsia="Times New Roman" w:cs="Calibri"/>
                <w:color w:val="000000"/>
                <w:sz w:val="18"/>
                <w:szCs w:val="18"/>
                <w:lang w:eastAsia="en-AU"/>
              </w:rPr>
            </w:pPr>
            <w:r w:rsidRPr="003364B1">
              <w:rPr>
                <w:rFonts w:eastAsia="Times New Roman" w:cs="Calibri"/>
                <w:color w:val="000000"/>
                <w:sz w:val="18"/>
                <w:szCs w:val="18"/>
                <w:lang w:eastAsia="en-AU"/>
              </w:rPr>
              <w:t>9</w:t>
            </w:r>
          </w:p>
        </w:tc>
        <w:tc>
          <w:tcPr>
            <w:tcW w:w="870" w:type="pct"/>
            <w:tcBorders>
              <w:top w:val="nil"/>
              <w:left w:val="nil"/>
              <w:bottom w:val="single" w:sz="8" w:space="0" w:color="B7B7E2"/>
              <w:right w:val="single" w:sz="6" w:space="0" w:color="37378B" w:themeColor="accent1" w:themeShade="BF"/>
            </w:tcBorders>
            <w:shd w:val="clear" w:color="auto" w:fill="auto"/>
            <w:vAlign w:val="center"/>
            <w:hideMark/>
          </w:tcPr>
          <w:p w14:paraId="06B64A0D" w14:textId="77777777" w:rsidR="003364B1" w:rsidRPr="003364B1" w:rsidRDefault="003364B1" w:rsidP="003364B1">
            <w:pPr>
              <w:rPr>
                <w:rFonts w:eastAsia="Times New Roman" w:cs="Calibri"/>
                <w:color w:val="000000"/>
                <w:sz w:val="18"/>
                <w:szCs w:val="18"/>
                <w:lang w:eastAsia="en-AU"/>
              </w:rPr>
            </w:pPr>
            <w:r w:rsidRPr="003364B1">
              <w:rPr>
                <w:rFonts w:eastAsia="Times New Roman" w:cs="Calibri"/>
                <w:color w:val="000000"/>
                <w:sz w:val="18"/>
                <w:szCs w:val="18"/>
                <w:lang w:eastAsia="en-AU"/>
              </w:rPr>
              <w:t>Taiwan</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1A437B8A"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19,000</w:t>
            </w:r>
          </w:p>
        </w:tc>
        <w:tc>
          <w:tcPr>
            <w:tcW w:w="361" w:type="pct"/>
            <w:tcBorders>
              <w:top w:val="nil"/>
              <w:left w:val="nil"/>
              <w:bottom w:val="single" w:sz="8" w:space="0" w:color="B7B7E2"/>
              <w:right w:val="single" w:sz="8" w:space="0" w:color="B7B7E2"/>
            </w:tcBorders>
            <w:shd w:val="clear" w:color="auto" w:fill="auto"/>
            <w:vAlign w:val="center"/>
            <w:hideMark/>
          </w:tcPr>
          <w:p w14:paraId="29E7140F"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5%</w:t>
            </w:r>
          </w:p>
        </w:tc>
        <w:tc>
          <w:tcPr>
            <w:tcW w:w="478" w:type="pct"/>
            <w:tcBorders>
              <w:top w:val="nil"/>
              <w:left w:val="nil"/>
              <w:bottom w:val="single" w:sz="8" w:space="0" w:color="B7B7E2"/>
              <w:right w:val="single" w:sz="8" w:space="0" w:color="B7B7E2"/>
            </w:tcBorders>
            <w:shd w:val="clear" w:color="auto" w:fill="auto"/>
            <w:vAlign w:val="center"/>
            <w:hideMark/>
          </w:tcPr>
          <w:p w14:paraId="20F93C66"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15,000</w:t>
            </w:r>
          </w:p>
        </w:tc>
        <w:tc>
          <w:tcPr>
            <w:tcW w:w="416" w:type="pct"/>
            <w:tcBorders>
              <w:top w:val="nil"/>
              <w:left w:val="nil"/>
              <w:bottom w:val="single" w:sz="8" w:space="0" w:color="B7B7E2"/>
              <w:right w:val="single" w:sz="8" w:space="0" w:color="B7B7E2"/>
            </w:tcBorders>
            <w:shd w:val="clear" w:color="auto" w:fill="auto"/>
            <w:vAlign w:val="center"/>
            <w:hideMark/>
          </w:tcPr>
          <w:p w14:paraId="148ECA55"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32%</w:t>
            </w:r>
          </w:p>
        </w:tc>
        <w:tc>
          <w:tcPr>
            <w:tcW w:w="509" w:type="pct"/>
            <w:tcBorders>
              <w:top w:val="nil"/>
              <w:left w:val="nil"/>
              <w:bottom w:val="single" w:sz="8" w:space="0" w:color="B7B7E2"/>
              <w:right w:val="single" w:sz="6" w:space="0" w:color="37378B" w:themeColor="accent1" w:themeShade="BF"/>
            </w:tcBorders>
            <w:shd w:val="clear" w:color="auto" w:fill="auto"/>
            <w:vAlign w:val="center"/>
            <w:hideMark/>
          </w:tcPr>
          <w:p w14:paraId="44F4D7F9"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13,000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000E5509"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$10.5</w:t>
            </w:r>
          </w:p>
        </w:tc>
        <w:tc>
          <w:tcPr>
            <w:tcW w:w="408" w:type="pct"/>
            <w:tcBorders>
              <w:top w:val="nil"/>
              <w:left w:val="nil"/>
              <w:bottom w:val="single" w:sz="8" w:space="0" w:color="B7B7E2"/>
              <w:right w:val="single" w:sz="8" w:space="0" w:color="B7B7E2"/>
            </w:tcBorders>
            <w:shd w:val="clear" w:color="auto" w:fill="auto"/>
            <w:vAlign w:val="center"/>
            <w:hideMark/>
          </w:tcPr>
          <w:p w14:paraId="40E0EB20"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$7.7</w:t>
            </w:r>
          </w:p>
        </w:tc>
        <w:tc>
          <w:tcPr>
            <w:tcW w:w="418" w:type="pct"/>
            <w:tcBorders>
              <w:top w:val="nil"/>
              <w:left w:val="nil"/>
              <w:bottom w:val="single" w:sz="8" w:space="0" w:color="B7B7E2"/>
              <w:right w:val="single" w:sz="8" w:space="0" w:color="B7B7E2"/>
            </w:tcBorders>
            <w:shd w:val="clear" w:color="auto" w:fill="auto"/>
            <w:vAlign w:val="center"/>
            <w:hideMark/>
          </w:tcPr>
          <w:p w14:paraId="0FA8EE97"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37%</w:t>
            </w:r>
          </w:p>
        </w:tc>
        <w:tc>
          <w:tcPr>
            <w:tcW w:w="473" w:type="pct"/>
            <w:tcBorders>
              <w:top w:val="nil"/>
              <w:left w:val="nil"/>
              <w:bottom w:val="single" w:sz="8" w:space="0" w:color="B7B7E2"/>
              <w:right w:val="single" w:sz="8" w:space="0" w:color="B7B7E2"/>
            </w:tcBorders>
            <w:shd w:val="clear" w:color="auto" w:fill="auto"/>
            <w:vAlign w:val="center"/>
            <w:hideMark/>
          </w:tcPr>
          <w:p w14:paraId="5ED5CE4D"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$8.3</w:t>
            </w:r>
          </w:p>
        </w:tc>
      </w:tr>
      <w:tr w:rsidR="003364B1" w:rsidRPr="003364B1" w14:paraId="3658D154" w14:textId="77777777" w:rsidTr="00495C3F">
        <w:tc>
          <w:tcPr>
            <w:tcW w:w="221" w:type="pct"/>
            <w:tcBorders>
              <w:top w:val="nil"/>
              <w:left w:val="single" w:sz="8" w:space="0" w:color="B7B7E2"/>
              <w:bottom w:val="single" w:sz="8" w:space="0" w:color="B7B7E2"/>
              <w:right w:val="single" w:sz="8" w:space="0" w:color="B7B7E2"/>
            </w:tcBorders>
            <w:shd w:val="clear" w:color="auto" w:fill="auto"/>
            <w:vAlign w:val="center"/>
            <w:hideMark/>
          </w:tcPr>
          <w:p w14:paraId="151016D2" w14:textId="77777777" w:rsidR="003364B1" w:rsidRPr="003364B1" w:rsidRDefault="003364B1" w:rsidP="003364B1">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10</w:t>
            </w:r>
          </w:p>
        </w:tc>
        <w:tc>
          <w:tcPr>
            <w:tcW w:w="870" w:type="pct"/>
            <w:tcBorders>
              <w:top w:val="nil"/>
              <w:left w:val="nil"/>
              <w:bottom w:val="single" w:sz="8" w:space="0" w:color="B7B7E2"/>
              <w:right w:val="single" w:sz="6" w:space="0" w:color="37378B" w:themeColor="accent1" w:themeShade="BF"/>
            </w:tcBorders>
            <w:shd w:val="clear" w:color="auto" w:fill="auto"/>
            <w:vAlign w:val="center"/>
            <w:hideMark/>
          </w:tcPr>
          <w:p w14:paraId="25483202" w14:textId="77777777" w:rsidR="003364B1" w:rsidRPr="003364B1" w:rsidRDefault="003364B1" w:rsidP="003364B1">
            <w:pPr>
              <w:rPr>
                <w:rFonts w:eastAsia="Times New Roman" w:cs="Calibri"/>
                <w:color w:val="000000"/>
                <w:sz w:val="18"/>
                <w:szCs w:val="18"/>
                <w:lang w:eastAsia="en-AU"/>
              </w:rPr>
            </w:pPr>
            <w:r w:rsidRPr="003364B1">
              <w:rPr>
                <w:rFonts w:eastAsia="Times New Roman" w:cs="Calibri"/>
                <w:color w:val="000000"/>
                <w:sz w:val="18"/>
                <w:szCs w:val="18"/>
                <w:lang w:eastAsia="en-AU"/>
              </w:rPr>
              <w:t>New Zealand</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5DB347A6"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2,000</w:t>
            </w:r>
          </w:p>
        </w:tc>
        <w:tc>
          <w:tcPr>
            <w:tcW w:w="361" w:type="pct"/>
            <w:tcBorders>
              <w:top w:val="nil"/>
              <w:left w:val="nil"/>
              <w:bottom w:val="single" w:sz="8" w:space="0" w:color="B7B7E2"/>
              <w:right w:val="single" w:sz="8" w:space="0" w:color="B7B7E2"/>
            </w:tcBorders>
            <w:shd w:val="clear" w:color="auto" w:fill="auto"/>
            <w:vAlign w:val="center"/>
            <w:hideMark/>
          </w:tcPr>
          <w:p w14:paraId="41D08BBD"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0%</w:t>
            </w:r>
          </w:p>
        </w:tc>
        <w:tc>
          <w:tcPr>
            <w:tcW w:w="478" w:type="pct"/>
            <w:tcBorders>
              <w:top w:val="nil"/>
              <w:left w:val="nil"/>
              <w:bottom w:val="single" w:sz="8" w:space="0" w:color="B7B7E2"/>
              <w:right w:val="single" w:sz="8" w:space="0" w:color="B7B7E2"/>
            </w:tcBorders>
            <w:shd w:val="clear" w:color="auto" w:fill="auto"/>
            <w:vAlign w:val="center"/>
            <w:hideMark/>
          </w:tcPr>
          <w:p w14:paraId="788DA2BB"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2,000</w:t>
            </w:r>
          </w:p>
        </w:tc>
        <w:tc>
          <w:tcPr>
            <w:tcW w:w="416" w:type="pct"/>
            <w:tcBorders>
              <w:top w:val="nil"/>
              <w:left w:val="nil"/>
              <w:bottom w:val="single" w:sz="8" w:space="0" w:color="B7B7E2"/>
              <w:right w:val="single" w:sz="8" w:space="0" w:color="B7B7E2"/>
            </w:tcBorders>
            <w:shd w:val="clear" w:color="auto" w:fill="auto"/>
            <w:vAlign w:val="center"/>
            <w:hideMark/>
          </w:tcPr>
          <w:p w14:paraId="6CA8CE4D"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-23%</w:t>
            </w:r>
          </w:p>
        </w:tc>
        <w:tc>
          <w:tcPr>
            <w:tcW w:w="509" w:type="pct"/>
            <w:tcBorders>
              <w:top w:val="nil"/>
              <w:left w:val="nil"/>
              <w:bottom w:val="single" w:sz="8" w:space="0" w:color="B7B7E2"/>
              <w:right w:val="single" w:sz="6" w:space="0" w:color="37378B" w:themeColor="accent1" w:themeShade="BF"/>
            </w:tcBorders>
            <w:shd w:val="clear" w:color="auto" w:fill="auto"/>
            <w:vAlign w:val="center"/>
            <w:hideMark/>
          </w:tcPr>
          <w:p w14:paraId="22FF4F3E"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6,000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378FCD53"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$3.8</w:t>
            </w:r>
          </w:p>
        </w:tc>
        <w:tc>
          <w:tcPr>
            <w:tcW w:w="408" w:type="pct"/>
            <w:tcBorders>
              <w:top w:val="nil"/>
              <w:left w:val="nil"/>
              <w:bottom w:val="single" w:sz="8" w:space="0" w:color="B7B7E2"/>
              <w:right w:val="single" w:sz="8" w:space="0" w:color="B7B7E2"/>
            </w:tcBorders>
            <w:shd w:val="clear" w:color="auto" w:fill="auto"/>
            <w:vAlign w:val="center"/>
            <w:hideMark/>
          </w:tcPr>
          <w:p w14:paraId="22C4ADCA"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$5.0</w:t>
            </w:r>
          </w:p>
        </w:tc>
        <w:tc>
          <w:tcPr>
            <w:tcW w:w="418" w:type="pct"/>
            <w:tcBorders>
              <w:top w:val="nil"/>
              <w:left w:val="nil"/>
              <w:bottom w:val="single" w:sz="8" w:space="0" w:color="B7B7E2"/>
              <w:right w:val="single" w:sz="8" w:space="0" w:color="B7B7E2"/>
            </w:tcBorders>
            <w:shd w:val="clear" w:color="auto" w:fill="auto"/>
            <w:vAlign w:val="center"/>
            <w:hideMark/>
          </w:tcPr>
          <w:p w14:paraId="6E4BE08B"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-24%</w:t>
            </w:r>
          </w:p>
        </w:tc>
        <w:tc>
          <w:tcPr>
            <w:tcW w:w="473" w:type="pct"/>
            <w:tcBorders>
              <w:top w:val="nil"/>
              <w:left w:val="nil"/>
              <w:bottom w:val="single" w:sz="8" w:space="0" w:color="B7B7E2"/>
              <w:right w:val="single" w:sz="8" w:space="0" w:color="B7B7E2"/>
            </w:tcBorders>
            <w:shd w:val="clear" w:color="auto" w:fill="auto"/>
            <w:vAlign w:val="center"/>
            <w:hideMark/>
          </w:tcPr>
          <w:p w14:paraId="6FF21D3E"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$5.7</w:t>
            </w:r>
          </w:p>
        </w:tc>
      </w:tr>
      <w:tr w:rsidR="003364B1" w:rsidRPr="003364B1" w14:paraId="43A4A9F5" w14:textId="77777777" w:rsidTr="00495C3F">
        <w:tc>
          <w:tcPr>
            <w:tcW w:w="1091" w:type="pct"/>
            <w:gridSpan w:val="2"/>
            <w:tcBorders>
              <w:top w:val="single" w:sz="8" w:space="0" w:color="B7B7E2"/>
              <w:left w:val="single" w:sz="8" w:space="0" w:color="B7B7E2"/>
              <w:bottom w:val="single" w:sz="8" w:space="0" w:color="B7B7E2"/>
              <w:right w:val="single" w:sz="6" w:space="0" w:color="37378B" w:themeColor="accent1" w:themeShade="BF"/>
            </w:tcBorders>
            <w:shd w:val="clear" w:color="auto" w:fill="auto"/>
            <w:vAlign w:val="center"/>
            <w:hideMark/>
          </w:tcPr>
          <w:p w14:paraId="08635C76" w14:textId="77777777" w:rsidR="003364B1" w:rsidRPr="003364B1" w:rsidRDefault="003364B1" w:rsidP="003364B1">
            <w:pPr>
              <w:rPr>
                <w:rFonts w:eastAsia="Times New Roman" w:cs="Calibri"/>
                <w:color w:val="000000"/>
                <w:sz w:val="18"/>
                <w:szCs w:val="18"/>
                <w:lang w:eastAsia="en-AU"/>
              </w:rPr>
            </w:pPr>
            <w:r w:rsidRPr="003364B1">
              <w:rPr>
                <w:rFonts w:eastAsia="Times New Roman" w:cs="Calibri"/>
                <w:color w:val="000000"/>
                <w:sz w:val="18"/>
                <w:szCs w:val="18"/>
                <w:lang w:eastAsia="en-AU"/>
              </w:rPr>
              <w:t>Top 10 total</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66DEBF48"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365,000</w:t>
            </w:r>
          </w:p>
        </w:tc>
        <w:tc>
          <w:tcPr>
            <w:tcW w:w="361" w:type="pct"/>
            <w:tcBorders>
              <w:top w:val="nil"/>
              <w:left w:val="nil"/>
              <w:bottom w:val="single" w:sz="8" w:space="0" w:color="B7B7E2"/>
              <w:right w:val="single" w:sz="8" w:space="0" w:color="B7B7E2"/>
            </w:tcBorders>
            <w:shd w:val="clear" w:color="auto" w:fill="auto"/>
            <w:vAlign w:val="center"/>
            <w:hideMark/>
          </w:tcPr>
          <w:p w14:paraId="0A5D11A4" w14:textId="77777777" w:rsidR="003364B1" w:rsidRPr="003364B1" w:rsidRDefault="003364B1" w:rsidP="00495C3F">
            <w:pPr>
              <w:jc w:val="right"/>
              <w:rPr>
                <w:rFonts w:eastAsia="Times New Roman" w:cs="Calibri"/>
                <w:b/>
                <w:bCs/>
                <w:color w:val="000000"/>
                <w:sz w:val="18"/>
                <w:szCs w:val="18"/>
                <w:lang w:eastAsia="en-AU"/>
              </w:rPr>
            </w:pPr>
            <w:r w:rsidRPr="003364B1">
              <w:rPr>
                <w:rFonts w:eastAsia="Times New Roman" w:cs="Calibri"/>
                <w:b/>
                <w:bCs/>
                <w:color w:val="000000"/>
                <w:sz w:val="18"/>
                <w:szCs w:val="18"/>
                <w:lang w:eastAsia="en-AU"/>
              </w:rPr>
              <w:t>87%</w:t>
            </w:r>
          </w:p>
        </w:tc>
        <w:tc>
          <w:tcPr>
            <w:tcW w:w="478" w:type="pct"/>
            <w:tcBorders>
              <w:top w:val="nil"/>
              <w:left w:val="nil"/>
              <w:bottom w:val="single" w:sz="8" w:space="0" w:color="B7B7E2"/>
              <w:right w:val="single" w:sz="8" w:space="0" w:color="B7B7E2"/>
            </w:tcBorders>
            <w:shd w:val="clear" w:color="auto" w:fill="auto"/>
            <w:vAlign w:val="center"/>
            <w:hideMark/>
          </w:tcPr>
          <w:p w14:paraId="2F7A63F2"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312,000</w:t>
            </w:r>
          </w:p>
        </w:tc>
        <w:tc>
          <w:tcPr>
            <w:tcW w:w="416" w:type="pct"/>
            <w:tcBorders>
              <w:top w:val="nil"/>
              <w:left w:val="nil"/>
              <w:bottom w:val="single" w:sz="8" w:space="0" w:color="B7B7E2"/>
              <w:right w:val="single" w:sz="8" w:space="0" w:color="B7B7E2"/>
            </w:tcBorders>
            <w:shd w:val="clear" w:color="auto" w:fill="auto"/>
            <w:vAlign w:val="center"/>
            <w:hideMark/>
          </w:tcPr>
          <w:p w14:paraId="05590A91"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17%</w:t>
            </w:r>
          </w:p>
        </w:tc>
        <w:tc>
          <w:tcPr>
            <w:tcW w:w="509" w:type="pct"/>
            <w:tcBorders>
              <w:top w:val="nil"/>
              <w:left w:val="nil"/>
              <w:bottom w:val="single" w:sz="8" w:space="0" w:color="B7B7E2"/>
              <w:right w:val="single" w:sz="6" w:space="0" w:color="37378B" w:themeColor="accent1" w:themeShade="BF"/>
            </w:tcBorders>
            <w:shd w:val="clear" w:color="auto" w:fill="auto"/>
            <w:vAlign w:val="center"/>
            <w:hideMark/>
          </w:tcPr>
          <w:p w14:paraId="43F71360"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330,000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78AF1447"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$210.7</w:t>
            </w:r>
          </w:p>
        </w:tc>
        <w:tc>
          <w:tcPr>
            <w:tcW w:w="408" w:type="pct"/>
            <w:tcBorders>
              <w:top w:val="nil"/>
              <w:left w:val="nil"/>
              <w:bottom w:val="single" w:sz="8" w:space="0" w:color="B7B7E2"/>
              <w:right w:val="single" w:sz="8" w:space="0" w:color="B7B7E2"/>
            </w:tcBorders>
            <w:shd w:val="clear" w:color="auto" w:fill="auto"/>
            <w:vAlign w:val="center"/>
            <w:hideMark/>
          </w:tcPr>
          <w:p w14:paraId="6FA9CFCA"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$206.7</w:t>
            </w:r>
          </w:p>
        </w:tc>
        <w:tc>
          <w:tcPr>
            <w:tcW w:w="418" w:type="pct"/>
            <w:tcBorders>
              <w:top w:val="nil"/>
              <w:left w:val="nil"/>
              <w:bottom w:val="single" w:sz="8" w:space="0" w:color="B7B7E2"/>
              <w:right w:val="single" w:sz="8" w:space="0" w:color="B7B7E2"/>
            </w:tcBorders>
            <w:shd w:val="clear" w:color="auto" w:fill="auto"/>
            <w:vAlign w:val="center"/>
            <w:hideMark/>
          </w:tcPr>
          <w:p w14:paraId="60957D14"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w:t>
            </w:r>
          </w:p>
        </w:tc>
        <w:tc>
          <w:tcPr>
            <w:tcW w:w="473" w:type="pct"/>
            <w:tcBorders>
              <w:top w:val="nil"/>
              <w:left w:val="nil"/>
              <w:bottom w:val="single" w:sz="8" w:space="0" w:color="B7B7E2"/>
              <w:right w:val="single" w:sz="8" w:space="0" w:color="B7B7E2"/>
            </w:tcBorders>
            <w:shd w:val="clear" w:color="auto" w:fill="auto"/>
            <w:vAlign w:val="center"/>
            <w:hideMark/>
          </w:tcPr>
          <w:p w14:paraId="61EC5C7A"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$204.5</w:t>
            </w:r>
          </w:p>
        </w:tc>
      </w:tr>
      <w:tr w:rsidR="003364B1" w:rsidRPr="003364B1" w14:paraId="778989FC" w14:textId="77777777" w:rsidTr="00495C3F">
        <w:tc>
          <w:tcPr>
            <w:tcW w:w="1091" w:type="pct"/>
            <w:gridSpan w:val="2"/>
            <w:tcBorders>
              <w:top w:val="single" w:sz="8" w:space="0" w:color="B7B7E2"/>
              <w:left w:val="single" w:sz="8" w:space="0" w:color="B7B7E2"/>
              <w:bottom w:val="single" w:sz="8" w:space="0" w:color="B7B7E2"/>
              <w:right w:val="single" w:sz="6" w:space="0" w:color="37378B" w:themeColor="accent1" w:themeShade="BF"/>
            </w:tcBorders>
            <w:shd w:val="clear" w:color="auto" w:fill="auto"/>
            <w:vAlign w:val="center"/>
            <w:hideMark/>
          </w:tcPr>
          <w:p w14:paraId="1F18FC97" w14:textId="77777777" w:rsidR="003364B1" w:rsidRPr="003364B1" w:rsidRDefault="003364B1" w:rsidP="003364B1">
            <w:pPr>
              <w:rPr>
                <w:rFonts w:eastAsia="Times New Roman" w:cs="Calibri"/>
                <w:b/>
                <w:bCs/>
                <w:color w:val="000000"/>
                <w:sz w:val="18"/>
                <w:szCs w:val="18"/>
                <w:lang w:eastAsia="en-AU"/>
              </w:rPr>
            </w:pPr>
            <w:r w:rsidRPr="003364B1">
              <w:rPr>
                <w:rFonts w:eastAsia="Times New Roman" w:cs="Calibri"/>
                <w:b/>
                <w:bCs/>
                <w:color w:val="000000"/>
                <w:sz w:val="18"/>
                <w:szCs w:val="18"/>
                <w:lang w:eastAsia="en-AU"/>
              </w:rPr>
              <w:t>Monthly total</w:t>
            </w:r>
          </w:p>
        </w:tc>
        <w:tc>
          <w:tcPr>
            <w:tcW w:w="449"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1C9EE581" w14:textId="77777777" w:rsidR="003364B1" w:rsidRPr="003364B1" w:rsidRDefault="003364B1" w:rsidP="00495C3F">
            <w:pPr>
              <w:jc w:val="right"/>
              <w:rPr>
                <w:rFonts w:eastAsia="Times New Roman" w:cs="Calibri"/>
                <w:b/>
                <w:bCs/>
                <w:color w:val="000000"/>
                <w:sz w:val="18"/>
                <w:szCs w:val="18"/>
                <w:lang w:eastAsia="en-AU"/>
              </w:rPr>
            </w:pPr>
            <w:r w:rsidRPr="003364B1">
              <w:rPr>
                <w:rFonts w:eastAsia="Times New Roman" w:cs="Calibri"/>
                <w:b/>
                <w:bCs/>
                <w:color w:val="000000"/>
                <w:sz w:val="18"/>
                <w:szCs w:val="18"/>
                <w:lang w:eastAsia="en-AU"/>
              </w:rPr>
              <w:t>418,000</w:t>
            </w:r>
          </w:p>
        </w:tc>
        <w:tc>
          <w:tcPr>
            <w:tcW w:w="361" w:type="pct"/>
            <w:tcBorders>
              <w:top w:val="nil"/>
              <w:left w:val="nil"/>
              <w:bottom w:val="single" w:sz="8" w:space="0" w:color="B7B7E2"/>
              <w:right w:val="single" w:sz="8" w:space="0" w:color="B7B7E2"/>
            </w:tcBorders>
            <w:shd w:val="clear" w:color="auto" w:fill="auto"/>
            <w:vAlign w:val="center"/>
            <w:hideMark/>
          </w:tcPr>
          <w:p w14:paraId="16D745A1" w14:textId="77777777" w:rsidR="003364B1" w:rsidRPr="003364B1" w:rsidRDefault="003364B1" w:rsidP="00495C3F">
            <w:pPr>
              <w:jc w:val="right"/>
              <w:rPr>
                <w:rFonts w:eastAsia="Times New Roman" w:cs="Calibri"/>
                <w:b/>
                <w:bCs/>
                <w:color w:val="000000"/>
                <w:sz w:val="18"/>
                <w:szCs w:val="18"/>
                <w:lang w:eastAsia="en-AU"/>
              </w:rPr>
            </w:pPr>
            <w:r w:rsidRPr="003364B1">
              <w:rPr>
                <w:rFonts w:eastAsia="Times New Roman" w:cs="Calibri"/>
                <w:b/>
                <w:bCs/>
                <w:color w:val="000000"/>
                <w:sz w:val="18"/>
                <w:szCs w:val="18"/>
                <w:lang w:eastAsia="en-AU"/>
              </w:rPr>
              <w:t>-</w:t>
            </w:r>
          </w:p>
        </w:tc>
        <w:tc>
          <w:tcPr>
            <w:tcW w:w="478" w:type="pct"/>
            <w:tcBorders>
              <w:top w:val="nil"/>
              <w:left w:val="nil"/>
              <w:bottom w:val="single" w:sz="8" w:space="0" w:color="B7B7E2"/>
              <w:right w:val="single" w:sz="8" w:space="0" w:color="B7B7E2"/>
            </w:tcBorders>
            <w:shd w:val="clear" w:color="auto" w:fill="auto"/>
            <w:vAlign w:val="center"/>
            <w:hideMark/>
          </w:tcPr>
          <w:p w14:paraId="5B96FB11" w14:textId="77777777" w:rsidR="003364B1" w:rsidRPr="003364B1" w:rsidRDefault="003364B1" w:rsidP="00495C3F">
            <w:pPr>
              <w:jc w:val="right"/>
              <w:rPr>
                <w:rFonts w:eastAsia="Times New Roman" w:cs="Calibri"/>
                <w:b/>
                <w:bCs/>
                <w:color w:val="000000"/>
                <w:sz w:val="18"/>
                <w:szCs w:val="18"/>
                <w:lang w:eastAsia="en-AU"/>
              </w:rPr>
            </w:pPr>
            <w:r w:rsidRPr="003364B1">
              <w:rPr>
                <w:rFonts w:eastAsia="Times New Roman" w:cs="Calibri"/>
                <w:b/>
                <w:bCs/>
                <w:color w:val="000000"/>
                <w:sz w:val="18"/>
                <w:szCs w:val="18"/>
                <w:lang w:eastAsia="en-AU"/>
              </w:rPr>
              <w:t>361,000</w:t>
            </w:r>
          </w:p>
        </w:tc>
        <w:tc>
          <w:tcPr>
            <w:tcW w:w="416" w:type="pct"/>
            <w:tcBorders>
              <w:top w:val="nil"/>
              <w:left w:val="nil"/>
              <w:bottom w:val="single" w:sz="8" w:space="0" w:color="B7B7E2"/>
              <w:right w:val="single" w:sz="8" w:space="0" w:color="B7B7E2"/>
            </w:tcBorders>
            <w:shd w:val="clear" w:color="auto" w:fill="auto"/>
            <w:vAlign w:val="center"/>
            <w:hideMark/>
          </w:tcPr>
          <w:p w14:paraId="4A2AA340" w14:textId="77777777" w:rsidR="003364B1" w:rsidRPr="003364B1" w:rsidRDefault="003364B1" w:rsidP="00495C3F">
            <w:pPr>
              <w:jc w:val="right"/>
              <w:rPr>
                <w:rFonts w:eastAsia="Times New Roman" w:cs="Calibri"/>
                <w:b/>
                <w:bCs/>
                <w:color w:val="000000"/>
                <w:sz w:val="18"/>
                <w:szCs w:val="18"/>
                <w:lang w:eastAsia="en-AU"/>
              </w:rPr>
            </w:pPr>
            <w:r w:rsidRPr="003364B1">
              <w:rPr>
                <w:rFonts w:eastAsia="Times New Roman" w:cs="Calibri"/>
                <w:b/>
                <w:bCs/>
                <w:color w:val="000000"/>
                <w:sz w:val="18"/>
                <w:szCs w:val="18"/>
                <w:lang w:eastAsia="en-AU"/>
              </w:rPr>
              <w:t>16%</w:t>
            </w:r>
          </w:p>
        </w:tc>
        <w:tc>
          <w:tcPr>
            <w:tcW w:w="509" w:type="pct"/>
            <w:tcBorders>
              <w:top w:val="nil"/>
              <w:left w:val="nil"/>
              <w:bottom w:val="single" w:sz="8" w:space="0" w:color="B7B7E2"/>
              <w:right w:val="single" w:sz="6" w:space="0" w:color="37378B" w:themeColor="accent1" w:themeShade="BF"/>
            </w:tcBorders>
            <w:shd w:val="clear" w:color="auto" w:fill="auto"/>
            <w:vAlign w:val="center"/>
            <w:hideMark/>
          </w:tcPr>
          <w:p w14:paraId="60C5B38D"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369,000</w:t>
            </w:r>
          </w:p>
        </w:tc>
        <w:tc>
          <w:tcPr>
            <w:tcW w:w="39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1B86183E" w14:textId="77777777" w:rsidR="003364B1" w:rsidRPr="003364B1" w:rsidRDefault="003364B1" w:rsidP="00495C3F">
            <w:pPr>
              <w:jc w:val="right"/>
              <w:rPr>
                <w:rFonts w:eastAsia="Times New Roman" w:cs="Calibri"/>
                <w:color w:val="000000"/>
                <w:sz w:val="18"/>
                <w:szCs w:val="18"/>
                <w:lang w:eastAsia="en-AU"/>
              </w:rPr>
            </w:pPr>
            <w:r w:rsidRPr="003364B1">
              <w:rPr>
                <w:rFonts w:eastAsia="Times New Roman" w:cs="Calibri"/>
                <w:color w:val="000000"/>
                <w:sz w:val="18"/>
                <w:szCs w:val="18"/>
                <w:lang w:eastAsia="en-AU"/>
              </w:rPr>
              <w:t>$259.8</w:t>
            </w:r>
          </w:p>
        </w:tc>
        <w:tc>
          <w:tcPr>
            <w:tcW w:w="408" w:type="pct"/>
            <w:tcBorders>
              <w:top w:val="nil"/>
              <w:left w:val="nil"/>
              <w:bottom w:val="single" w:sz="8" w:space="0" w:color="B7B7E2"/>
              <w:right w:val="single" w:sz="8" w:space="0" w:color="B7B7E2"/>
            </w:tcBorders>
            <w:shd w:val="clear" w:color="auto" w:fill="auto"/>
            <w:vAlign w:val="center"/>
            <w:hideMark/>
          </w:tcPr>
          <w:p w14:paraId="025CCB35" w14:textId="77777777" w:rsidR="003364B1" w:rsidRPr="00A9680F" w:rsidRDefault="003364B1" w:rsidP="00495C3F">
            <w:pPr>
              <w:jc w:val="right"/>
              <w:rPr>
                <w:rFonts w:eastAsia="Times New Roman" w:cs="Calibri"/>
                <w:b/>
                <w:bCs/>
                <w:color w:val="000000"/>
                <w:sz w:val="18"/>
                <w:szCs w:val="18"/>
                <w:lang w:eastAsia="en-AU"/>
              </w:rPr>
            </w:pPr>
            <w:r w:rsidRPr="00A9680F">
              <w:rPr>
                <w:rFonts w:eastAsia="Times New Roman" w:cs="Calibri"/>
                <w:b/>
                <w:bCs/>
                <w:color w:val="000000"/>
                <w:sz w:val="18"/>
                <w:szCs w:val="18"/>
                <w:lang w:eastAsia="en-AU"/>
              </w:rPr>
              <w:t>$259.7</w:t>
            </w:r>
          </w:p>
        </w:tc>
        <w:tc>
          <w:tcPr>
            <w:tcW w:w="418" w:type="pct"/>
            <w:tcBorders>
              <w:top w:val="nil"/>
              <w:left w:val="nil"/>
              <w:bottom w:val="single" w:sz="8" w:space="0" w:color="B7B7E2"/>
              <w:right w:val="single" w:sz="8" w:space="0" w:color="B7B7E2"/>
            </w:tcBorders>
            <w:shd w:val="clear" w:color="auto" w:fill="auto"/>
            <w:vAlign w:val="center"/>
            <w:hideMark/>
          </w:tcPr>
          <w:p w14:paraId="3CEC6B13" w14:textId="77777777" w:rsidR="003364B1" w:rsidRPr="00A9680F" w:rsidRDefault="003364B1" w:rsidP="00495C3F">
            <w:pPr>
              <w:jc w:val="right"/>
              <w:rPr>
                <w:rFonts w:eastAsia="Times New Roman" w:cs="Calibri"/>
                <w:b/>
                <w:bCs/>
                <w:color w:val="000000"/>
                <w:sz w:val="18"/>
                <w:szCs w:val="18"/>
                <w:lang w:eastAsia="en-AU"/>
              </w:rPr>
            </w:pPr>
            <w:r w:rsidRPr="00A9680F">
              <w:rPr>
                <w:rFonts w:eastAsia="Times New Roman" w:cs="Calibri"/>
                <w:b/>
                <w:bCs/>
                <w:color w:val="000000"/>
                <w:sz w:val="18"/>
                <w:szCs w:val="18"/>
                <w:lang w:eastAsia="en-AU"/>
              </w:rPr>
              <w:t>0%</w:t>
            </w:r>
          </w:p>
        </w:tc>
        <w:tc>
          <w:tcPr>
            <w:tcW w:w="473" w:type="pct"/>
            <w:tcBorders>
              <w:top w:val="nil"/>
              <w:left w:val="nil"/>
              <w:bottom w:val="single" w:sz="8" w:space="0" w:color="B7B7E2"/>
              <w:right w:val="single" w:sz="8" w:space="0" w:color="B7B7E2"/>
            </w:tcBorders>
            <w:shd w:val="clear" w:color="auto" w:fill="auto"/>
            <w:vAlign w:val="center"/>
            <w:hideMark/>
          </w:tcPr>
          <w:p w14:paraId="54D481EF" w14:textId="77777777" w:rsidR="003364B1" w:rsidRPr="00A9680F" w:rsidRDefault="003364B1" w:rsidP="00495C3F">
            <w:pPr>
              <w:jc w:val="right"/>
              <w:rPr>
                <w:rFonts w:eastAsia="Times New Roman" w:cs="Calibri"/>
                <w:b/>
                <w:bCs/>
                <w:color w:val="000000"/>
                <w:sz w:val="18"/>
                <w:szCs w:val="18"/>
                <w:lang w:eastAsia="en-AU"/>
              </w:rPr>
            </w:pPr>
            <w:r w:rsidRPr="00A9680F">
              <w:rPr>
                <w:rFonts w:eastAsia="Times New Roman" w:cs="Calibri"/>
                <w:b/>
                <w:bCs/>
                <w:color w:val="000000"/>
                <w:sz w:val="18"/>
                <w:szCs w:val="18"/>
                <w:lang w:eastAsia="en-AU"/>
              </w:rPr>
              <w:t>$258.8</w:t>
            </w:r>
          </w:p>
        </w:tc>
      </w:tr>
    </w:tbl>
    <w:p w14:paraId="62A9F0E6" w14:textId="2C8B867E" w:rsidR="00767CBE" w:rsidRDefault="00767CBE" w:rsidP="00885D18">
      <w:pPr>
        <w:pStyle w:val="BodyText"/>
      </w:pPr>
    </w:p>
    <w:p w14:paraId="796AC17D" w14:textId="4DD26A45" w:rsidR="0055017E" w:rsidRDefault="00FD30F3" w:rsidP="00FD30F3">
      <w:pPr>
        <w:pStyle w:val="BodyText"/>
      </w:pPr>
      <w:r w:rsidRPr="007E5F8F">
        <w:fldChar w:fldCharType="begin"/>
      </w:r>
      <w:r w:rsidRPr="007E5F8F">
        <w:instrText xml:space="preserve"> REF _Ref526509035 \h </w:instrText>
      </w:r>
      <w:r w:rsidR="007E5F8F">
        <w:instrText xml:space="preserve"> \* MERGEFORMAT </w:instrText>
      </w:r>
      <w:r w:rsidRPr="007E5F8F">
        <w:fldChar w:fldCharType="separate"/>
      </w:r>
      <w:r w:rsidR="005823AE">
        <w:t xml:space="preserve">Figure </w:t>
      </w:r>
      <w:r w:rsidR="005823AE">
        <w:rPr>
          <w:noProof/>
        </w:rPr>
        <w:t>1</w:t>
      </w:r>
      <w:r w:rsidRPr="007E5F8F">
        <w:fldChar w:fldCharType="end"/>
      </w:r>
      <w:r w:rsidRPr="007E5F8F">
        <w:t xml:space="preserve"> presents the monthly</w:t>
      </w:r>
      <w:r w:rsidR="009C42B6" w:rsidRPr="007E5F8F">
        <w:t xml:space="preserve"> trend in</w:t>
      </w:r>
      <w:r w:rsidRPr="007E5F8F">
        <w:t xml:space="preserve"> </w:t>
      </w:r>
      <w:r w:rsidR="00D35053">
        <w:t xml:space="preserve">tonnes of </w:t>
      </w:r>
      <w:r w:rsidRPr="007E5F8F">
        <w:t>exports of waste</w:t>
      </w:r>
      <w:r w:rsidR="00D27736">
        <w:t>-</w:t>
      </w:r>
      <w:r w:rsidR="00B619C3">
        <w:t xml:space="preserve">derived materials </w:t>
      </w:r>
      <w:r w:rsidRPr="007E5F8F">
        <w:t xml:space="preserve">from Australia </w:t>
      </w:r>
      <w:r w:rsidR="00B619C3">
        <w:t>by</w:t>
      </w:r>
      <w:r w:rsidRPr="007E5F8F">
        <w:t xml:space="preserve"> destination</w:t>
      </w:r>
      <w:r w:rsidR="004F2E03" w:rsidRPr="007E5F8F">
        <w:t xml:space="preserve"> </w:t>
      </w:r>
      <w:r w:rsidRPr="007E5F8F">
        <w:t xml:space="preserve">between July </w:t>
      </w:r>
      <w:r w:rsidR="00B619C3">
        <w:t>201</w:t>
      </w:r>
      <w:r w:rsidR="009C19BC">
        <w:t>7</w:t>
      </w:r>
      <w:r w:rsidR="00B619C3" w:rsidRPr="007E5F8F">
        <w:t xml:space="preserve"> </w:t>
      </w:r>
      <w:r w:rsidRPr="007E5F8F">
        <w:t xml:space="preserve">and </w:t>
      </w:r>
      <w:r w:rsidR="0071141D">
        <w:t>Dec</w:t>
      </w:r>
      <w:r w:rsidR="00960CEF">
        <w:t>ember</w:t>
      </w:r>
      <w:r w:rsidR="00960CEF" w:rsidRPr="007E5F8F">
        <w:t xml:space="preserve"> </w:t>
      </w:r>
      <w:r w:rsidRPr="007E5F8F">
        <w:t>201</w:t>
      </w:r>
      <w:r w:rsidR="00254A4D">
        <w:t>9</w:t>
      </w:r>
      <w:r w:rsidRPr="007E5F8F">
        <w:t>.</w:t>
      </w:r>
      <w:r w:rsidR="007A0C03" w:rsidRPr="007E5F8F">
        <w:t xml:space="preserve"> </w:t>
      </w:r>
      <w:r w:rsidR="007C7DE7">
        <w:t xml:space="preserve">Monthly exports to Indonesia </w:t>
      </w:r>
      <w:r w:rsidR="00E91B11">
        <w:t>reached a low at 11,000 tonnes this month,</w:t>
      </w:r>
      <w:r w:rsidR="00967DEE">
        <w:t xml:space="preserve"> less than a third of the next lowest monthly total</w:t>
      </w:r>
      <w:r w:rsidR="00E91B11">
        <w:t xml:space="preserve">. </w:t>
      </w:r>
      <w:r w:rsidR="00FD31C3">
        <w:t>E</w:t>
      </w:r>
      <w:r w:rsidR="00E91B11">
        <w:t>xports to Indonesia peaked at</w:t>
      </w:r>
      <w:r w:rsidR="007C7DE7">
        <w:t xml:space="preserve"> 109,000</w:t>
      </w:r>
      <w:r w:rsidR="00E91B11">
        <w:t xml:space="preserve"> </w:t>
      </w:r>
      <w:r w:rsidR="007C7DE7">
        <w:t>during 2017-18</w:t>
      </w:r>
      <w:r w:rsidR="00967DEE">
        <w:t xml:space="preserve"> and averaged 60,000 tonnes in 2018-19</w:t>
      </w:r>
      <w:r w:rsidR="007C7DE7">
        <w:t xml:space="preserve">. </w:t>
      </w:r>
      <w:r w:rsidR="00E91B11">
        <w:t xml:space="preserve">After the record low to Vietnam in November, exports </w:t>
      </w:r>
      <w:r w:rsidR="00FD31C3">
        <w:t>revived</w:t>
      </w:r>
      <w:r w:rsidR="00E91B11">
        <w:t xml:space="preserve"> to 45,000 </w:t>
      </w:r>
      <w:r w:rsidR="00902041">
        <w:t xml:space="preserve">in </w:t>
      </w:r>
      <w:r w:rsidR="00E91B11">
        <w:t xml:space="preserve">December. Exports to India </w:t>
      </w:r>
      <w:r w:rsidR="00902041">
        <w:t xml:space="preserve">increased </w:t>
      </w:r>
      <w:r w:rsidR="00FD31C3">
        <w:t xml:space="preserve">to 69,000 </w:t>
      </w:r>
      <w:r w:rsidR="00902041">
        <w:t>in</w:t>
      </w:r>
      <w:r w:rsidR="00E91B11">
        <w:t xml:space="preserve"> December 2019, the highest since March 2019. </w:t>
      </w:r>
      <w:r w:rsidR="007C7DE7">
        <w:t>E</w:t>
      </w:r>
      <w:r w:rsidR="00475DC9">
        <w:t>xports to China fell markedly during much of 2017-18</w:t>
      </w:r>
      <w:r w:rsidR="006D1602">
        <w:t xml:space="preserve">, reaching a low of </w:t>
      </w:r>
      <w:r w:rsidR="002F0A4E">
        <w:t>31</w:t>
      </w:r>
      <w:r w:rsidR="00475DC9">
        <w:t>,000 tonnes in March</w:t>
      </w:r>
      <w:r w:rsidR="00DC26A4">
        <w:t> </w:t>
      </w:r>
      <w:r w:rsidR="00475DC9">
        <w:t>2018</w:t>
      </w:r>
      <w:r w:rsidR="0071574A">
        <w:t xml:space="preserve">. They </w:t>
      </w:r>
      <w:r w:rsidR="006D1602">
        <w:t>recover</w:t>
      </w:r>
      <w:r w:rsidR="0071574A">
        <w:t>ed</w:t>
      </w:r>
      <w:r w:rsidR="006D1602">
        <w:t xml:space="preserve"> </w:t>
      </w:r>
      <w:r w:rsidR="00475DC9">
        <w:t>to 66,000 tonnes in June</w:t>
      </w:r>
      <w:r w:rsidR="00FD31C3">
        <w:t> </w:t>
      </w:r>
      <w:r w:rsidR="00475DC9">
        <w:t>2018</w:t>
      </w:r>
      <w:r w:rsidR="00CA3AA7">
        <w:t xml:space="preserve"> but </w:t>
      </w:r>
      <w:r w:rsidR="00FD31C3">
        <w:t>fell</w:t>
      </w:r>
      <w:r w:rsidR="00CA3AA7">
        <w:t xml:space="preserve"> again over 2019</w:t>
      </w:r>
      <w:r w:rsidR="002434AE">
        <w:t>.</w:t>
      </w:r>
      <w:r w:rsidR="00E91B11">
        <w:t xml:space="preserve"> In December they dropped to 26,000.</w:t>
      </w:r>
      <w:r w:rsidR="00475DC9">
        <w:t xml:space="preserve"> Overall, no clear trend is apparent in</w:t>
      </w:r>
      <w:r w:rsidR="0071574A">
        <w:t xml:space="preserve"> the overall quantity of</w:t>
      </w:r>
      <w:r w:rsidR="00475DC9">
        <w:t xml:space="preserve"> waste exports over the </w:t>
      </w:r>
      <w:r w:rsidR="00E91B11">
        <w:t>30</w:t>
      </w:r>
      <w:r w:rsidR="00475DC9">
        <w:t xml:space="preserve">-month timeframe. </w:t>
      </w:r>
    </w:p>
    <w:p w14:paraId="08A125CC" w14:textId="0E1EC235" w:rsidR="00FD30F3" w:rsidRDefault="00FD30F3" w:rsidP="00FD30F3">
      <w:pPr>
        <w:pStyle w:val="Caption"/>
      </w:pPr>
      <w:bookmarkStart w:id="3" w:name="_Ref526509035"/>
      <w:r>
        <w:t xml:space="preserve">Figure </w:t>
      </w:r>
      <w:r w:rsidR="00E34057">
        <w:rPr>
          <w:noProof/>
        </w:rPr>
        <w:fldChar w:fldCharType="begin"/>
      </w:r>
      <w:r w:rsidR="00E34057">
        <w:rPr>
          <w:noProof/>
        </w:rPr>
        <w:instrText xml:space="preserve"> SEQ Figure \* ARABIC </w:instrText>
      </w:r>
      <w:r w:rsidR="00E34057">
        <w:rPr>
          <w:noProof/>
        </w:rPr>
        <w:fldChar w:fldCharType="separate"/>
      </w:r>
      <w:r w:rsidR="005823AE">
        <w:rPr>
          <w:noProof/>
        </w:rPr>
        <w:t>1</w:t>
      </w:r>
      <w:r w:rsidR="00E34057">
        <w:rPr>
          <w:noProof/>
        </w:rPr>
        <w:fldChar w:fldCharType="end"/>
      </w:r>
      <w:bookmarkEnd w:id="3"/>
      <w:r>
        <w:tab/>
      </w:r>
      <w:r w:rsidR="0071141D" w:rsidRPr="0071141D">
        <w:t xml:space="preserve">Monthly exports of waste-derived products and waste from Australia by destination, ranked by total quantity received, July 2018 to </w:t>
      </w:r>
      <w:r w:rsidR="002F0992">
        <w:t>January 2020</w:t>
      </w:r>
    </w:p>
    <w:p w14:paraId="54A597C9" w14:textId="20840CA1" w:rsidR="002F0992" w:rsidRPr="002F0992" w:rsidRDefault="002F0992" w:rsidP="00FD31C3">
      <w:pPr>
        <w:pStyle w:val="BodyText"/>
      </w:pPr>
      <w:r w:rsidRPr="002F0992">
        <w:rPr>
          <w:noProof/>
          <w:lang w:eastAsia="en-AU"/>
        </w:rPr>
        <w:drawing>
          <wp:inline distT="0" distB="0" distL="0" distR="0" wp14:anchorId="22F519A1" wp14:editId="5477ECA6">
            <wp:extent cx="5735320" cy="29483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320" cy="2948305"/>
                    </a:xfrm>
                    <a:prstGeom prst="rect">
                      <a:avLst/>
                    </a:prstGeom>
                    <a:noFill/>
                    <a:ln>
                      <a:noFill/>
                    </a:ln>
                  </pic:spPr>
                </pic:pic>
              </a:graphicData>
            </a:graphic>
          </wp:inline>
        </w:drawing>
      </w:r>
    </w:p>
    <w:p w14:paraId="1152657C" w14:textId="3792D6D8" w:rsidR="00F65DB4" w:rsidRDefault="006A3543" w:rsidP="00A675B6">
      <w:pPr>
        <w:pStyle w:val="BodyText"/>
      </w:pPr>
      <w:r w:rsidRPr="006A3543" w:rsidDel="00B619C3">
        <w:t xml:space="preserve"> </w:t>
      </w:r>
    </w:p>
    <w:p w14:paraId="564A86F0" w14:textId="19FBFA49" w:rsidR="00B619C3" w:rsidRDefault="0038755B" w:rsidP="00A675B6">
      <w:pPr>
        <w:pStyle w:val="BodyText"/>
      </w:pPr>
      <w:r>
        <w:t>The reported value of exports for December 2019 was $260 million, falling close to the middle of the range</w:t>
      </w:r>
      <w:r w:rsidR="00FD31C3">
        <w:t xml:space="preserve"> of monthly totals between July 2017 and December 2019 (</w:t>
      </w:r>
      <w:r w:rsidR="00EC2EB9">
        <w:t>$A159 million to $A321 million</w:t>
      </w:r>
      <w:r w:rsidR="00FD31C3">
        <w:t>).</w:t>
      </w:r>
      <w:r w:rsidR="00EC2EB9">
        <w:t xml:space="preserve"> </w:t>
      </w:r>
    </w:p>
    <w:p w14:paraId="284CA916" w14:textId="77777777" w:rsidR="003705B5" w:rsidRDefault="003705B5">
      <w:pPr>
        <w:rPr>
          <w:rFonts w:eastAsiaTheme="majorEastAsia" w:cstheme="majorBidi"/>
          <w:b/>
          <w:color w:val="4D4DB8"/>
          <w:sz w:val="24"/>
          <w:szCs w:val="26"/>
        </w:rPr>
      </w:pPr>
      <w:r>
        <w:br w:type="page"/>
      </w:r>
    </w:p>
    <w:p w14:paraId="54F4A489" w14:textId="0E4FD936" w:rsidR="004256CC" w:rsidRDefault="004256CC" w:rsidP="00305B22">
      <w:pPr>
        <w:pStyle w:val="Heading3-nonumber"/>
      </w:pPr>
      <w:r>
        <w:lastRenderedPageBreak/>
        <w:t>C</w:t>
      </w:r>
      <w:r w:rsidRPr="00850B51">
        <w:t>omparison</w:t>
      </w:r>
      <w:r>
        <w:t xml:space="preserve"> by material</w:t>
      </w:r>
    </w:p>
    <w:p w14:paraId="4858F575" w14:textId="0702FD39" w:rsidR="00192FBE" w:rsidRDefault="00192FBE" w:rsidP="00192FBE">
      <w:pPr>
        <w:pStyle w:val="BodyText"/>
      </w:pPr>
      <w:r>
        <w:fldChar w:fldCharType="begin"/>
      </w:r>
      <w:r>
        <w:instrText xml:space="preserve"> REF _Ref524605817 \h </w:instrText>
      </w:r>
      <w:r>
        <w:fldChar w:fldCharType="separate"/>
      </w:r>
      <w:r w:rsidR="005823AE">
        <w:t xml:space="preserve">Table </w:t>
      </w:r>
      <w:r w:rsidR="005823AE">
        <w:rPr>
          <w:noProof/>
        </w:rPr>
        <w:t>2</w:t>
      </w:r>
      <w:r>
        <w:fldChar w:fldCharType="end"/>
      </w:r>
      <w:r>
        <w:t xml:space="preserve"> presents a comparison of export</w:t>
      </w:r>
      <w:r w:rsidR="006F3380">
        <w:t xml:space="preserve"> </w:t>
      </w:r>
      <w:r w:rsidR="000F41D1">
        <w:t>tonnage</w:t>
      </w:r>
      <w:r w:rsidR="009C7AAF">
        <w:t xml:space="preserve"> and value</w:t>
      </w:r>
      <w:r w:rsidR="000F41D1">
        <w:t xml:space="preserve"> </w:t>
      </w:r>
      <w:r w:rsidR="006F3380">
        <w:t>by material type</w:t>
      </w:r>
      <w:r w:rsidRPr="007E5F8F">
        <w:t xml:space="preserve"> between </w:t>
      </w:r>
      <w:r w:rsidR="007D1E63">
        <w:t>Novem</w:t>
      </w:r>
      <w:r w:rsidR="00077859">
        <w:t>ber</w:t>
      </w:r>
      <w:r w:rsidR="00B65D6C" w:rsidRPr="007E5F8F">
        <w:t xml:space="preserve"> </w:t>
      </w:r>
      <w:r w:rsidR="002434AE">
        <w:t xml:space="preserve">and </w:t>
      </w:r>
      <w:r w:rsidR="007D1E63">
        <w:t>Dec</w:t>
      </w:r>
      <w:r w:rsidR="002434AE">
        <w:t xml:space="preserve">ember </w:t>
      </w:r>
      <w:r w:rsidR="002A1FC6">
        <w:t>2019</w:t>
      </w:r>
      <w:r w:rsidR="00536908">
        <w:t xml:space="preserve">, </w:t>
      </w:r>
      <w:r w:rsidRPr="007E5F8F">
        <w:t xml:space="preserve">the </w:t>
      </w:r>
      <w:r w:rsidR="004219AE">
        <w:t xml:space="preserve">2018-19 </w:t>
      </w:r>
      <w:r w:rsidRPr="007E5F8F">
        <w:t xml:space="preserve">monthly average </w:t>
      </w:r>
      <w:r w:rsidR="00536908">
        <w:t>and</w:t>
      </w:r>
      <w:r w:rsidRPr="007E5F8F">
        <w:t xml:space="preserve"> the year to date </w:t>
      </w:r>
      <w:r w:rsidR="006F3380">
        <w:t>quantities</w:t>
      </w:r>
      <w:r w:rsidRPr="007E5F8F">
        <w:t>.</w:t>
      </w:r>
    </w:p>
    <w:p w14:paraId="198F318C" w14:textId="671E9090" w:rsidR="009E3FF9" w:rsidRDefault="009E3FF9" w:rsidP="009E3FF9">
      <w:pPr>
        <w:pStyle w:val="Caption"/>
      </w:pPr>
      <w:bookmarkStart w:id="4" w:name="_Ref524605817"/>
      <w:r>
        <w:t xml:space="preserve">Table </w:t>
      </w:r>
      <w:r>
        <w:rPr>
          <w:noProof/>
        </w:rPr>
        <w:fldChar w:fldCharType="begin"/>
      </w:r>
      <w:r>
        <w:rPr>
          <w:noProof/>
        </w:rPr>
        <w:instrText xml:space="preserve"> SEQ Table \* ARABIC </w:instrText>
      </w:r>
      <w:r>
        <w:rPr>
          <w:noProof/>
        </w:rPr>
        <w:fldChar w:fldCharType="separate"/>
      </w:r>
      <w:r w:rsidR="005823AE">
        <w:rPr>
          <w:noProof/>
        </w:rPr>
        <w:t>2</w:t>
      </w:r>
      <w:r>
        <w:rPr>
          <w:noProof/>
        </w:rPr>
        <w:fldChar w:fldCharType="end"/>
      </w:r>
      <w:bookmarkEnd w:id="4"/>
      <w:r>
        <w:tab/>
        <w:t xml:space="preserve">Comparison of export </w:t>
      </w:r>
      <w:r w:rsidR="000F41D1">
        <w:t>tonnage</w:t>
      </w:r>
      <w:r w:rsidR="009C7AAF">
        <w:t xml:space="preserve"> and value</w:t>
      </w:r>
      <w:r w:rsidR="000F41D1">
        <w:t xml:space="preserve"> </w:t>
      </w:r>
      <w:r>
        <w:t>by material</w:t>
      </w:r>
    </w:p>
    <w:tbl>
      <w:tblPr>
        <w:tblW w:w="5000" w:type="pct"/>
        <w:tblLook w:val="04A0" w:firstRow="1" w:lastRow="0" w:firstColumn="1" w:lastColumn="0" w:noHBand="0" w:noVBand="1"/>
      </w:tblPr>
      <w:tblGrid>
        <w:gridCol w:w="1327"/>
        <w:gridCol w:w="843"/>
        <w:gridCol w:w="591"/>
        <w:gridCol w:w="843"/>
        <w:gridCol w:w="779"/>
        <w:gridCol w:w="880"/>
        <w:gridCol w:w="749"/>
        <w:gridCol w:w="591"/>
        <w:gridCol w:w="750"/>
        <w:gridCol w:w="779"/>
        <w:gridCol w:w="880"/>
      </w:tblGrid>
      <w:tr w:rsidR="007D1E63" w:rsidRPr="007D1E63" w14:paraId="068328C7" w14:textId="77777777" w:rsidTr="009D04F9">
        <w:trPr>
          <w:trHeight w:val="315"/>
        </w:trPr>
        <w:tc>
          <w:tcPr>
            <w:tcW w:w="737" w:type="pct"/>
            <w:tcBorders>
              <w:top w:val="single" w:sz="8" w:space="0" w:color="B7B7E2"/>
              <w:left w:val="single" w:sz="8" w:space="0" w:color="B7B7E2"/>
              <w:right w:val="single" w:sz="6" w:space="0" w:color="37378B" w:themeColor="accent1" w:themeShade="BF"/>
            </w:tcBorders>
            <w:shd w:val="clear" w:color="000000" w:fill="B7B7E2"/>
            <w:vAlign w:val="bottom"/>
            <w:hideMark/>
          </w:tcPr>
          <w:p w14:paraId="40C08174" w14:textId="77777777" w:rsidR="007D1E63" w:rsidRPr="007D1E63" w:rsidRDefault="007D1E63" w:rsidP="007D1E63">
            <w:pPr>
              <w:rPr>
                <w:rFonts w:eastAsia="Times New Roman" w:cs="Calibri"/>
                <w:b/>
                <w:bCs/>
                <w:color w:val="FFFFFF"/>
                <w:sz w:val="19"/>
                <w:szCs w:val="19"/>
                <w:lang w:eastAsia="en-AU"/>
              </w:rPr>
            </w:pPr>
            <w:r w:rsidRPr="007D1E63">
              <w:rPr>
                <w:rFonts w:eastAsia="Times New Roman" w:cs="Calibri"/>
                <w:b/>
                <w:bCs/>
                <w:color w:val="FFFFFF"/>
                <w:sz w:val="19"/>
                <w:szCs w:val="19"/>
                <w:lang w:eastAsia="en-AU"/>
              </w:rPr>
              <w:t> </w:t>
            </w:r>
          </w:p>
        </w:tc>
        <w:tc>
          <w:tcPr>
            <w:tcW w:w="468" w:type="pct"/>
            <w:tcBorders>
              <w:top w:val="single" w:sz="8" w:space="0" w:color="B7B7E2"/>
              <w:left w:val="single" w:sz="6" w:space="0" w:color="37378B" w:themeColor="accent1" w:themeShade="BF"/>
              <w:right w:val="nil"/>
            </w:tcBorders>
            <w:shd w:val="clear" w:color="000000" w:fill="B7B7E2"/>
            <w:vAlign w:val="center"/>
            <w:hideMark/>
          </w:tcPr>
          <w:p w14:paraId="343309B2" w14:textId="77777777" w:rsidR="007D1E63" w:rsidRPr="007D1E63" w:rsidRDefault="007D1E63" w:rsidP="007D1E63">
            <w:pPr>
              <w:rPr>
                <w:rFonts w:eastAsia="Times New Roman" w:cs="Calibri"/>
                <w:b/>
                <w:bCs/>
                <w:color w:val="FFFFFF"/>
                <w:sz w:val="19"/>
                <w:szCs w:val="19"/>
                <w:lang w:eastAsia="en-AU"/>
              </w:rPr>
            </w:pPr>
            <w:r w:rsidRPr="007D1E63">
              <w:rPr>
                <w:rFonts w:eastAsia="Times New Roman" w:cs="Calibri"/>
                <w:b/>
                <w:bCs/>
                <w:color w:val="FFFFFF"/>
                <w:sz w:val="19"/>
                <w:szCs w:val="19"/>
                <w:lang w:eastAsia="en-AU"/>
              </w:rPr>
              <w:t> </w:t>
            </w:r>
          </w:p>
        </w:tc>
        <w:tc>
          <w:tcPr>
            <w:tcW w:w="328" w:type="pct"/>
            <w:tcBorders>
              <w:top w:val="single" w:sz="8" w:space="0" w:color="B7B7E2"/>
              <w:left w:val="single" w:sz="8" w:space="0" w:color="B7B7E2"/>
              <w:right w:val="nil"/>
            </w:tcBorders>
            <w:shd w:val="clear" w:color="000000" w:fill="B7B7E2"/>
            <w:vAlign w:val="center"/>
            <w:hideMark/>
          </w:tcPr>
          <w:p w14:paraId="2507C13D" w14:textId="77777777" w:rsidR="007D1E63" w:rsidRPr="007D1E63" w:rsidRDefault="007D1E63" w:rsidP="007D1E63">
            <w:pPr>
              <w:rPr>
                <w:rFonts w:eastAsia="Times New Roman" w:cs="Calibri"/>
                <w:b/>
                <w:bCs/>
                <w:color w:val="FFFFFF"/>
                <w:sz w:val="19"/>
                <w:szCs w:val="19"/>
                <w:lang w:eastAsia="en-AU"/>
              </w:rPr>
            </w:pPr>
            <w:r w:rsidRPr="007D1E63">
              <w:rPr>
                <w:rFonts w:eastAsia="Times New Roman" w:cs="Calibri"/>
                <w:b/>
                <w:bCs/>
                <w:color w:val="FFFFFF"/>
                <w:sz w:val="19"/>
                <w:szCs w:val="19"/>
                <w:lang w:eastAsia="en-AU"/>
              </w:rPr>
              <w:t> </w:t>
            </w:r>
          </w:p>
        </w:tc>
        <w:tc>
          <w:tcPr>
            <w:tcW w:w="468" w:type="pct"/>
            <w:tcBorders>
              <w:top w:val="single" w:sz="8" w:space="0" w:color="B7B7E2"/>
              <w:left w:val="single" w:sz="8" w:space="0" w:color="B7B7E2"/>
              <w:right w:val="nil"/>
            </w:tcBorders>
            <w:shd w:val="clear" w:color="000000" w:fill="B7B7E2"/>
            <w:vAlign w:val="center"/>
            <w:hideMark/>
          </w:tcPr>
          <w:p w14:paraId="358D1741" w14:textId="6F903C62" w:rsidR="007D1E63" w:rsidRPr="007D1E63" w:rsidRDefault="007D1E63" w:rsidP="007D1E63">
            <w:pPr>
              <w:rPr>
                <w:rFonts w:eastAsia="Times New Roman" w:cs="Calibri"/>
                <w:b/>
                <w:bCs/>
                <w:color w:val="FFFFFF"/>
                <w:sz w:val="19"/>
                <w:szCs w:val="19"/>
                <w:lang w:eastAsia="en-AU"/>
              </w:rPr>
            </w:pPr>
            <w:r w:rsidRPr="007D1E63">
              <w:rPr>
                <w:rFonts w:eastAsia="Times New Roman" w:cs="Calibri"/>
                <w:b/>
                <w:bCs/>
                <w:color w:val="FFFFFF"/>
                <w:sz w:val="19"/>
                <w:szCs w:val="19"/>
                <w:lang w:eastAsia="en-AU"/>
              </w:rPr>
              <w:t> </w:t>
            </w:r>
            <w:r>
              <w:rPr>
                <w:rFonts w:eastAsia="Times New Roman" w:cs="Calibri"/>
                <w:b/>
                <w:bCs/>
                <w:color w:val="FFFFFF"/>
                <w:sz w:val="19"/>
                <w:szCs w:val="19"/>
                <w:lang w:eastAsia="en-AU"/>
              </w:rPr>
              <w:t>Tonnes</w:t>
            </w:r>
          </w:p>
        </w:tc>
        <w:tc>
          <w:tcPr>
            <w:tcW w:w="432" w:type="pct"/>
            <w:tcBorders>
              <w:top w:val="single" w:sz="8" w:space="0" w:color="B7B7E2"/>
              <w:left w:val="nil"/>
              <w:right w:val="single" w:sz="8" w:space="0" w:color="B7B7E2"/>
            </w:tcBorders>
            <w:shd w:val="clear" w:color="000000" w:fill="B7B7E2"/>
            <w:vAlign w:val="center"/>
            <w:hideMark/>
          </w:tcPr>
          <w:p w14:paraId="00C1E724" w14:textId="77777777" w:rsidR="007D1E63" w:rsidRPr="007D1E63" w:rsidRDefault="007D1E63" w:rsidP="007D1E63">
            <w:pPr>
              <w:rPr>
                <w:rFonts w:eastAsia="Times New Roman" w:cs="Calibri"/>
                <w:b/>
                <w:bCs/>
                <w:color w:val="FFFFFF"/>
                <w:sz w:val="19"/>
                <w:szCs w:val="19"/>
                <w:lang w:eastAsia="en-AU"/>
              </w:rPr>
            </w:pPr>
            <w:r w:rsidRPr="007D1E63">
              <w:rPr>
                <w:rFonts w:eastAsia="Times New Roman" w:cs="Calibri"/>
                <w:b/>
                <w:bCs/>
                <w:color w:val="FFFFFF"/>
                <w:sz w:val="19"/>
                <w:szCs w:val="19"/>
                <w:lang w:eastAsia="en-AU"/>
              </w:rPr>
              <w:t> </w:t>
            </w:r>
          </w:p>
        </w:tc>
        <w:tc>
          <w:tcPr>
            <w:tcW w:w="488" w:type="pct"/>
            <w:vMerge w:val="restart"/>
            <w:tcBorders>
              <w:top w:val="single" w:sz="8" w:space="0" w:color="B7B7E2"/>
              <w:left w:val="single" w:sz="8" w:space="0" w:color="B7B7E2"/>
              <w:right w:val="single" w:sz="6" w:space="0" w:color="37378B" w:themeColor="accent1" w:themeShade="BF"/>
            </w:tcBorders>
            <w:shd w:val="clear" w:color="000000" w:fill="B7B7E2"/>
            <w:vAlign w:val="center"/>
            <w:hideMark/>
          </w:tcPr>
          <w:p w14:paraId="29CD1158" w14:textId="77777777" w:rsidR="007D1E63" w:rsidRPr="007D1E63" w:rsidRDefault="007D1E63" w:rsidP="007D1E63">
            <w:pPr>
              <w:jc w:val="right"/>
              <w:rPr>
                <w:rFonts w:eastAsia="Times New Roman" w:cs="Calibri"/>
                <w:b/>
                <w:bCs/>
                <w:color w:val="FFFFFF"/>
                <w:sz w:val="19"/>
                <w:szCs w:val="19"/>
                <w:lang w:eastAsia="en-AU"/>
              </w:rPr>
            </w:pPr>
            <w:r w:rsidRPr="007D1E63">
              <w:rPr>
                <w:rFonts w:eastAsia="Times New Roman" w:cs="Calibri"/>
                <w:b/>
                <w:bCs/>
                <w:color w:val="FFFFFF"/>
                <w:sz w:val="19"/>
                <w:szCs w:val="19"/>
                <w:lang w:eastAsia="en-AU"/>
              </w:rPr>
              <w:t>2018-19 monthly avg</w:t>
            </w:r>
          </w:p>
        </w:tc>
        <w:tc>
          <w:tcPr>
            <w:tcW w:w="416" w:type="pct"/>
            <w:tcBorders>
              <w:top w:val="single" w:sz="8" w:space="0" w:color="B7B7E2"/>
              <w:left w:val="single" w:sz="6" w:space="0" w:color="37378B" w:themeColor="accent1" w:themeShade="BF"/>
              <w:right w:val="nil"/>
            </w:tcBorders>
            <w:shd w:val="clear" w:color="000000" w:fill="B7B7E2"/>
            <w:hideMark/>
          </w:tcPr>
          <w:p w14:paraId="3B1F1877" w14:textId="77777777" w:rsidR="007D1E63" w:rsidRPr="007D1E63" w:rsidRDefault="007D1E63" w:rsidP="007D1E63">
            <w:pPr>
              <w:rPr>
                <w:rFonts w:eastAsia="Times New Roman" w:cs="Calibri"/>
                <w:b/>
                <w:bCs/>
                <w:color w:val="FFFFFF"/>
                <w:sz w:val="19"/>
                <w:szCs w:val="19"/>
                <w:lang w:eastAsia="en-AU"/>
              </w:rPr>
            </w:pPr>
            <w:r w:rsidRPr="007D1E63">
              <w:rPr>
                <w:rFonts w:eastAsia="Times New Roman" w:cs="Calibri"/>
                <w:b/>
                <w:bCs/>
                <w:color w:val="FFFFFF"/>
                <w:sz w:val="19"/>
                <w:szCs w:val="19"/>
                <w:lang w:eastAsia="en-AU"/>
              </w:rPr>
              <w:t> </w:t>
            </w:r>
          </w:p>
        </w:tc>
        <w:tc>
          <w:tcPr>
            <w:tcW w:w="328" w:type="pct"/>
            <w:tcBorders>
              <w:top w:val="single" w:sz="8" w:space="0" w:color="B7B7E2"/>
              <w:left w:val="nil"/>
              <w:right w:val="nil"/>
            </w:tcBorders>
            <w:shd w:val="clear" w:color="000000" w:fill="B7B7E2"/>
            <w:hideMark/>
          </w:tcPr>
          <w:p w14:paraId="32FA54C0" w14:textId="77777777" w:rsidR="007D1E63" w:rsidRPr="007D1E63" w:rsidRDefault="007D1E63" w:rsidP="007D1E63">
            <w:pPr>
              <w:rPr>
                <w:rFonts w:eastAsia="Times New Roman" w:cs="Calibri"/>
                <w:b/>
                <w:bCs/>
                <w:color w:val="FFFFFF"/>
                <w:sz w:val="19"/>
                <w:szCs w:val="19"/>
                <w:lang w:eastAsia="en-AU"/>
              </w:rPr>
            </w:pPr>
            <w:r w:rsidRPr="007D1E63">
              <w:rPr>
                <w:rFonts w:eastAsia="Times New Roman" w:cs="Calibri"/>
                <w:b/>
                <w:bCs/>
                <w:color w:val="FFFFFF"/>
                <w:sz w:val="19"/>
                <w:szCs w:val="19"/>
                <w:lang w:eastAsia="en-AU"/>
              </w:rPr>
              <w:t> </w:t>
            </w:r>
          </w:p>
        </w:tc>
        <w:tc>
          <w:tcPr>
            <w:tcW w:w="416" w:type="pct"/>
            <w:tcBorders>
              <w:top w:val="single" w:sz="8" w:space="0" w:color="B7B7E2"/>
              <w:left w:val="nil"/>
              <w:right w:val="nil"/>
            </w:tcBorders>
            <w:shd w:val="clear" w:color="000000" w:fill="B7B7E2"/>
            <w:hideMark/>
          </w:tcPr>
          <w:p w14:paraId="48921EDE" w14:textId="304B102A" w:rsidR="007D1E63" w:rsidRPr="007D1E63" w:rsidRDefault="007D1E63" w:rsidP="007D1E63">
            <w:pPr>
              <w:rPr>
                <w:rFonts w:eastAsia="Times New Roman" w:cs="Calibri"/>
                <w:b/>
                <w:bCs/>
                <w:color w:val="FFFFFF"/>
                <w:sz w:val="19"/>
                <w:szCs w:val="19"/>
                <w:lang w:eastAsia="en-AU"/>
              </w:rPr>
            </w:pPr>
            <w:r w:rsidRPr="007D1E63">
              <w:rPr>
                <w:rFonts w:eastAsia="Times New Roman" w:cs="Calibri"/>
                <w:b/>
                <w:bCs/>
                <w:color w:val="FFFFFF"/>
                <w:sz w:val="19"/>
                <w:szCs w:val="19"/>
                <w:lang w:eastAsia="en-AU"/>
              </w:rPr>
              <w:t> </w:t>
            </w:r>
            <w:r>
              <w:rPr>
                <w:rFonts w:eastAsia="Times New Roman" w:cs="Calibri"/>
                <w:b/>
                <w:bCs/>
                <w:color w:val="FFFFFF"/>
                <w:sz w:val="19"/>
                <w:szCs w:val="19"/>
                <w:lang w:eastAsia="en-AU"/>
              </w:rPr>
              <w:t>Value</w:t>
            </w:r>
          </w:p>
        </w:tc>
        <w:tc>
          <w:tcPr>
            <w:tcW w:w="432" w:type="pct"/>
            <w:tcBorders>
              <w:top w:val="single" w:sz="8" w:space="0" w:color="B7B7E2"/>
              <w:left w:val="nil"/>
              <w:right w:val="nil"/>
            </w:tcBorders>
            <w:shd w:val="clear" w:color="000000" w:fill="B7B7E2"/>
            <w:hideMark/>
          </w:tcPr>
          <w:p w14:paraId="28B711AD" w14:textId="77777777" w:rsidR="007D1E63" w:rsidRPr="007D1E63" w:rsidRDefault="007D1E63" w:rsidP="007D1E63">
            <w:pPr>
              <w:rPr>
                <w:rFonts w:eastAsia="Times New Roman" w:cs="Calibri"/>
                <w:b/>
                <w:bCs/>
                <w:color w:val="FFFFFF"/>
                <w:sz w:val="19"/>
                <w:szCs w:val="19"/>
                <w:lang w:eastAsia="en-AU"/>
              </w:rPr>
            </w:pPr>
            <w:r w:rsidRPr="007D1E63">
              <w:rPr>
                <w:rFonts w:eastAsia="Times New Roman" w:cs="Calibri"/>
                <w:b/>
                <w:bCs/>
                <w:color w:val="FFFFFF"/>
                <w:sz w:val="19"/>
                <w:szCs w:val="19"/>
                <w:lang w:eastAsia="en-AU"/>
              </w:rPr>
              <w:t> </w:t>
            </w:r>
          </w:p>
        </w:tc>
        <w:tc>
          <w:tcPr>
            <w:tcW w:w="488" w:type="pct"/>
            <w:vMerge w:val="restart"/>
            <w:tcBorders>
              <w:top w:val="single" w:sz="8" w:space="0" w:color="B7B7E2"/>
              <w:left w:val="single" w:sz="8" w:space="0" w:color="B7B7E2"/>
              <w:right w:val="single" w:sz="8" w:space="0" w:color="B7B7E2"/>
            </w:tcBorders>
            <w:shd w:val="clear" w:color="000000" w:fill="B7B7E2"/>
            <w:vAlign w:val="center"/>
            <w:hideMark/>
          </w:tcPr>
          <w:p w14:paraId="122DEA53" w14:textId="77777777" w:rsidR="007D1E63" w:rsidRPr="007D1E63" w:rsidRDefault="007D1E63" w:rsidP="007D1E63">
            <w:pPr>
              <w:jc w:val="right"/>
              <w:rPr>
                <w:rFonts w:eastAsia="Times New Roman" w:cs="Calibri"/>
                <w:b/>
                <w:bCs/>
                <w:color w:val="FFFFFF"/>
                <w:sz w:val="19"/>
                <w:szCs w:val="19"/>
                <w:lang w:eastAsia="en-AU"/>
              </w:rPr>
            </w:pPr>
            <w:r w:rsidRPr="007D1E63">
              <w:rPr>
                <w:rFonts w:eastAsia="Times New Roman" w:cs="Calibri"/>
                <w:b/>
                <w:bCs/>
                <w:color w:val="FFFFFF"/>
                <w:sz w:val="19"/>
                <w:szCs w:val="19"/>
                <w:lang w:eastAsia="en-AU"/>
              </w:rPr>
              <w:t>2018-19 monthly avg</w:t>
            </w:r>
          </w:p>
        </w:tc>
      </w:tr>
      <w:tr w:rsidR="007D1E63" w:rsidRPr="007D1E63" w14:paraId="2D39D40E" w14:textId="77777777" w:rsidTr="009D04F9">
        <w:tc>
          <w:tcPr>
            <w:tcW w:w="737" w:type="pct"/>
            <w:tcBorders>
              <w:left w:val="single" w:sz="8" w:space="0" w:color="B7B7E2"/>
              <w:right w:val="single" w:sz="6" w:space="0" w:color="37378B" w:themeColor="accent1" w:themeShade="BF"/>
            </w:tcBorders>
            <w:shd w:val="clear" w:color="000000" w:fill="B7B7E2"/>
            <w:vAlign w:val="bottom"/>
            <w:hideMark/>
          </w:tcPr>
          <w:p w14:paraId="70C01DBA" w14:textId="77777777" w:rsidR="007D1E63" w:rsidRPr="007D1E63" w:rsidRDefault="007D1E63" w:rsidP="007D1E63">
            <w:pPr>
              <w:rPr>
                <w:rFonts w:eastAsia="Times New Roman" w:cs="Calibri"/>
                <w:b/>
                <w:bCs/>
                <w:color w:val="FFFFFF"/>
                <w:sz w:val="19"/>
                <w:szCs w:val="19"/>
                <w:lang w:eastAsia="en-AU"/>
              </w:rPr>
            </w:pPr>
            <w:r w:rsidRPr="007D1E63">
              <w:rPr>
                <w:rFonts w:eastAsia="Times New Roman" w:cs="Calibri"/>
                <w:b/>
                <w:bCs/>
                <w:color w:val="FFFFFF"/>
                <w:sz w:val="19"/>
                <w:szCs w:val="19"/>
                <w:lang w:eastAsia="en-AU"/>
              </w:rPr>
              <w:t> </w:t>
            </w:r>
          </w:p>
        </w:tc>
        <w:tc>
          <w:tcPr>
            <w:tcW w:w="796" w:type="pct"/>
            <w:gridSpan w:val="2"/>
            <w:tcBorders>
              <w:left w:val="single" w:sz="6" w:space="0" w:color="37378B" w:themeColor="accent1" w:themeShade="BF"/>
              <w:right w:val="nil"/>
            </w:tcBorders>
            <w:shd w:val="clear" w:color="000000" w:fill="B7B7E2"/>
            <w:vAlign w:val="center"/>
            <w:hideMark/>
          </w:tcPr>
          <w:p w14:paraId="154154B2" w14:textId="77777777" w:rsidR="007D1E63" w:rsidRPr="007D1E63" w:rsidRDefault="007D1E63" w:rsidP="007D1E63">
            <w:pPr>
              <w:jc w:val="center"/>
              <w:rPr>
                <w:rFonts w:eastAsia="Times New Roman" w:cs="Calibri"/>
                <w:b/>
                <w:bCs/>
                <w:color w:val="FFFFFF"/>
                <w:sz w:val="19"/>
                <w:szCs w:val="19"/>
                <w:lang w:eastAsia="en-AU"/>
              </w:rPr>
            </w:pPr>
            <w:r w:rsidRPr="007D1E63">
              <w:rPr>
                <w:rFonts w:eastAsia="Times New Roman" w:cs="Calibri"/>
                <w:b/>
                <w:bCs/>
                <w:color w:val="FFFFFF"/>
                <w:sz w:val="19"/>
                <w:szCs w:val="19"/>
                <w:lang w:eastAsia="en-AU"/>
              </w:rPr>
              <w:t>Dec-19</w:t>
            </w:r>
          </w:p>
        </w:tc>
        <w:tc>
          <w:tcPr>
            <w:tcW w:w="468" w:type="pct"/>
            <w:tcBorders>
              <w:left w:val="single" w:sz="8" w:space="0" w:color="B7B7E2"/>
              <w:right w:val="nil"/>
            </w:tcBorders>
            <w:shd w:val="clear" w:color="000000" w:fill="B7B7E2"/>
            <w:vAlign w:val="center"/>
            <w:hideMark/>
          </w:tcPr>
          <w:p w14:paraId="065AE857" w14:textId="77777777" w:rsidR="007D1E63" w:rsidRPr="007D1E63" w:rsidRDefault="007D1E63" w:rsidP="007D1E63">
            <w:pPr>
              <w:jc w:val="right"/>
              <w:rPr>
                <w:rFonts w:eastAsia="Times New Roman" w:cs="Calibri"/>
                <w:b/>
                <w:bCs/>
                <w:color w:val="FFFFFF"/>
                <w:sz w:val="19"/>
                <w:szCs w:val="19"/>
                <w:lang w:eastAsia="en-AU"/>
              </w:rPr>
            </w:pPr>
            <w:r w:rsidRPr="007D1E63">
              <w:rPr>
                <w:rFonts w:eastAsia="Times New Roman" w:cs="Calibri"/>
                <w:b/>
                <w:bCs/>
                <w:color w:val="FFFFFF"/>
                <w:sz w:val="19"/>
                <w:szCs w:val="19"/>
                <w:lang w:eastAsia="en-AU"/>
              </w:rPr>
              <w:t>Nov-19</w:t>
            </w:r>
          </w:p>
        </w:tc>
        <w:tc>
          <w:tcPr>
            <w:tcW w:w="432" w:type="pct"/>
            <w:tcBorders>
              <w:left w:val="nil"/>
              <w:right w:val="single" w:sz="8" w:space="0" w:color="B7B7E2"/>
            </w:tcBorders>
            <w:shd w:val="clear" w:color="000000" w:fill="B7B7E2"/>
            <w:vAlign w:val="center"/>
            <w:hideMark/>
          </w:tcPr>
          <w:p w14:paraId="68900381" w14:textId="77777777" w:rsidR="007D1E63" w:rsidRPr="007D1E63" w:rsidRDefault="007D1E63" w:rsidP="007D1E63">
            <w:pPr>
              <w:rPr>
                <w:rFonts w:eastAsia="Times New Roman" w:cs="Calibri"/>
                <w:b/>
                <w:bCs/>
                <w:color w:val="FFFFFF"/>
                <w:sz w:val="19"/>
                <w:szCs w:val="19"/>
                <w:lang w:eastAsia="en-AU"/>
              </w:rPr>
            </w:pPr>
            <w:r w:rsidRPr="007D1E63">
              <w:rPr>
                <w:rFonts w:eastAsia="Times New Roman" w:cs="Calibri"/>
                <w:b/>
                <w:bCs/>
                <w:color w:val="FFFFFF"/>
                <w:sz w:val="19"/>
                <w:szCs w:val="19"/>
                <w:lang w:eastAsia="en-AU"/>
              </w:rPr>
              <w:t> </w:t>
            </w:r>
          </w:p>
        </w:tc>
        <w:tc>
          <w:tcPr>
            <w:tcW w:w="488" w:type="pct"/>
            <w:vMerge/>
            <w:tcBorders>
              <w:left w:val="single" w:sz="8" w:space="0" w:color="B7B7E2"/>
              <w:right w:val="single" w:sz="6" w:space="0" w:color="37378B" w:themeColor="accent1" w:themeShade="BF"/>
            </w:tcBorders>
            <w:vAlign w:val="center"/>
            <w:hideMark/>
          </w:tcPr>
          <w:p w14:paraId="77E36B03" w14:textId="77777777" w:rsidR="007D1E63" w:rsidRPr="007D1E63" w:rsidRDefault="007D1E63" w:rsidP="007D1E63">
            <w:pPr>
              <w:rPr>
                <w:rFonts w:eastAsia="Times New Roman" w:cs="Calibri"/>
                <w:b/>
                <w:bCs/>
                <w:color w:val="FFFFFF"/>
                <w:sz w:val="19"/>
                <w:szCs w:val="19"/>
                <w:lang w:eastAsia="en-AU"/>
              </w:rPr>
            </w:pPr>
          </w:p>
        </w:tc>
        <w:tc>
          <w:tcPr>
            <w:tcW w:w="743" w:type="pct"/>
            <w:gridSpan w:val="2"/>
            <w:tcBorders>
              <w:left w:val="single" w:sz="6" w:space="0" w:color="37378B" w:themeColor="accent1" w:themeShade="BF"/>
              <w:right w:val="single" w:sz="8" w:space="0" w:color="B7B7E2"/>
            </w:tcBorders>
            <w:shd w:val="clear" w:color="000000" w:fill="B7B7E2"/>
            <w:vAlign w:val="center"/>
            <w:hideMark/>
          </w:tcPr>
          <w:p w14:paraId="6A8D5BA8" w14:textId="77777777" w:rsidR="007D1E63" w:rsidRPr="007D1E63" w:rsidRDefault="007D1E63" w:rsidP="007D1E63">
            <w:pPr>
              <w:jc w:val="center"/>
              <w:rPr>
                <w:rFonts w:eastAsia="Times New Roman" w:cs="Calibri"/>
                <w:b/>
                <w:bCs/>
                <w:color w:val="FFFFFF"/>
                <w:sz w:val="19"/>
                <w:szCs w:val="19"/>
                <w:lang w:eastAsia="en-AU"/>
              </w:rPr>
            </w:pPr>
            <w:r w:rsidRPr="007D1E63">
              <w:rPr>
                <w:rFonts w:eastAsia="Times New Roman" w:cs="Calibri"/>
                <w:b/>
                <w:bCs/>
                <w:color w:val="FFFFFF"/>
                <w:sz w:val="19"/>
                <w:szCs w:val="19"/>
                <w:lang w:eastAsia="en-AU"/>
              </w:rPr>
              <w:t>Dec-19</w:t>
            </w:r>
          </w:p>
        </w:tc>
        <w:tc>
          <w:tcPr>
            <w:tcW w:w="416" w:type="pct"/>
            <w:tcBorders>
              <w:left w:val="single" w:sz="8" w:space="0" w:color="B7B7E2"/>
              <w:right w:val="nil"/>
            </w:tcBorders>
            <w:shd w:val="clear" w:color="000000" w:fill="B7B7E2"/>
            <w:vAlign w:val="center"/>
            <w:hideMark/>
          </w:tcPr>
          <w:p w14:paraId="4C0228C0" w14:textId="77777777" w:rsidR="007D1E63" w:rsidRPr="007D1E63" w:rsidRDefault="007D1E63" w:rsidP="007D1E63">
            <w:pPr>
              <w:jc w:val="right"/>
              <w:rPr>
                <w:rFonts w:eastAsia="Times New Roman" w:cs="Calibri"/>
                <w:b/>
                <w:bCs/>
                <w:color w:val="FFFFFF"/>
                <w:sz w:val="19"/>
                <w:szCs w:val="19"/>
                <w:lang w:eastAsia="en-AU"/>
              </w:rPr>
            </w:pPr>
            <w:r w:rsidRPr="007D1E63">
              <w:rPr>
                <w:rFonts w:eastAsia="Times New Roman" w:cs="Calibri"/>
                <w:b/>
                <w:bCs/>
                <w:color w:val="FFFFFF"/>
                <w:sz w:val="19"/>
                <w:szCs w:val="19"/>
                <w:lang w:eastAsia="en-AU"/>
              </w:rPr>
              <w:t>Nov-19</w:t>
            </w:r>
          </w:p>
        </w:tc>
        <w:tc>
          <w:tcPr>
            <w:tcW w:w="432" w:type="pct"/>
            <w:tcBorders>
              <w:left w:val="single" w:sz="8" w:space="0" w:color="B7B7E2"/>
              <w:right w:val="nil"/>
            </w:tcBorders>
            <w:shd w:val="clear" w:color="000000" w:fill="B7B7E2"/>
            <w:vAlign w:val="center"/>
            <w:hideMark/>
          </w:tcPr>
          <w:p w14:paraId="09E23D19" w14:textId="77777777" w:rsidR="007D1E63" w:rsidRPr="007D1E63" w:rsidRDefault="007D1E63" w:rsidP="007D1E63">
            <w:pPr>
              <w:rPr>
                <w:rFonts w:eastAsia="Times New Roman" w:cs="Calibri"/>
                <w:b/>
                <w:bCs/>
                <w:color w:val="FFFFFF"/>
                <w:sz w:val="19"/>
                <w:szCs w:val="19"/>
                <w:lang w:eastAsia="en-AU"/>
              </w:rPr>
            </w:pPr>
            <w:r w:rsidRPr="007D1E63">
              <w:rPr>
                <w:rFonts w:eastAsia="Times New Roman" w:cs="Calibri"/>
                <w:b/>
                <w:bCs/>
                <w:color w:val="FFFFFF"/>
                <w:sz w:val="19"/>
                <w:szCs w:val="19"/>
                <w:lang w:eastAsia="en-AU"/>
              </w:rPr>
              <w:t> </w:t>
            </w:r>
          </w:p>
        </w:tc>
        <w:tc>
          <w:tcPr>
            <w:tcW w:w="488" w:type="pct"/>
            <w:vMerge/>
            <w:tcBorders>
              <w:left w:val="single" w:sz="8" w:space="0" w:color="B7B7E2"/>
              <w:right w:val="single" w:sz="8" w:space="0" w:color="B7B7E2"/>
            </w:tcBorders>
            <w:vAlign w:val="center"/>
            <w:hideMark/>
          </w:tcPr>
          <w:p w14:paraId="474E9869" w14:textId="77777777" w:rsidR="007D1E63" w:rsidRPr="007D1E63" w:rsidRDefault="007D1E63" w:rsidP="007D1E63">
            <w:pPr>
              <w:rPr>
                <w:rFonts w:eastAsia="Times New Roman" w:cs="Calibri"/>
                <w:b/>
                <w:bCs/>
                <w:color w:val="FFFFFF"/>
                <w:sz w:val="19"/>
                <w:szCs w:val="19"/>
                <w:lang w:eastAsia="en-AU"/>
              </w:rPr>
            </w:pPr>
          </w:p>
        </w:tc>
      </w:tr>
      <w:tr w:rsidR="007D1E63" w:rsidRPr="007D1E63" w14:paraId="5F4668CD" w14:textId="77777777" w:rsidTr="009D04F9">
        <w:tc>
          <w:tcPr>
            <w:tcW w:w="737" w:type="pct"/>
            <w:tcBorders>
              <w:top w:val="nil"/>
              <w:left w:val="single" w:sz="8" w:space="0" w:color="B7B7E2"/>
              <w:bottom w:val="single" w:sz="8" w:space="0" w:color="B7B7E2"/>
              <w:right w:val="single" w:sz="6" w:space="0" w:color="37378B" w:themeColor="accent1" w:themeShade="BF"/>
            </w:tcBorders>
            <w:shd w:val="clear" w:color="000000" w:fill="B7B7E2"/>
            <w:vAlign w:val="bottom"/>
            <w:hideMark/>
          </w:tcPr>
          <w:p w14:paraId="1E88E3BF" w14:textId="77777777" w:rsidR="007D1E63" w:rsidRPr="007D1E63" w:rsidRDefault="007D1E63" w:rsidP="007D1E63">
            <w:pPr>
              <w:rPr>
                <w:rFonts w:eastAsia="Times New Roman" w:cs="Calibri"/>
                <w:b/>
                <w:bCs/>
                <w:color w:val="FFFFFF"/>
                <w:sz w:val="19"/>
                <w:szCs w:val="19"/>
                <w:lang w:eastAsia="en-AU"/>
              </w:rPr>
            </w:pPr>
            <w:r w:rsidRPr="007D1E63">
              <w:rPr>
                <w:rFonts w:eastAsia="Times New Roman" w:cs="Calibri"/>
                <w:b/>
                <w:bCs/>
                <w:color w:val="FFFFFF"/>
                <w:sz w:val="19"/>
                <w:szCs w:val="19"/>
                <w:lang w:eastAsia="en-AU"/>
              </w:rPr>
              <w:t> </w:t>
            </w:r>
          </w:p>
        </w:tc>
        <w:tc>
          <w:tcPr>
            <w:tcW w:w="468" w:type="pct"/>
            <w:tcBorders>
              <w:top w:val="nil"/>
              <w:left w:val="single" w:sz="6" w:space="0" w:color="37378B" w:themeColor="accent1" w:themeShade="BF"/>
              <w:bottom w:val="single" w:sz="8" w:space="0" w:color="B7B7E2"/>
              <w:right w:val="single" w:sz="8" w:space="0" w:color="B7B7E2"/>
            </w:tcBorders>
            <w:shd w:val="clear" w:color="000000" w:fill="B7B7E2"/>
            <w:vAlign w:val="bottom"/>
            <w:hideMark/>
          </w:tcPr>
          <w:p w14:paraId="0495D4E2" w14:textId="77777777" w:rsidR="007D1E63" w:rsidRPr="007D1E63" w:rsidRDefault="007D1E63" w:rsidP="007D1E63">
            <w:pPr>
              <w:jc w:val="right"/>
              <w:rPr>
                <w:rFonts w:eastAsia="Times New Roman" w:cs="Calibri"/>
                <w:b/>
                <w:bCs/>
                <w:color w:val="FFFFFF"/>
                <w:sz w:val="19"/>
                <w:szCs w:val="19"/>
                <w:lang w:eastAsia="en-AU"/>
              </w:rPr>
            </w:pPr>
            <w:r w:rsidRPr="007D1E63">
              <w:rPr>
                <w:rFonts w:eastAsia="Times New Roman" w:cs="Calibri"/>
                <w:b/>
                <w:bCs/>
                <w:color w:val="FFFFFF"/>
                <w:sz w:val="19"/>
                <w:szCs w:val="19"/>
                <w:lang w:eastAsia="en-AU"/>
              </w:rPr>
              <w:t>tonnes</w:t>
            </w:r>
          </w:p>
        </w:tc>
        <w:tc>
          <w:tcPr>
            <w:tcW w:w="328" w:type="pct"/>
            <w:tcBorders>
              <w:top w:val="nil"/>
              <w:left w:val="nil"/>
              <w:bottom w:val="single" w:sz="8" w:space="0" w:color="B7B7E2"/>
              <w:right w:val="single" w:sz="8" w:space="0" w:color="B7B7E2"/>
            </w:tcBorders>
            <w:shd w:val="clear" w:color="000000" w:fill="B7B7E2"/>
            <w:vAlign w:val="bottom"/>
            <w:hideMark/>
          </w:tcPr>
          <w:p w14:paraId="031481F3" w14:textId="77777777" w:rsidR="007D1E63" w:rsidRPr="007D1E63" w:rsidRDefault="007D1E63" w:rsidP="007D1E63">
            <w:pPr>
              <w:jc w:val="right"/>
              <w:rPr>
                <w:rFonts w:eastAsia="Times New Roman" w:cs="Calibri"/>
                <w:b/>
                <w:bCs/>
                <w:color w:val="FFFFFF"/>
                <w:sz w:val="19"/>
                <w:szCs w:val="19"/>
                <w:lang w:eastAsia="en-AU"/>
              </w:rPr>
            </w:pPr>
            <w:r w:rsidRPr="007D1E63">
              <w:rPr>
                <w:rFonts w:eastAsia="Times New Roman" w:cs="Calibri"/>
                <w:b/>
                <w:bCs/>
                <w:color w:val="FFFFFF"/>
                <w:sz w:val="19"/>
                <w:szCs w:val="19"/>
                <w:lang w:eastAsia="en-AU"/>
              </w:rPr>
              <w:t>% of total</w:t>
            </w:r>
          </w:p>
        </w:tc>
        <w:tc>
          <w:tcPr>
            <w:tcW w:w="468" w:type="pct"/>
            <w:tcBorders>
              <w:top w:val="nil"/>
              <w:left w:val="nil"/>
              <w:bottom w:val="single" w:sz="8" w:space="0" w:color="B7B7E2"/>
              <w:right w:val="single" w:sz="8" w:space="0" w:color="B7B7E2"/>
            </w:tcBorders>
            <w:shd w:val="clear" w:color="000000" w:fill="B7B7E2"/>
            <w:vAlign w:val="bottom"/>
            <w:hideMark/>
          </w:tcPr>
          <w:p w14:paraId="44CA0252" w14:textId="77777777" w:rsidR="007D1E63" w:rsidRPr="007D1E63" w:rsidRDefault="007D1E63" w:rsidP="007D1E63">
            <w:pPr>
              <w:jc w:val="right"/>
              <w:rPr>
                <w:rFonts w:eastAsia="Times New Roman" w:cs="Calibri"/>
                <w:b/>
                <w:bCs/>
                <w:color w:val="FFFFFF"/>
                <w:sz w:val="19"/>
                <w:szCs w:val="19"/>
                <w:lang w:eastAsia="en-AU"/>
              </w:rPr>
            </w:pPr>
            <w:r w:rsidRPr="007D1E63">
              <w:rPr>
                <w:rFonts w:eastAsia="Times New Roman" w:cs="Calibri"/>
                <w:b/>
                <w:bCs/>
                <w:color w:val="FFFFFF"/>
                <w:sz w:val="19"/>
                <w:szCs w:val="19"/>
                <w:lang w:eastAsia="en-AU"/>
              </w:rPr>
              <w:t>tonnes</w:t>
            </w:r>
          </w:p>
        </w:tc>
        <w:tc>
          <w:tcPr>
            <w:tcW w:w="432" w:type="pct"/>
            <w:tcBorders>
              <w:top w:val="nil"/>
              <w:left w:val="nil"/>
              <w:bottom w:val="single" w:sz="8" w:space="0" w:color="B7B7E2"/>
              <w:right w:val="single" w:sz="8" w:space="0" w:color="B7B7E2"/>
            </w:tcBorders>
            <w:shd w:val="clear" w:color="000000" w:fill="B7B7E2"/>
            <w:vAlign w:val="bottom"/>
            <w:hideMark/>
          </w:tcPr>
          <w:p w14:paraId="14C7E2BA" w14:textId="77777777" w:rsidR="007D1E63" w:rsidRPr="007D1E63" w:rsidRDefault="007D1E63" w:rsidP="007D1E63">
            <w:pPr>
              <w:jc w:val="right"/>
              <w:rPr>
                <w:rFonts w:eastAsia="Times New Roman" w:cs="Calibri"/>
                <w:b/>
                <w:bCs/>
                <w:color w:val="FFFFFF"/>
                <w:sz w:val="19"/>
                <w:szCs w:val="19"/>
                <w:lang w:eastAsia="en-AU"/>
              </w:rPr>
            </w:pPr>
            <w:r w:rsidRPr="007D1E63">
              <w:rPr>
                <w:rFonts w:eastAsia="Times New Roman" w:cs="Calibri"/>
                <w:b/>
                <w:bCs/>
                <w:color w:val="FFFFFF"/>
                <w:sz w:val="19"/>
                <w:szCs w:val="19"/>
                <w:lang w:eastAsia="en-AU"/>
              </w:rPr>
              <w:t>% change</w:t>
            </w:r>
          </w:p>
        </w:tc>
        <w:tc>
          <w:tcPr>
            <w:tcW w:w="488" w:type="pct"/>
            <w:tcBorders>
              <w:top w:val="nil"/>
              <w:left w:val="nil"/>
              <w:bottom w:val="single" w:sz="8" w:space="0" w:color="B7B7E2"/>
              <w:right w:val="single" w:sz="6" w:space="0" w:color="37378B" w:themeColor="accent1" w:themeShade="BF"/>
            </w:tcBorders>
            <w:shd w:val="clear" w:color="000000" w:fill="B7B7E2"/>
            <w:vAlign w:val="bottom"/>
            <w:hideMark/>
          </w:tcPr>
          <w:p w14:paraId="5351C95E" w14:textId="77777777" w:rsidR="007D1E63" w:rsidRPr="007D1E63" w:rsidRDefault="007D1E63" w:rsidP="007D1E63">
            <w:pPr>
              <w:jc w:val="right"/>
              <w:rPr>
                <w:rFonts w:eastAsia="Times New Roman" w:cs="Calibri"/>
                <w:b/>
                <w:bCs/>
                <w:color w:val="FFFFFF"/>
                <w:sz w:val="19"/>
                <w:szCs w:val="19"/>
                <w:lang w:eastAsia="en-AU"/>
              </w:rPr>
            </w:pPr>
            <w:r w:rsidRPr="007D1E63">
              <w:rPr>
                <w:rFonts w:eastAsia="Times New Roman" w:cs="Calibri"/>
                <w:b/>
                <w:bCs/>
                <w:color w:val="FFFFFF"/>
                <w:sz w:val="19"/>
                <w:szCs w:val="19"/>
                <w:lang w:eastAsia="en-AU"/>
              </w:rPr>
              <w:t>tonnes</w:t>
            </w:r>
          </w:p>
        </w:tc>
        <w:tc>
          <w:tcPr>
            <w:tcW w:w="416" w:type="pct"/>
            <w:tcBorders>
              <w:top w:val="nil"/>
              <w:left w:val="single" w:sz="6" w:space="0" w:color="37378B" w:themeColor="accent1" w:themeShade="BF"/>
              <w:bottom w:val="single" w:sz="8" w:space="0" w:color="B7B7E2"/>
              <w:right w:val="single" w:sz="8" w:space="0" w:color="B7B7E2"/>
            </w:tcBorders>
            <w:shd w:val="clear" w:color="000000" w:fill="B7B7E2"/>
            <w:vAlign w:val="bottom"/>
            <w:hideMark/>
          </w:tcPr>
          <w:p w14:paraId="03A70626" w14:textId="77777777" w:rsidR="007D1E63" w:rsidRPr="007D1E63" w:rsidRDefault="007D1E63" w:rsidP="007D1E63">
            <w:pPr>
              <w:jc w:val="right"/>
              <w:rPr>
                <w:rFonts w:eastAsia="Times New Roman" w:cs="Calibri"/>
                <w:b/>
                <w:bCs/>
                <w:color w:val="FFFFFF"/>
                <w:sz w:val="19"/>
                <w:szCs w:val="19"/>
                <w:lang w:eastAsia="en-AU"/>
              </w:rPr>
            </w:pPr>
            <w:r w:rsidRPr="007D1E63">
              <w:rPr>
                <w:rFonts w:eastAsia="Times New Roman" w:cs="Calibri"/>
                <w:b/>
                <w:bCs/>
                <w:color w:val="FFFFFF"/>
                <w:sz w:val="19"/>
                <w:szCs w:val="19"/>
                <w:lang w:eastAsia="en-AU"/>
              </w:rPr>
              <w:t>$ mil</w:t>
            </w:r>
          </w:p>
        </w:tc>
        <w:tc>
          <w:tcPr>
            <w:tcW w:w="328" w:type="pct"/>
            <w:tcBorders>
              <w:top w:val="nil"/>
              <w:left w:val="nil"/>
              <w:bottom w:val="single" w:sz="8" w:space="0" w:color="B7B7E2"/>
              <w:right w:val="single" w:sz="8" w:space="0" w:color="B7B7E2"/>
            </w:tcBorders>
            <w:shd w:val="clear" w:color="000000" w:fill="B7B7E2"/>
            <w:vAlign w:val="bottom"/>
            <w:hideMark/>
          </w:tcPr>
          <w:p w14:paraId="39A3A1F8" w14:textId="77777777" w:rsidR="007D1E63" w:rsidRPr="007D1E63" w:rsidRDefault="007D1E63" w:rsidP="007D1E63">
            <w:pPr>
              <w:jc w:val="right"/>
              <w:rPr>
                <w:rFonts w:eastAsia="Times New Roman" w:cs="Calibri"/>
                <w:b/>
                <w:bCs/>
                <w:color w:val="FFFFFF"/>
                <w:sz w:val="19"/>
                <w:szCs w:val="19"/>
                <w:lang w:eastAsia="en-AU"/>
              </w:rPr>
            </w:pPr>
            <w:r w:rsidRPr="007D1E63">
              <w:rPr>
                <w:rFonts w:eastAsia="Times New Roman" w:cs="Calibri"/>
                <w:b/>
                <w:bCs/>
                <w:color w:val="FFFFFF"/>
                <w:sz w:val="19"/>
                <w:szCs w:val="19"/>
                <w:lang w:eastAsia="en-AU"/>
              </w:rPr>
              <w:t>% of total</w:t>
            </w:r>
          </w:p>
        </w:tc>
        <w:tc>
          <w:tcPr>
            <w:tcW w:w="416" w:type="pct"/>
            <w:tcBorders>
              <w:top w:val="nil"/>
              <w:left w:val="nil"/>
              <w:bottom w:val="single" w:sz="8" w:space="0" w:color="B7B7E2"/>
              <w:right w:val="single" w:sz="8" w:space="0" w:color="B7B7E2"/>
            </w:tcBorders>
            <w:shd w:val="clear" w:color="000000" w:fill="B7B7E2"/>
            <w:vAlign w:val="bottom"/>
            <w:hideMark/>
          </w:tcPr>
          <w:p w14:paraId="5589697B" w14:textId="77777777" w:rsidR="007D1E63" w:rsidRPr="007D1E63" w:rsidRDefault="007D1E63" w:rsidP="007D1E63">
            <w:pPr>
              <w:jc w:val="right"/>
              <w:rPr>
                <w:rFonts w:eastAsia="Times New Roman" w:cs="Calibri"/>
                <w:b/>
                <w:bCs/>
                <w:color w:val="FFFFFF"/>
                <w:sz w:val="19"/>
                <w:szCs w:val="19"/>
                <w:lang w:eastAsia="en-AU"/>
              </w:rPr>
            </w:pPr>
            <w:r w:rsidRPr="007D1E63">
              <w:rPr>
                <w:rFonts w:eastAsia="Times New Roman" w:cs="Calibri"/>
                <w:b/>
                <w:bCs/>
                <w:color w:val="FFFFFF"/>
                <w:sz w:val="19"/>
                <w:szCs w:val="19"/>
                <w:lang w:eastAsia="en-AU"/>
              </w:rPr>
              <w:t>$ mil</w:t>
            </w:r>
          </w:p>
        </w:tc>
        <w:tc>
          <w:tcPr>
            <w:tcW w:w="432" w:type="pct"/>
            <w:tcBorders>
              <w:top w:val="nil"/>
              <w:left w:val="nil"/>
              <w:bottom w:val="nil"/>
              <w:right w:val="single" w:sz="8" w:space="0" w:color="B7B7E2"/>
            </w:tcBorders>
            <w:shd w:val="clear" w:color="000000" w:fill="B7B7E2"/>
            <w:vAlign w:val="bottom"/>
            <w:hideMark/>
          </w:tcPr>
          <w:p w14:paraId="13A06AFA" w14:textId="77777777" w:rsidR="007D1E63" w:rsidRPr="007D1E63" w:rsidRDefault="007D1E63" w:rsidP="007D1E63">
            <w:pPr>
              <w:jc w:val="right"/>
              <w:rPr>
                <w:rFonts w:eastAsia="Times New Roman" w:cs="Calibri"/>
                <w:b/>
                <w:bCs/>
                <w:color w:val="FFFFFF"/>
                <w:sz w:val="19"/>
                <w:szCs w:val="19"/>
                <w:lang w:eastAsia="en-AU"/>
              </w:rPr>
            </w:pPr>
            <w:r w:rsidRPr="007D1E63">
              <w:rPr>
                <w:rFonts w:eastAsia="Times New Roman" w:cs="Calibri"/>
                <w:b/>
                <w:bCs/>
                <w:color w:val="FFFFFF"/>
                <w:sz w:val="19"/>
                <w:szCs w:val="19"/>
                <w:lang w:eastAsia="en-AU"/>
              </w:rPr>
              <w:t>% change</w:t>
            </w:r>
          </w:p>
        </w:tc>
        <w:tc>
          <w:tcPr>
            <w:tcW w:w="488" w:type="pct"/>
            <w:tcBorders>
              <w:top w:val="nil"/>
              <w:left w:val="nil"/>
              <w:bottom w:val="nil"/>
              <w:right w:val="single" w:sz="8" w:space="0" w:color="B7B7E2"/>
            </w:tcBorders>
            <w:shd w:val="clear" w:color="000000" w:fill="B7B7E2"/>
            <w:vAlign w:val="bottom"/>
            <w:hideMark/>
          </w:tcPr>
          <w:p w14:paraId="0C34C3C1" w14:textId="77777777" w:rsidR="007D1E63" w:rsidRPr="007D1E63" w:rsidRDefault="007D1E63" w:rsidP="007D1E63">
            <w:pPr>
              <w:jc w:val="right"/>
              <w:rPr>
                <w:rFonts w:eastAsia="Times New Roman" w:cs="Calibri"/>
                <w:b/>
                <w:bCs/>
                <w:color w:val="FFFFFF"/>
                <w:sz w:val="19"/>
                <w:szCs w:val="19"/>
                <w:lang w:eastAsia="en-AU"/>
              </w:rPr>
            </w:pPr>
            <w:r w:rsidRPr="007D1E63">
              <w:rPr>
                <w:rFonts w:eastAsia="Times New Roman" w:cs="Calibri"/>
                <w:b/>
                <w:bCs/>
                <w:color w:val="FFFFFF"/>
                <w:sz w:val="19"/>
                <w:szCs w:val="19"/>
                <w:lang w:eastAsia="en-AU"/>
              </w:rPr>
              <w:t>$ mil</w:t>
            </w:r>
          </w:p>
        </w:tc>
      </w:tr>
      <w:tr w:rsidR="007D1E63" w:rsidRPr="007D1E63" w14:paraId="502D0730" w14:textId="77777777" w:rsidTr="009D04F9">
        <w:tc>
          <w:tcPr>
            <w:tcW w:w="737"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2B2F6853" w14:textId="77777777" w:rsidR="007D1E63" w:rsidRPr="007D1E63" w:rsidRDefault="007D1E63" w:rsidP="007D1E63">
            <w:pPr>
              <w:rPr>
                <w:rFonts w:eastAsia="Times New Roman" w:cs="Calibri"/>
                <w:color w:val="000000"/>
                <w:sz w:val="19"/>
                <w:szCs w:val="19"/>
                <w:lang w:eastAsia="en-AU"/>
              </w:rPr>
            </w:pPr>
            <w:r w:rsidRPr="007D1E63">
              <w:rPr>
                <w:rFonts w:eastAsia="Times New Roman" w:cs="Calibri"/>
                <w:color w:val="000000"/>
                <w:sz w:val="19"/>
                <w:szCs w:val="19"/>
                <w:lang w:eastAsia="en-AU"/>
              </w:rPr>
              <w:t>Glass</w:t>
            </w:r>
          </w:p>
        </w:tc>
        <w:tc>
          <w:tcPr>
            <w:tcW w:w="46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54C2088D"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400</w:t>
            </w:r>
          </w:p>
        </w:tc>
        <w:tc>
          <w:tcPr>
            <w:tcW w:w="328" w:type="pct"/>
            <w:tcBorders>
              <w:top w:val="nil"/>
              <w:left w:val="nil"/>
              <w:bottom w:val="single" w:sz="8" w:space="0" w:color="B7B7E2"/>
              <w:right w:val="single" w:sz="8" w:space="0" w:color="B7B7E2"/>
            </w:tcBorders>
            <w:shd w:val="clear" w:color="auto" w:fill="auto"/>
            <w:vAlign w:val="center"/>
            <w:hideMark/>
          </w:tcPr>
          <w:p w14:paraId="32CEDF3E"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0%</w:t>
            </w:r>
          </w:p>
        </w:tc>
        <w:tc>
          <w:tcPr>
            <w:tcW w:w="468" w:type="pct"/>
            <w:tcBorders>
              <w:top w:val="nil"/>
              <w:left w:val="nil"/>
              <w:bottom w:val="single" w:sz="8" w:space="0" w:color="B7B7E2"/>
              <w:right w:val="single" w:sz="8" w:space="0" w:color="B7B7E2"/>
            </w:tcBorders>
            <w:shd w:val="clear" w:color="auto" w:fill="auto"/>
            <w:vAlign w:val="center"/>
            <w:hideMark/>
          </w:tcPr>
          <w:p w14:paraId="45571514"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2,400</w:t>
            </w:r>
          </w:p>
        </w:tc>
        <w:tc>
          <w:tcPr>
            <w:tcW w:w="432" w:type="pct"/>
            <w:tcBorders>
              <w:top w:val="nil"/>
              <w:left w:val="nil"/>
              <w:bottom w:val="single" w:sz="8" w:space="0" w:color="B7B7E2"/>
              <w:right w:val="single" w:sz="8" w:space="0" w:color="B7B7E2"/>
            </w:tcBorders>
            <w:shd w:val="clear" w:color="auto" w:fill="auto"/>
            <w:vAlign w:val="center"/>
            <w:hideMark/>
          </w:tcPr>
          <w:p w14:paraId="38D08C03"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-85%</w:t>
            </w:r>
          </w:p>
        </w:tc>
        <w:tc>
          <w:tcPr>
            <w:tcW w:w="488" w:type="pct"/>
            <w:tcBorders>
              <w:top w:val="nil"/>
              <w:left w:val="nil"/>
              <w:bottom w:val="single" w:sz="8" w:space="0" w:color="B7B7E2"/>
              <w:right w:val="single" w:sz="6" w:space="0" w:color="37378B" w:themeColor="accent1" w:themeShade="BF"/>
            </w:tcBorders>
            <w:shd w:val="clear" w:color="auto" w:fill="auto"/>
            <w:vAlign w:val="center"/>
            <w:hideMark/>
          </w:tcPr>
          <w:p w14:paraId="33983093"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1,300</w:t>
            </w:r>
          </w:p>
        </w:tc>
        <w:tc>
          <w:tcPr>
            <w:tcW w:w="416"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708C36F0"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$0.01</w:t>
            </w:r>
          </w:p>
        </w:tc>
        <w:tc>
          <w:tcPr>
            <w:tcW w:w="328" w:type="pct"/>
            <w:tcBorders>
              <w:top w:val="nil"/>
              <w:left w:val="nil"/>
              <w:bottom w:val="single" w:sz="8" w:space="0" w:color="B7B7E2"/>
              <w:right w:val="single" w:sz="8" w:space="0" w:color="B7B7E2"/>
            </w:tcBorders>
            <w:shd w:val="clear" w:color="auto" w:fill="auto"/>
            <w:vAlign w:val="center"/>
            <w:hideMark/>
          </w:tcPr>
          <w:p w14:paraId="4E249697"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&lt;1%</w:t>
            </w:r>
          </w:p>
        </w:tc>
        <w:tc>
          <w:tcPr>
            <w:tcW w:w="416" w:type="pct"/>
            <w:tcBorders>
              <w:top w:val="nil"/>
              <w:left w:val="nil"/>
              <w:bottom w:val="single" w:sz="8" w:space="0" w:color="B7B7E2"/>
              <w:right w:val="single" w:sz="8" w:space="0" w:color="B7B7E2"/>
            </w:tcBorders>
            <w:shd w:val="clear" w:color="auto" w:fill="auto"/>
            <w:vAlign w:val="center"/>
            <w:hideMark/>
          </w:tcPr>
          <w:p w14:paraId="6CB1ED01"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$0.06</w:t>
            </w:r>
          </w:p>
        </w:tc>
        <w:tc>
          <w:tcPr>
            <w:tcW w:w="432" w:type="pct"/>
            <w:tcBorders>
              <w:top w:val="nil"/>
              <w:left w:val="nil"/>
              <w:bottom w:val="single" w:sz="8" w:space="0" w:color="B7B7E2"/>
              <w:right w:val="single" w:sz="8" w:space="0" w:color="B7B7E2"/>
            </w:tcBorders>
            <w:shd w:val="clear" w:color="auto" w:fill="auto"/>
            <w:vAlign w:val="center"/>
            <w:hideMark/>
          </w:tcPr>
          <w:p w14:paraId="00DE2A84"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-89%</w:t>
            </w:r>
          </w:p>
        </w:tc>
        <w:tc>
          <w:tcPr>
            <w:tcW w:w="488" w:type="pct"/>
            <w:tcBorders>
              <w:top w:val="nil"/>
              <w:left w:val="nil"/>
              <w:bottom w:val="single" w:sz="8" w:space="0" w:color="B7B7E2"/>
              <w:right w:val="single" w:sz="8" w:space="0" w:color="B7B7E2"/>
            </w:tcBorders>
            <w:shd w:val="clear" w:color="auto" w:fill="auto"/>
            <w:vAlign w:val="center"/>
            <w:hideMark/>
          </w:tcPr>
          <w:p w14:paraId="6611B3D6"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$0.06</w:t>
            </w:r>
          </w:p>
        </w:tc>
      </w:tr>
      <w:tr w:rsidR="007D1E63" w:rsidRPr="007D1E63" w14:paraId="7BA029A3" w14:textId="77777777" w:rsidTr="009D04F9">
        <w:tc>
          <w:tcPr>
            <w:tcW w:w="737"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6A7997B3" w14:textId="49852711" w:rsidR="007D1E63" w:rsidRPr="007D1E63" w:rsidRDefault="007D1E63" w:rsidP="007D1E63">
            <w:pPr>
              <w:rPr>
                <w:rFonts w:eastAsia="Times New Roman" w:cs="Calibri"/>
                <w:color w:val="000000"/>
                <w:sz w:val="19"/>
                <w:szCs w:val="19"/>
                <w:lang w:eastAsia="en-AU"/>
              </w:rPr>
            </w:pPr>
            <w:r w:rsidRPr="007D1E63">
              <w:rPr>
                <w:rFonts w:eastAsia="Times New Roman" w:cs="Calibri"/>
                <w:color w:val="000000"/>
                <w:sz w:val="19"/>
                <w:szCs w:val="19"/>
                <w:lang w:eastAsia="en-AU"/>
              </w:rPr>
              <w:t xml:space="preserve">Paper </w:t>
            </w:r>
            <w:r>
              <w:rPr>
                <w:rFonts w:eastAsia="Times New Roman" w:cs="Calibri"/>
                <w:color w:val="000000"/>
                <w:sz w:val="19"/>
                <w:szCs w:val="19"/>
                <w:lang w:eastAsia="en-AU"/>
              </w:rPr>
              <w:t xml:space="preserve">&amp; </w:t>
            </w:r>
            <w:r w:rsidRPr="007D1E63">
              <w:rPr>
                <w:rFonts w:eastAsia="Times New Roman" w:cs="Calibri"/>
                <w:color w:val="000000"/>
                <w:sz w:val="19"/>
                <w:szCs w:val="19"/>
                <w:lang w:eastAsia="en-AU"/>
              </w:rPr>
              <w:t>card</w:t>
            </w:r>
          </w:p>
        </w:tc>
        <w:tc>
          <w:tcPr>
            <w:tcW w:w="46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55BD9102"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96,000</w:t>
            </w:r>
          </w:p>
        </w:tc>
        <w:tc>
          <w:tcPr>
            <w:tcW w:w="328" w:type="pct"/>
            <w:tcBorders>
              <w:top w:val="nil"/>
              <w:left w:val="nil"/>
              <w:bottom w:val="single" w:sz="8" w:space="0" w:color="B7B7E2"/>
              <w:right w:val="single" w:sz="8" w:space="0" w:color="B7B7E2"/>
            </w:tcBorders>
            <w:shd w:val="clear" w:color="auto" w:fill="auto"/>
            <w:vAlign w:val="center"/>
            <w:hideMark/>
          </w:tcPr>
          <w:p w14:paraId="6470D18A"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23%</w:t>
            </w:r>
          </w:p>
        </w:tc>
        <w:tc>
          <w:tcPr>
            <w:tcW w:w="468" w:type="pct"/>
            <w:tcBorders>
              <w:top w:val="nil"/>
              <w:left w:val="nil"/>
              <w:bottom w:val="single" w:sz="8" w:space="0" w:color="B7B7E2"/>
              <w:right w:val="single" w:sz="8" w:space="0" w:color="B7B7E2"/>
            </w:tcBorders>
            <w:shd w:val="clear" w:color="auto" w:fill="auto"/>
            <w:vAlign w:val="center"/>
            <w:hideMark/>
          </w:tcPr>
          <w:p w14:paraId="572396D7"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95,000</w:t>
            </w:r>
          </w:p>
        </w:tc>
        <w:tc>
          <w:tcPr>
            <w:tcW w:w="432" w:type="pct"/>
            <w:tcBorders>
              <w:top w:val="nil"/>
              <w:left w:val="nil"/>
              <w:bottom w:val="single" w:sz="8" w:space="0" w:color="B7B7E2"/>
              <w:right w:val="single" w:sz="8" w:space="0" w:color="B7B7E2"/>
            </w:tcBorders>
            <w:shd w:val="clear" w:color="auto" w:fill="auto"/>
            <w:vAlign w:val="center"/>
            <w:hideMark/>
          </w:tcPr>
          <w:p w14:paraId="0B5E8BAD"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w:t>
            </w:r>
          </w:p>
        </w:tc>
        <w:tc>
          <w:tcPr>
            <w:tcW w:w="488" w:type="pct"/>
            <w:tcBorders>
              <w:top w:val="nil"/>
              <w:left w:val="nil"/>
              <w:bottom w:val="single" w:sz="8" w:space="0" w:color="B7B7E2"/>
              <w:right w:val="single" w:sz="6" w:space="0" w:color="37378B" w:themeColor="accent1" w:themeShade="BF"/>
            </w:tcBorders>
            <w:shd w:val="clear" w:color="auto" w:fill="auto"/>
            <w:vAlign w:val="center"/>
            <w:hideMark/>
          </w:tcPr>
          <w:p w14:paraId="45212FF5"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93,000</w:t>
            </w:r>
          </w:p>
        </w:tc>
        <w:tc>
          <w:tcPr>
            <w:tcW w:w="416"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2539A81E"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$11.7</w:t>
            </w:r>
          </w:p>
        </w:tc>
        <w:tc>
          <w:tcPr>
            <w:tcW w:w="328" w:type="pct"/>
            <w:tcBorders>
              <w:top w:val="nil"/>
              <w:left w:val="nil"/>
              <w:bottom w:val="single" w:sz="8" w:space="0" w:color="B7B7E2"/>
              <w:right w:val="single" w:sz="8" w:space="0" w:color="B7B7E2"/>
            </w:tcBorders>
            <w:shd w:val="clear" w:color="auto" w:fill="auto"/>
            <w:vAlign w:val="center"/>
            <w:hideMark/>
          </w:tcPr>
          <w:p w14:paraId="2FF33FC5"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4%</w:t>
            </w:r>
          </w:p>
        </w:tc>
        <w:tc>
          <w:tcPr>
            <w:tcW w:w="416" w:type="pct"/>
            <w:tcBorders>
              <w:top w:val="nil"/>
              <w:left w:val="nil"/>
              <w:bottom w:val="single" w:sz="8" w:space="0" w:color="B7B7E2"/>
              <w:right w:val="single" w:sz="8" w:space="0" w:color="B7B7E2"/>
            </w:tcBorders>
            <w:shd w:val="clear" w:color="auto" w:fill="auto"/>
            <w:vAlign w:val="center"/>
            <w:hideMark/>
          </w:tcPr>
          <w:p w14:paraId="21E23D3D"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$12.4</w:t>
            </w:r>
          </w:p>
        </w:tc>
        <w:tc>
          <w:tcPr>
            <w:tcW w:w="432" w:type="pct"/>
            <w:tcBorders>
              <w:top w:val="nil"/>
              <w:left w:val="nil"/>
              <w:bottom w:val="single" w:sz="8" w:space="0" w:color="B7B7E2"/>
              <w:right w:val="single" w:sz="8" w:space="0" w:color="B7B7E2"/>
            </w:tcBorders>
            <w:shd w:val="clear" w:color="auto" w:fill="auto"/>
            <w:vAlign w:val="center"/>
            <w:hideMark/>
          </w:tcPr>
          <w:p w14:paraId="7F540A5F"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-6%</w:t>
            </w:r>
          </w:p>
        </w:tc>
        <w:tc>
          <w:tcPr>
            <w:tcW w:w="488" w:type="pct"/>
            <w:tcBorders>
              <w:top w:val="nil"/>
              <w:left w:val="nil"/>
              <w:bottom w:val="single" w:sz="8" w:space="0" w:color="B7B7E2"/>
              <w:right w:val="single" w:sz="8" w:space="0" w:color="B7B7E2"/>
            </w:tcBorders>
            <w:shd w:val="clear" w:color="auto" w:fill="auto"/>
            <w:vAlign w:val="center"/>
            <w:hideMark/>
          </w:tcPr>
          <w:p w14:paraId="561EEE13"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$19.5</w:t>
            </w:r>
          </w:p>
        </w:tc>
      </w:tr>
      <w:tr w:rsidR="007D1E63" w:rsidRPr="007D1E63" w14:paraId="3C82917D" w14:textId="77777777" w:rsidTr="009D04F9">
        <w:tc>
          <w:tcPr>
            <w:tcW w:w="737"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4A6A5125" w14:textId="77777777" w:rsidR="007D1E63" w:rsidRPr="007D1E63" w:rsidRDefault="007D1E63" w:rsidP="007D1E63">
            <w:pPr>
              <w:rPr>
                <w:rFonts w:eastAsia="Times New Roman" w:cs="Calibri"/>
                <w:color w:val="000000"/>
                <w:sz w:val="19"/>
                <w:szCs w:val="19"/>
                <w:lang w:eastAsia="en-AU"/>
              </w:rPr>
            </w:pPr>
            <w:r w:rsidRPr="007D1E63">
              <w:rPr>
                <w:rFonts w:eastAsia="Times New Roman" w:cs="Calibri"/>
                <w:color w:val="000000"/>
                <w:sz w:val="19"/>
                <w:szCs w:val="19"/>
                <w:lang w:eastAsia="en-AU"/>
              </w:rPr>
              <w:t>Plastics</w:t>
            </w:r>
          </w:p>
        </w:tc>
        <w:tc>
          <w:tcPr>
            <w:tcW w:w="46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6BB7C6E4"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12,000</w:t>
            </w:r>
          </w:p>
        </w:tc>
        <w:tc>
          <w:tcPr>
            <w:tcW w:w="328" w:type="pct"/>
            <w:tcBorders>
              <w:top w:val="nil"/>
              <w:left w:val="nil"/>
              <w:bottom w:val="single" w:sz="8" w:space="0" w:color="B7B7E2"/>
              <w:right w:val="single" w:sz="8" w:space="0" w:color="B7B7E2"/>
            </w:tcBorders>
            <w:shd w:val="clear" w:color="auto" w:fill="auto"/>
            <w:vAlign w:val="center"/>
            <w:hideMark/>
          </w:tcPr>
          <w:p w14:paraId="0455F97D"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3%</w:t>
            </w:r>
          </w:p>
        </w:tc>
        <w:tc>
          <w:tcPr>
            <w:tcW w:w="468" w:type="pct"/>
            <w:tcBorders>
              <w:top w:val="nil"/>
              <w:left w:val="nil"/>
              <w:bottom w:val="single" w:sz="8" w:space="0" w:color="B7B7E2"/>
              <w:right w:val="single" w:sz="8" w:space="0" w:color="B7B7E2"/>
            </w:tcBorders>
            <w:shd w:val="clear" w:color="auto" w:fill="auto"/>
            <w:vAlign w:val="center"/>
            <w:hideMark/>
          </w:tcPr>
          <w:p w14:paraId="7150F02C"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11,000</w:t>
            </w:r>
          </w:p>
        </w:tc>
        <w:tc>
          <w:tcPr>
            <w:tcW w:w="432" w:type="pct"/>
            <w:tcBorders>
              <w:top w:val="nil"/>
              <w:left w:val="nil"/>
              <w:bottom w:val="single" w:sz="8" w:space="0" w:color="B7B7E2"/>
              <w:right w:val="single" w:sz="8" w:space="0" w:color="B7B7E2"/>
            </w:tcBorders>
            <w:shd w:val="clear" w:color="auto" w:fill="auto"/>
            <w:vAlign w:val="center"/>
            <w:hideMark/>
          </w:tcPr>
          <w:p w14:paraId="491AB7ED"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7%</w:t>
            </w:r>
          </w:p>
        </w:tc>
        <w:tc>
          <w:tcPr>
            <w:tcW w:w="488" w:type="pct"/>
            <w:tcBorders>
              <w:top w:val="nil"/>
              <w:left w:val="nil"/>
              <w:bottom w:val="single" w:sz="8" w:space="0" w:color="B7B7E2"/>
              <w:right w:val="single" w:sz="6" w:space="0" w:color="37378B" w:themeColor="accent1" w:themeShade="BF"/>
            </w:tcBorders>
            <w:shd w:val="clear" w:color="auto" w:fill="auto"/>
            <w:vAlign w:val="center"/>
            <w:hideMark/>
          </w:tcPr>
          <w:p w14:paraId="210EE753"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16,000</w:t>
            </w:r>
          </w:p>
        </w:tc>
        <w:tc>
          <w:tcPr>
            <w:tcW w:w="416"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53CD2807"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$3.5</w:t>
            </w:r>
          </w:p>
        </w:tc>
        <w:tc>
          <w:tcPr>
            <w:tcW w:w="328" w:type="pct"/>
            <w:tcBorders>
              <w:top w:val="nil"/>
              <w:left w:val="nil"/>
              <w:bottom w:val="single" w:sz="8" w:space="0" w:color="B7B7E2"/>
              <w:right w:val="single" w:sz="8" w:space="0" w:color="B7B7E2"/>
            </w:tcBorders>
            <w:shd w:val="clear" w:color="auto" w:fill="auto"/>
            <w:vAlign w:val="center"/>
            <w:hideMark/>
          </w:tcPr>
          <w:p w14:paraId="00857C53"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w:t>
            </w:r>
          </w:p>
        </w:tc>
        <w:tc>
          <w:tcPr>
            <w:tcW w:w="416" w:type="pct"/>
            <w:tcBorders>
              <w:top w:val="nil"/>
              <w:left w:val="nil"/>
              <w:bottom w:val="single" w:sz="8" w:space="0" w:color="B7B7E2"/>
              <w:right w:val="single" w:sz="8" w:space="0" w:color="B7B7E2"/>
            </w:tcBorders>
            <w:shd w:val="clear" w:color="auto" w:fill="auto"/>
            <w:vAlign w:val="center"/>
            <w:hideMark/>
          </w:tcPr>
          <w:p w14:paraId="1BFF1F39"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$3.1</w:t>
            </w:r>
          </w:p>
        </w:tc>
        <w:tc>
          <w:tcPr>
            <w:tcW w:w="432" w:type="pct"/>
            <w:tcBorders>
              <w:top w:val="nil"/>
              <w:left w:val="nil"/>
              <w:bottom w:val="single" w:sz="8" w:space="0" w:color="B7B7E2"/>
              <w:right w:val="single" w:sz="8" w:space="0" w:color="B7B7E2"/>
            </w:tcBorders>
            <w:shd w:val="clear" w:color="auto" w:fill="auto"/>
            <w:vAlign w:val="center"/>
            <w:hideMark/>
          </w:tcPr>
          <w:p w14:paraId="255D817C"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13%</w:t>
            </w:r>
          </w:p>
        </w:tc>
        <w:tc>
          <w:tcPr>
            <w:tcW w:w="488" w:type="pct"/>
            <w:tcBorders>
              <w:top w:val="nil"/>
              <w:left w:val="nil"/>
              <w:bottom w:val="single" w:sz="8" w:space="0" w:color="B7B7E2"/>
              <w:right w:val="single" w:sz="8" w:space="0" w:color="B7B7E2"/>
            </w:tcBorders>
            <w:shd w:val="clear" w:color="auto" w:fill="auto"/>
            <w:vAlign w:val="center"/>
            <w:hideMark/>
          </w:tcPr>
          <w:p w14:paraId="0F3D44BC"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$3.6</w:t>
            </w:r>
          </w:p>
        </w:tc>
      </w:tr>
      <w:tr w:rsidR="007D1E63" w:rsidRPr="007D1E63" w14:paraId="7B526D5E" w14:textId="77777777" w:rsidTr="009D04F9">
        <w:tc>
          <w:tcPr>
            <w:tcW w:w="737"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7814388B" w14:textId="77777777" w:rsidR="007D1E63" w:rsidRPr="007D1E63" w:rsidRDefault="007D1E63" w:rsidP="007D1E63">
            <w:pPr>
              <w:rPr>
                <w:rFonts w:eastAsia="Times New Roman" w:cs="Calibri"/>
                <w:color w:val="000000"/>
                <w:sz w:val="19"/>
                <w:szCs w:val="19"/>
                <w:lang w:eastAsia="en-AU"/>
              </w:rPr>
            </w:pPr>
            <w:r w:rsidRPr="007D1E63">
              <w:rPr>
                <w:rFonts w:eastAsia="Times New Roman" w:cs="Calibri"/>
                <w:color w:val="000000"/>
                <w:sz w:val="19"/>
                <w:szCs w:val="19"/>
                <w:lang w:eastAsia="en-AU"/>
              </w:rPr>
              <w:t>Tyres</w:t>
            </w:r>
          </w:p>
        </w:tc>
        <w:tc>
          <w:tcPr>
            <w:tcW w:w="46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3ACA23A2"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7,800</w:t>
            </w:r>
          </w:p>
        </w:tc>
        <w:tc>
          <w:tcPr>
            <w:tcW w:w="328" w:type="pct"/>
            <w:tcBorders>
              <w:top w:val="nil"/>
              <w:left w:val="nil"/>
              <w:bottom w:val="single" w:sz="8" w:space="0" w:color="B7B7E2"/>
              <w:right w:val="single" w:sz="8" w:space="0" w:color="B7B7E2"/>
            </w:tcBorders>
            <w:shd w:val="clear" w:color="auto" w:fill="auto"/>
            <w:vAlign w:val="center"/>
            <w:hideMark/>
          </w:tcPr>
          <w:p w14:paraId="77C5D07F"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2%</w:t>
            </w:r>
          </w:p>
        </w:tc>
        <w:tc>
          <w:tcPr>
            <w:tcW w:w="468" w:type="pct"/>
            <w:tcBorders>
              <w:top w:val="nil"/>
              <w:left w:val="nil"/>
              <w:bottom w:val="single" w:sz="8" w:space="0" w:color="B7B7E2"/>
              <w:right w:val="single" w:sz="8" w:space="0" w:color="B7B7E2"/>
            </w:tcBorders>
            <w:shd w:val="clear" w:color="auto" w:fill="auto"/>
            <w:vAlign w:val="center"/>
            <w:hideMark/>
          </w:tcPr>
          <w:p w14:paraId="7ADC7F62"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7,000</w:t>
            </w:r>
          </w:p>
        </w:tc>
        <w:tc>
          <w:tcPr>
            <w:tcW w:w="432" w:type="pct"/>
            <w:tcBorders>
              <w:top w:val="nil"/>
              <w:left w:val="nil"/>
              <w:bottom w:val="single" w:sz="8" w:space="0" w:color="B7B7E2"/>
              <w:right w:val="single" w:sz="8" w:space="0" w:color="B7B7E2"/>
            </w:tcBorders>
            <w:shd w:val="clear" w:color="auto" w:fill="auto"/>
            <w:vAlign w:val="center"/>
            <w:hideMark/>
          </w:tcPr>
          <w:p w14:paraId="780FDE7D"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11%</w:t>
            </w:r>
          </w:p>
        </w:tc>
        <w:tc>
          <w:tcPr>
            <w:tcW w:w="488" w:type="pct"/>
            <w:tcBorders>
              <w:top w:val="nil"/>
              <w:left w:val="nil"/>
              <w:bottom w:val="single" w:sz="8" w:space="0" w:color="B7B7E2"/>
              <w:right w:val="single" w:sz="6" w:space="0" w:color="37378B" w:themeColor="accent1" w:themeShade="BF"/>
            </w:tcBorders>
            <w:shd w:val="clear" w:color="auto" w:fill="auto"/>
            <w:vAlign w:val="center"/>
            <w:hideMark/>
          </w:tcPr>
          <w:p w14:paraId="13D76669"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10,000</w:t>
            </w:r>
          </w:p>
        </w:tc>
        <w:tc>
          <w:tcPr>
            <w:tcW w:w="416"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49808D81"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$1.6</w:t>
            </w:r>
          </w:p>
        </w:tc>
        <w:tc>
          <w:tcPr>
            <w:tcW w:w="328" w:type="pct"/>
            <w:tcBorders>
              <w:top w:val="nil"/>
              <w:left w:val="nil"/>
              <w:bottom w:val="single" w:sz="8" w:space="0" w:color="B7B7E2"/>
              <w:right w:val="single" w:sz="8" w:space="0" w:color="B7B7E2"/>
            </w:tcBorders>
            <w:shd w:val="clear" w:color="auto" w:fill="auto"/>
            <w:vAlign w:val="center"/>
            <w:hideMark/>
          </w:tcPr>
          <w:p w14:paraId="63C17304"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&lt;1%</w:t>
            </w:r>
          </w:p>
        </w:tc>
        <w:tc>
          <w:tcPr>
            <w:tcW w:w="416" w:type="pct"/>
            <w:tcBorders>
              <w:top w:val="nil"/>
              <w:left w:val="nil"/>
              <w:bottom w:val="single" w:sz="8" w:space="0" w:color="B7B7E2"/>
              <w:right w:val="single" w:sz="8" w:space="0" w:color="B7B7E2"/>
            </w:tcBorders>
            <w:shd w:val="clear" w:color="auto" w:fill="auto"/>
            <w:vAlign w:val="center"/>
            <w:hideMark/>
          </w:tcPr>
          <w:p w14:paraId="0F66428A"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$1.5</w:t>
            </w:r>
          </w:p>
        </w:tc>
        <w:tc>
          <w:tcPr>
            <w:tcW w:w="432" w:type="pct"/>
            <w:tcBorders>
              <w:top w:val="nil"/>
              <w:left w:val="nil"/>
              <w:bottom w:val="single" w:sz="8" w:space="0" w:color="B7B7E2"/>
              <w:right w:val="single" w:sz="8" w:space="0" w:color="B7B7E2"/>
            </w:tcBorders>
            <w:shd w:val="clear" w:color="auto" w:fill="auto"/>
            <w:vAlign w:val="center"/>
            <w:hideMark/>
          </w:tcPr>
          <w:p w14:paraId="611352B1"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6%</w:t>
            </w:r>
          </w:p>
        </w:tc>
        <w:tc>
          <w:tcPr>
            <w:tcW w:w="488" w:type="pct"/>
            <w:tcBorders>
              <w:top w:val="nil"/>
              <w:left w:val="nil"/>
              <w:bottom w:val="single" w:sz="8" w:space="0" w:color="B7B7E2"/>
              <w:right w:val="single" w:sz="8" w:space="0" w:color="B7B7E2"/>
            </w:tcBorders>
            <w:shd w:val="clear" w:color="auto" w:fill="auto"/>
            <w:vAlign w:val="center"/>
            <w:hideMark/>
          </w:tcPr>
          <w:p w14:paraId="3D5830BC"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$1.8</w:t>
            </w:r>
          </w:p>
        </w:tc>
      </w:tr>
      <w:tr w:rsidR="007D1E63" w:rsidRPr="007D1E63" w14:paraId="6BCF2B4E" w14:textId="77777777" w:rsidTr="009D04F9">
        <w:tc>
          <w:tcPr>
            <w:tcW w:w="737"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243A9D85" w14:textId="77777777" w:rsidR="007D1E63" w:rsidRPr="007D1E63" w:rsidRDefault="007D1E63" w:rsidP="007D1E63">
            <w:pPr>
              <w:rPr>
                <w:rFonts w:eastAsia="Times New Roman" w:cs="Calibri"/>
                <w:color w:val="000000"/>
                <w:sz w:val="19"/>
                <w:szCs w:val="19"/>
                <w:lang w:eastAsia="en-AU"/>
              </w:rPr>
            </w:pPr>
            <w:r w:rsidRPr="007D1E63">
              <w:rPr>
                <w:rFonts w:eastAsia="Times New Roman" w:cs="Calibri"/>
                <w:color w:val="000000"/>
                <w:sz w:val="19"/>
                <w:szCs w:val="19"/>
                <w:lang w:eastAsia="en-AU"/>
              </w:rPr>
              <w:t>Metals</w:t>
            </w:r>
          </w:p>
        </w:tc>
        <w:tc>
          <w:tcPr>
            <w:tcW w:w="46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77B9C038"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282,000</w:t>
            </w:r>
          </w:p>
        </w:tc>
        <w:tc>
          <w:tcPr>
            <w:tcW w:w="328" w:type="pct"/>
            <w:tcBorders>
              <w:top w:val="nil"/>
              <w:left w:val="nil"/>
              <w:bottom w:val="single" w:sz="8" w:space="0" w:color="B7B7E2"/>
              <w:right w:val="single" w:sz="8" w:space="0" w:color="B7B7E2"/>
            </w:tcBorders>
            <w:shd w:val="clear" w:color="auto" w:fill="auto"/>
            <w:vAlign w:val="center"/>
            <w:hideMark/>
          </w:tcPr>
          <w:p w14:paraId="2C101A6F"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67%</w:t>
            </w:r>
          </w:p>
        </w:tc>
        <w:tc>
          <w:tcPr>
            <w:tcW w:w="468" w:type="pct"/>
            <w:tcBorders>
              <w:top w:val="nil"/>
              <w:left w:val="nil"/>
              <w:bottom w:val="single" w:sz="8" w:space="0" w:color="B7B7E2"/>
              <w:right w:val="single" w:sz="8" w:space="0" w:color="B7B7E2"/>
            </w:tcBorders>
            <w:shd w:val="clear" w:color="auto" w:fill="auto"/>
            <w:vAlign w:val="center"/>
            <w:hideMark/>
          </w:tcPr>
          <w:p w14:paraId="00D2D1FF"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220,000</w:t>
            </w:r>
          </w:p>
        </w:tc>
        <w:tc>
          <w:tcPr>
            <w:tcW w:w="432" w:type="pct"/>
            <w:tcBorders>
              <w:top w:val="nil"/>
              <w:left w:val="nil"/>
              <w:bottom w:val="single" w:sz="8" w:space="0" w:color="B7B7E2"/>
              <w:right w:val="single" w:sz="8" w:space="0" w:color="B7B7E2"/>
            </w:tcBorders>
            <w:shd w:val="clear" w:color="auto" w:fill="auto"/>
            <w:vAlign w:val="center"/>
            <w:hideMark/>
          </w:tcPr>
          <w:p w14:paraId="32CEC38F"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28%</w:t>
            </w:r>
          </w:p>
        </w:tc>
        <w:tc>
          <w:tcPr>
            <w:tcW w:w="488" w:type="pct"/>
            <w:tcBorders>
              <w:top w:val="nil"/>
              <w:left w:val="nil"/>
              <w:bottom w:val="single" w:sz="8" w:space="0" w:color="B7B7E2"/>
              <w:right w:val="single" w:sz="6" w:space="0" w:color="37378B" w:themeColor="accent1" w:themeShade="BF"/>
            </w:tcBorders>
            <w:shd w:val="clear" w:color="auto" w:fill="auto"/>
            <w:vAlign w:val="center"/>
            <w:hideMark/>
          </w:tcPr>
          <w:p w14:paraId="413106F6"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220,000</w:t>
            </w:r>
          </w:p>
        </w:tc>
        <w:tc>
          <w:tcPr>
            <w:tcW w:w="416"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10E4F1AF"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$183</w:t>
            </w:r>
          </w:p>
        </w:tc>
        <w:tc>
          <w:tcPr>
            <w:tcW w:w="328" w:type="pct"/>
            <w:tcBorders>
              <w:top w:val="nil"/>
              <w:left w:val="nil"/>
              <w:bottom w:val="single" w:sz="8" w:space="0" w:color="B7B7E2"/>
              <w:right w:val="single" w:sz="8" w:space="0" w:color="B7B7E2"/>
            </w:tcBorders>
            <w:shd w:val="clear" w:color="auto" w:fill="auto"/>
            <w:vAlign w:val="center"/>
            <w:hideMark/>
          </w:tcPr>
          <w:p w14:paraId="3A188E5B"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71%</w:t>
            </w:r>
          </w:p>
        </w:tc>
        <w:tc>
          <w:tcPr>
            <w:tcW w:w="416" w:type="pct"/>
            <w:tcBorders>
              <w:top w:val="nil"/>
              <w:left w:val="nil"/>
              <w:bottom w:val="single" w:sz="8" w:space="0" w:color="B7B7E2"/>
              <w:right w:val="single" w:sz="8" w:space="0" w:color="B7B7E2"/>
            </w:tcBorders>
            <w:shd w:val="clear" w:color="auto" w:fill="auto"/>
            <w:vAlign w:val="center"/>
            <w:hideMark/>
          </w:tcPr>
          <w:p w14:paraId="5B1A1359"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$162</w:t>
            </w:r>
          </w:p>
        </w:tc>
        <w:tc>
          <w:tcPr>
            <w:tcW w:w="432" w:type="pct"/>
            <w:tcBorders>
              <w:top w:val="nil"/>
              <w:left w:val="nil"/>
              <w:bottom w:val="single" w:sz="8" w:space="0" w:color="B7B7E2"/>
              <w:right w:val="single" w:sz="8" w:space="0" w:color="B7B7E2"/>
            </w:tcBorders>
            <w:shd w:val="clear" w:color="auto" w:fill="auto"/>
            <w:vAlign w:val="center"/>
            <w:hideMark/>
          </w:tcPr>
          <w:p w14:paraId="12651274"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13%</w:t>
            </w:r>
          </w:p>
        </w:tc>
        <w:tc>
          <w:tcPr>
            <w:tcW w:w="488" w:type="pct"/>
            <w:tcBorders>
              <w:top w:val="nil"/>
              <w:left w:val="nil"/>
              <w:bottom w:val="single" w:sz="8" w:space="0" w:color="B7B7E2"/>
              <w:right w:val="single" w:sz="8" w:space="0" w:color="B7B7E2"/>
            </w:tcBorders>
            <w:shd w:val="clear" w:color="auto" w:fill="auto"/>
            <w:vAlign w:val="center"/>
            <w:hideMark/>
          </w:tcPr>
          <w:p w14:paraId="4A81ACCE"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$180.3</w:t>
            </w:r>
          </w:p>
        </w:tc>
      </w:tr>
      <w:tr w:rsidR="007D1E63" w:rsidRPr="007D1E63" w14:paraId="394A0080" w14:textId="77777777" w:rsidTr="009D04F9">
        <w:tc>
          <w:tcPr>
            <w:tcW w:w="737"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05BD52B0" w14:textId="77777777" w:rsidR="007D1E63" w:rsidRPr="007D1E63" w:rsidRDefault="007D1E63" w:rsidP="007D1E63">
            <w:pPr>
              <w:rPr>
                <w:rFonts w:eastAsia="Times New Roman" w:cs="Calibri"/>
                <w:color w:val="000000"/>
                <w:sz w:val="19"/>
                <w:szCs w:val="19"/>
                <w:lang w:eastAsia="en-AU"/>
              </w:rPr>
            </w:pPr>
            <w:r w:rsidRPr="007D1E63">
              <w:rPr>
                <w:rFonts w:eastAsia="Times New Roman" w:cs="Calibri"/>
                <w:color w:val="000000"/>
                <w:sz w:val="19"/>
                <w:szCs w:val="19"/>
                <w:lang w:eastAsia="en-AU"/>
              </w:rPr>
              <w:t>Hazardous (excl. tyres)</w:t>
            </w:r>
          </w:p>
        </w:tc>
        <w:tc>
          <w:tcPr>
            <w:tcW w:w="46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4B19ED73"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4,800</w:t>
            </w:r>
          </w:p>
        </w:tc>
        <w:tc>
          <w:tcPr>
            <w:tcW w:w="328" w:type="pct"/>
            <w:tcBorders>
              <w:top w:val="nil"/>
              <w:left w:val="nil"/>
              <w:bottom w:val="single" w:sz="8" w:space="0" w:color="B7B7E2"/>
              <w:right w:val="single" w:sz="8" w:space="0" w:color="B7B7E2"/>
            </w:tcBorders>
            <w:shd w:val="clear" w:color="auto" w:fill="auto"/>
            <w:vAlign w:val="center"/>
            <w:hideMark/>
          </w:tcPr>
          <w:p w14:paraId="3CB72181"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w:t>
            </w:r>
          </w:p>
        </w:tc>
        <w:tc>
          <w:tcPr>
            <w:tcW w:w="468" w:type="pct"/>
            <w:tcBorders>
              <w:top w:val="nil"/>
              <w:left w:val="nil"/>
              <w:bottom w:val="single" w:sz="8" w:space="0" w:color="B7B7E2"/>
              <w:right w:val="single" w:sz="8" w:space="0" w:color="B7B7E2"/>
            </w:tcBorders>
            <w:shd w:val="clear" w:color="auto" w:fill="auto"/>
            <w:vAlign w:val="center"/>
            <w:hideMark/>
          </w:tcPr>
          <w:p w14:paraId="588D2BB3"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4,300</w:t>
            </w:r>
          </w:p>
        </w:tc>
        <w:tc>
          <w:tcPr>
            <w:tcW w:w="432" w:type="pct"/>
            <w:tcBorders>
              <w:top w:val="nil"/>
              <w:left w:val="nil"/>
              <w:bottom w:val="single" w:sz="8" w:space="0" w:color="B7B7E2"/>
              <w:right w:val="single" w:sz="8" w:space="0" w:color="B7B7E2"/>
            </w:tcBorders>
            <w:shd w:val="clear" w:color="auto" w:fill="auto"/>
            <w:vAlign w:val="center"/>
            <w:hideMark/>
          </w:tcPr>
          <w:p w14:paraId="3AD26A10"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13%</w:t>
            </w:r>
          </w:p>
        </w:tc>
        <w:tc>
          <w:tcPr>
            <w:tcW w:w="488" w:type="pct"/>
            <w:tcBorders>
              <w:top w:val="nil"/>
              <w:left w:val="nil"/>
              <w:bottom w:val="single" w:sz="8" w:space="0" w:color="B7B7E2"/>
              <w:right w:val="single" w:sz="6" w:space="0" w:color="37378B" w:themeColor="accent1" w:themeShade="BF"/>
            </w:tcBorders>
            <w:shd w:val="clear" w:color="auto" w:fill="auto"/>
            <w:vAlign w:val="center"/>
            <w:hideMark/>
          </w:tcPr>
          <w:p w14:paraId="353BC134"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5,600</w:t>
            </w:r>
          </w:p>
        </w:tc>
        <w:tc>
          <w:tcPr>
            <w:tcW w:w="416"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506FB61D"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$39.6</w:t>
            </w:r>
          </w:p>
        </w:tc>
        <w:tc>
          <w:tcPr>
            <w:tcW w:w="328" w:type="pct"/>
            <w:tcBorders>
              <w:top w:val="nil"/>
              <w:left w:val="nil"/>
              <w:bottom w:val="single" w:sz="8" w:space="0" w:color="B7B7E2"/>
              <w:right w:val="single" w:sz="8" w:space="0" w:color="B7B7E2"/>
            </w:tcBorders>
            <w:shd w:val="clear" w:color="auto" w:fill="auto"/>
            <w:vAlign w:val="center"/>
            <w:hideMark/>
          </w:tcPr>
          <w:p w14:paraId="68AA68A6"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15%</w:t>
            </w:r>
          </w:p>
        </w:tc>
        <w:tc>
          <w:tcPr>
            <w:tcW w:w="416" w:type="pct"/>
            <w:tcBorders>
              <w:top w:val="nil"/>
              <w:left w:val="nil"/>
              <w:bottom w:val="single" w:sz="8" w:space="0" w:color="B7B7E2"/>
              <w:right w:val="single" w:sz="8" w:space="0" w:color="B7B7E2"/>
            </w:tcBorders>
            <w:shd w:val="clear" w:color="auto" w:fill="auto"/>
            <w:vAlign w:val="center"/>
            <w:hideMark/>
          </w:tcPr>
          <w:p w14:paraId="6C7D9AA5"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$59.9</w:t>
            </w:r>
          </w:p>
        </w:tc>
        <w:tc>
          <w:tcPr>
            <w:tcW w:w="432" w:type="pct"/>
            <w:tcBorders>
              <w:top w:val="nil"/>
              <w:left w:val="nil"/>
              <w:bottom w:val="single" w:sz="8" w:space="0" w:color="B7B7E2"/>
              <w:right w:val="single" w:sz="8" w:space="0" w:color="B7B7E2"/>
            </w:tcBorders>
            <w:shd w:val="clear" w:color="auto" w:fill="auto"/>
            <w:vAlign w:val="center"/>
            <w:hideMark/>
          </w:tcPr>
          <w:p w14:paraId="29A28CD3"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-34%</w:t>
            </w:r>
          </w:p>
        </w:tc>
        <w:tc>
          <w:tcPr>
            <w:tcW w:w="488" w:type="pct"/>
            <w:tcBorders>
              <w:top w:val="nil"/>
              <w:left w:val="nil"/>
              <w:bottom w:val="single" w:sz="8" w:space="0" w:color="B7B7E2"/>
              <w:right w:val="single" w:sz="8" w:space="0" w:color="B7B7E2"/>
            </w:tcBorders>
            <w:shd w:val="clear" w:color="auto" w:fill="auto"/>
            <w:vAlign w:val="center"/>
            <w:hideMark/>
          </w:tcPr>
          <w:p w14:paraId="5C014F3F"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$33.2</w:t>
            </w:r>
          </w:p>
        </w:tc>
      </w:tr>
      <w:tr w:rsidR="007D1E63" w:rsidRPr="007D1E63" w14:paraId="754200F8" w14:textId="77777777" w:rsidTr="009D04F9">
        <w:tc>
          <w:tcPr>
            <w:tcW w:w="737"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6701F574" w14:textId="77777777" w:rsidR="007D1E63" w:rsidRPr="007D1E63" w:rsidRDefault="007D1E63" w:rsidP="007D1E63">
            <w:pPr>
              <w:rPr>
                <w:rFonts w:eastAsia="Times New Roman" w:cs="Calibri"/>
                <w:color w:val="000000"/>
                <w:sz w:val="19"/>
                <w:szCs w:val="19"/>
                <w:lang w:eastAsia="en-AU"/>
              </w:rPr>
            </w:pPr>
            <w:r w:rsidRPr="007D1E63">
              <w:rPr>
                <w:rFonts w:eastAsia="Times New Roman" w:cs="Calibri"/>
                <w:color w:val="000000"/>
                <w:sz w:val="19"/>
                <w:szCs w:val="19"/>
                <w:lang w:eastAsia="en-AU"/>
              </w:rPr>
              <w:t>Other</w:t>
            </w:r>
          </w:p>
        </w:tc>
        <w:tc>
          <w:tcPr>
            <w:tcW w:w="46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513263DE"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14,000</w:t>
            </w:r>
          </w:p>
        </w:tc>
        <w:tc>
          <w:tcPr>
            <w:tcW w:w="328" w:type="pct"/>
            <w:tcBorders>
              <w:top w:val="nil"/>
              <w:left w:val="nil"/>
              <w:bottom w:val="single" w:sz="8" w:space="0" w:color="B7B7E2"/>
              <w:right w:val="single" w:sz="8" w:space="0" w:color="B7B7E2"/>
            </w:tcBorders>
            <w:shd w:val="clear" w:color="auto" w:fill="auto"/>
            <w:vAlign w:val="center"/>
            <w:hideMark/>
          </w:tcPr>
          <w:p w14:paraId="152E17BD"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3%</w:t>
            </w:r>
          </w:p>
        </w:tc>
        <w:tc>
          <w:tcPr>
            <w:tcW w:w="468" w:type="pct"/>
            <w:tcBorders>
              <w:top w:val="nil"/>
              <w:left w:val="nil"/>
              <w:bottom w:val="single" w:sz="8" w:space="0" w:color="B7B7E2"/>
              <w:right w:val="single" w:sz="8" w:space="0" w:color="B7B7E2"/>
            </w:tcBorders>
            <w:shd w:val="clear" w:color="auto" w:fill="auto"/>
            <w:vAlign w:val="center"/>
            <w:hideMark/>
          </w:tcPr>
          <w:p w14:paraId="24516A34"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21,000</w:t>
            </w:r>
          </w:p>
        </w:tc>
        <w:tc>
          <w:tcPr>
            <w:tcW w:w="432" w:type="pct"/>
            <w:tcBorders>
              <w:top w:val="nil"/>
              <w:left w:val="nil"/>
              <w:bottom w:val="single" w:sz="8" w:space="0" w:color="B7B7E2"/>
              <w:right w:val="single" w:sz="8" w:space="0" w:color="B7B7E2"/>
            </w:tcBorders>
            <w:shd w:val="clear" w:color="auto" w:fill="auto"/>
            <w:vAlign w:val="center"/>
            <w:hideMark/>
          </w:tcPr>
          <w:p w14:paraId="62641DBD"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-33%</w:t>
            </w:r>
          </w:p>
        </w:tc>
        <w:tc>
          <w:tcPr>
            <w:tcW w:w="488" w:type="pct"/>
            <w:tcBorders>
              <w:top w:val="nil"/>
              <w:left w:val="nil"/>
              <w:bottom w:val="single" w:sz="8" w:space="0" w:color="B7B7E2"/>
              <w:right w:val="single" w:sz="6" w:space="0" w:color="37378B" w:themeColor="accent1" w:themeShade="BF"/>
            </w:tcBorders>
            <w:shd w:val="clear" w:color="auto" w:fill="auto"/>
            <w:vAlign w:val="center"/>
            <w:hideMark/>
          </w:tcPr>
          <w:p w14:paraId="35D5B520"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24,000</w:t>
            </w:r>
          </w:p>
        </w:tc>
        <w:tc>
          <w:tcPr>
            <w:tcW w:w="416"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629261D1"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$20.1</w:t>
            </w:r>
          </w:p>
        </w:tc>
        <w:tc>
          <w:tcPr>
            <w:tcW w:w="328" w:type="pct"/>
            <w:tcBorders>
              <w:top w:val="nil"/>
              <w:left w:val="nil"/>
              <w:bottom w:val="single" w:sz="8" w:space="0" w:color="B7B7E2"/>
              <w:right w:val="single" w:sz="8" w:space="0" w:color="B7B7E2"/>
            </w:tcBorders>
            <w:shd w:val="clear" w:color="auto" w:fill="auto"/>
            <w:vAlign w:val="center"/>
            <w:hideMark/>
          </w:tcPr>
          <w:p w14:paraId="24BF7CEC"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8%</w:t>
            </w:r>
          </w:p>
        </w:tc>
        <w:tc>
          <w:tcPr>
            <w:tcW w:w="416" w:type="pct"/>
            <w:tcBorders>
              <w:top w:val="nil"/>
              <w:left w:val="nil"/>
              <w:bottom w:val="single" w:sz="8" w:space="0" w:color="B7B7E2"/>
              <w:right w:val="single" w:sz="8" w:space="0" w:color="B7B7E2"/>
            </w:tcBorders>
            <w:shd w:val="clear" w:color="auto" w:fill="auto"/>
            <w:vAlign w:val="center"/>
            <w:hideMark/>
          </w:tcPr>
          <w:p w14:paraId="61283616"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$20.3</w:t>
            </w:r>
          </w:p>
        </w:tc>
        <w:tc>
          <w:tcPr>
            <w:tcW w:w="432" w:type="pct"/>
            <w:tcBorders>
              <w:top w:val="nil"/>
              <w:left w:val="nil"/>
              <w:bottom w:val="single" w:sz="8" w:space="0" w:color="B7B7E2"/>
              <w:right w:val="single" w:sz="8" w:space="0" w:color="B7B7E2"/>
            </w:tcBorders>
            <w:shd w:val="clear" w:color="auto" w:fill="auto"/>
            <w:vAlign w:val="center"/>
            <w:hideMark/>
          </w:tcPr>
          <w:p w14:paraId="5EAFC75A"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-1%</w:t>
            </w:r>
          </w:p>
        </w:tc>
        <w:tc>
          <w:tcPr>
            <w:tcW w:w="488" w:type="pct"/>
            <w:tcBorders>
              <w:top w:val="nil"/>
              <w:left w:val="nil"/>
              <w:bottom w:val="single" w:sz="8" w:space="0" w:color="B7B7E2"/>
              <w:right w:val="single" w:sz="8" w:space="0" w:color="B7B7E2"/>
            </w:tcBorders>
            <w:shd w:val="clear" w:color="auto" w:fill="auto"/>
            <w:vAlign w:val="center"/>
            <w:hideMark/>
          </w:tcPr>
          <w:p w14:paraId="187FADFA" w14:textId="77777777" w:rsidR="007D1E63" w:rsidRPr="007D1E63" w:rsidRDefault="007D1E63" w:rsidP="007D1E63">
            <w:pPr>
              <w:jc w:val="right"/>
              <w:rPr>
                <w:rFonts w:eastAsia="Times New Roman" w:cs="Calibri"/>
                <w:color w:val="000000"/>
                <w:sz w:val="19"/>
                <w:szCs w:val="19"/>
                <w:lang w:eastAsia="en-AU"/>
              </w:rPr>
            </w:pPr>
            <w:r w:rsidRPr="007D1E63">
              <w:rPr>
                <w:rFonts w:eastAsia="Times New Roman" w:cs="Calibri"/>
                <w:color w:val="000000"/>
                <w:sz w:val="19"/>
                <w:szCs w:val="19"/>
                <w:lang w:eastAsia="en-AU"/>
              </w:rPr>
              <w:t>$20.3</w:t>
            </w:r>
          </w:p>
        </w:tc>
      </w:tr>
      <w:tr w:rsidR="007D1E63" w:rsidRPr="007D1E63" w14:paraId="2D50EFE8" w14:textId="77777777" w:rsidTr="009D04F9">
        <w:tc>
          <w:tcPr>
            <w:tcW w:w="737" w:type="pct"/>
            <w:tcBorders>
              <w:top w:val="nil"/>
              <w:left w:val="single" w:sz="8" w:space="0" w:color="B7B7E2"/>
              <w:bottom w:val="single" w:sz="8" w:space="0" w:color="B7B7E2"/>
              <w:right w:val="single" w:sz="6" w:space="0" w:color="37378B" w:themeColor="accent1" w:themeShade="BF"/>
            </w:tcBorders>
            <w:shd w:val="clear" w:color="auto" w:fill="auto"/>
            <w:vAlign w:val="center"/>
            <w:hideMark/>
          </w:tcPr>
          <w:p w14:paraId="002C304B" w14:textId="77777777" w:rsidR="007D1E63" w:rsidRPr="007D1E63" w:rsidRDefault="007D1E63" w:rsidP="007D1E63">
            <w:pPr>
              <w:rPr>
                <w:rFonts w:eastAsia="Times New Roman" w:cs="Calibri"/>
                <w:b/>
                <w:bCs/>
                <w:color w:val="000000"/>
                <w:sz w:val="19"/>
                <w:szCs w:val="19"/>
                <w:lang w:eastAsia="en-AU"/>
              </w:rPr>
            </w:pPr>
            <w:r w:rsidRPr="007D1E63">
              <w:rPr>
                <w:rFonts w:eastAsia="Times New Roman" w:cs="Calibri"/>
                <w:b/>
                <w:bCs/>
                <w:color w:val="000000"/>
                <w:sz w:val="19"/>
                <w:szCs w:val="19"/>
                <w:lang w:eastAsia="en-AU"/>
              </w:rPr>
              <w:t>Total</w:t>
            </w:r>
          </w:p>
        </w:tc>
        <w:tc>
          <w:tcPr>
            <w:tcW w:w="468"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3A456D03" w14:textId="77777777" w:rsidR="007D1E63" w:rsidRPr="007D1E63" w:rsidRDefault="007D1E63" w:rsidP="007D1E63">
            <w:pPr>
              <w:jc w:val="right"/>
              <w:rPr>
                <w:rFonts w:eastAsia="Times New Roman" w:cs="Calibri"/>
                <w:b/>
                <w:bCs/>
                <w:color w:val="000000"/>
                <w:sz w:val="19"/>
                <w:szCs w:val="19"/>
                <w:lang w:eastAsia="en-AU"/>
              </w:rPr>
            </w:pPr>
            <w:r w:rsidRPr="007D1E63">
              <w:rPr>
                <w:rFonts w:eastAsia="Times New Roman" w:cs="Calibri"/>
                <w:b/>
                <w:bCs/>
                <w:color w:val="000000"/>
                <w:sz w:val="19"/>
                <w:szCs w:val="19"/>
                <w:lang w:eastAsia="en-AU"/>
              </w:rPr>
              <w:t>418,000</w:t>
            </w:r>
          </w:p>
        </w:tc>
        <w:tc>
          <w:tcPr>
            <w:tcW w:w="328" w:type="pct"/>
            <w:tcBorders>
              <w:top w:val="nil"/>
              <w:left w:val="nil"/>
              <w:bottom w:val="single" w:sz="8" w:space="0" w:color="B7B7E2"/>
              <w:right w:val="single" w:sz="8" w:space="0" w:color="B7B7E2"/>
            </w:tcBorders>
            <w:shd w:val="clear" w:color="auto" w:fill="auto"/>
            <w:vAlign w:val="center"/>
            <w:hideMark/>
          </w:tcPr>
          <w:p w14:paraId="1473D5AD" w14:textId="77777777" w:rsidR="007D1E63" w:rsidRPr="007D1E63" w:rsidRDefault="007D1E63" w:rsidP="007D1E63">
            <w:pPr>
              <w:jc w:val="right"/>
              <w:rPr>
                <w:rFonts w:eastAsia="Times New Roman" w:cs="Calibri"/>
                <w:b/>
                <w:bCs/>
                <w:color w:val="000000"/>
                <w:sz w:val="19"/>
                <w:szCs w:val="19"/>
                <w:lang w:eastAsia="en-AU"/>
              </w:rPr>
            </w:pPr>
            <w:r w:rsidRPr="007D1E63">
              <w:rPr>
                <w:rFonts w:eastAsia="Times New Roman" w:cs="Calibri"/>
                <w:b/>
                <w:bCs/>
                <w:color w:val="000000"/>
                <w:sz w:val="19"/>
                <w:szCs w:val="19"/>
                <w:lang w:eastAsia="en-AU"/>
              </w:rPr>
              <w:t>-</w:t>
            </w:r>
          </w:p>
        </w:tc>
        <w:tc>
          <w:tcPr>
            <w:tcW w:w="468" w:type="pct"/>
            <w:tcBorders>
              <w:top w:val="nil"/>
              <w:left w:val="nil"/>
              <w:bottom w:val="single" w:sz="8" w:space="0" w:color="B7B7E2"/>
              <w:right w:val="single" w:sz="8" w:space="0" w:color="B7B7E2"/>
            </w:tcBorders>
            <w:shd w:val="clear" w:color="auto" w:fill="auto"/>
            <w:vAlign w:val="center"/>
            <w:hideMark/>
          </w:tcPr>
          <w:p w14:paraId="3AD8F795" w14:textId="77777777" w:rsidR="007D1E63" w:rsidRPr="007D1E63" w:rsidRDefault="007D1E63" w:rsidP="007D1E63">
            <w:pPr>
              <w:jc w:val="right"/>
              <w:rPr>
                <w:rFonts w:eastAsia="Times New Roman" w:cs="Calibri"/>
                <w:b/>
                <w:bCs/>
                <w:color w:val="000000"/>
                <w:sz w:val="19"/>
                <w:szCs w:val="19"/>
                <w:lang w:eastAsia="en-AU"/>
              </w:rPr>
            </w:pPr>
            <w:r w:rsidRPr="007D1E63">
              <w:rPr>
                <w:rFonts w:eastAsia="Times New Roman" w:cs="Calibri"/>
                <w:b/>
                <w:bCs/>
                <w:color w:val="000000"/>
                <w:sz w:val="19"/>
                <w:szCs w:val="19"/>
                <w:lang w:eastAsia="en-AU"/>
              </w:rPr>
              <w:t>361,000</w:t>
            </w:r>
          </w:p>
        </w:tc>
        <w:tc>
          <w:tcPr>
            <w:tcW w:w="432" w:type="pct"/>
            <w:tcBorders>
              <w:top w:val="nil"/>
              <w:left w:val="nil"/>
              <w:bottom w:val="single" w:sz="8" w:space="0" w:color="B7B7E2"/>
              <w:right w:val="single" w:sz="8" w:space="0" w:color="B7B7E2"/>
            </w:tcBorders>
            <w:shd w:val="clear" w:color="auto" w:fill="auto"/>
            <w:vAlign w:val="center"/>
            <w:hideMark/>
          </w:tcPr>
          <w:p w14:paraId="309EEFA3" w14:textId="77777777" w:rsidR="007D1E63" w:rsidRPr="007D1E63" w:rsidRDefault="007D1E63" w:rsidP="007D1E63">
            <w:pPr>
              <w:jc w:val="right"/>
              <w:rPr>
                <w:rFonts w:eastAsia="Times New Roman" w:cs="Calibri"/>
                <w:b/>
                <w:bCs/>
                <w:color w:val="000000"/>
                <w:sz w:val="19"/>
                <w:szCs w:val="19"/>
                <w:lang w:eastAsia="en-AU"/>
              </w:rPr>
            </w:pPr>
            <w:r w:rsidRPr="007D1E63">
              <w:rPr>
                <w:rFonts w:eastAsia="Times New Roman" w:cs="Calibri"/>
                <w:b/>
                <w:bCs/>
                <w:color w:val="000000"/>
                <w:sz w:val="19"/>
                <w:szCs w:val="19"/>
                <w:lang w:eastAsia="en-AU"/>
              </w:rPr>
              <w:t>16%</w:t>
            </w:r>
          </w:p>
        </w:tc>
        <w:tc>
          <w:tcPr>
            <w:tcW w:w="488" w:type="pct"/>
            <w:tcBorders>
              <w:top w:val="nil"/>
              <w:left w:val="nil"/>
              <w:bottom w:val="single" w:sz="8" w:space="0" w:color="B7B7E2"/>
              <w:right w:val="single" w:sz="6" w:space="0" w:color="37378B" w:themeColor="accent1" w:themeShade="BF"/>
            </w:tcBorders>
            <w:shd w:val="clear" w:color="auto" w:fill="auto"/>
            <w:vAlign w:val="center"/>
            <w:hideMark/>
          </w:tcPr>
          <w:p w14:paraId="5C5C1841" w14:textId="77777777" w:rsidR="007D1E63" w:rsidRPr="007D1E63" w:rsidRDefault="007D1E63" w:rsidP="007D1E63">
            <w:pPr>
              <w:jc w:val="right"/>
              <w:rPr>
                <w:rFonts w:eastAsia="Times New Roman" w:cs="Calibri"/>
                <w:b/>
                <w:bCs/>
                <w:color w:val="000000"/>
                <w:sz w:val="19"/>
                <w:szCs w:val="19"/>
                <w:lang w:eastAsia="en-AU"/>
              </w:rPr>
            </w:pPr>
            <w:r w:rsidRPr="007D1E63">
              <w:rPr>
                <w:rFonts w:eastAsia="Times New Roman" w:cs="Calibri"/>
                <w:b/>
                <w:bCs/>
                <w:color w:val="000000"/>
                <w:sz w:val="19"/>
                <w:szCs w:val="19"/>
                <w:lang w:eastAsia="en-AU"/>
              </w:rPr>
              <w:t>369,000</w:t>
            </w:r>
          </w:p>
        </w:tc>
        <w:tc>
          <w:tcPr>
            <w:tcW w:w="416" w:type="pct"/>
            <w:tcBorders>
              <w:top w:val="nil"/>
              <w:left w:val="single" w:sz="6" w:space="0" w:color="37378B" w:themeColor="accent1" w:themeShade="BF"/>
              <w:bottom w:val="single" w:sz="8" w:space="0" w:color="B7B7E2"/>
              <w:right w:val="single" w:sz="8" w:space="0" w:color="B7B7E2"/>
            </w:tcBorders>
            <w:shd w:val="clear" w:color="auto" w:fill="auto"/>
            <w:vAlign w:val="center"/>
            <w:hideMark/>
          </w:tcPr>
          <w:p w14:paraId="541B5FDC" w14:textId="77777777" w:rsidR="007D1E63" w:rsidRPr="007D1E63" w:rsidRDefault="007D1E63" w:rsidP="007D1E63">
            <w:pPr>
              <w:jc w:val="right"/>
              <w:rPr>
                <w:rFonts w:eastAsia="Times New Roman" w:cs="Calibri"/>
                <w:b/>
                <w:bCs/>
                <w:color w:val="000000"/>
                <w:sz w:val="19"/>
                <w:szCs w:val="19"/>
                <w:lang w:eastAsia="en-AU"/>
              </w:rPr>
            </w:pPr>
            <w:r w:rsidRPr="007D1E63">
              <w:rPr>
                <w:rFonts w:eastAsia="Times New Roman" w:cs="Calibri"/>
                <w:b/>
                <w:bCs/>
                <w:color w:val="000000"/>
                <w:sz w:val="19"/>
                <w:szCs w:val="19"/>
                <w:lang w:eastAsia="en-AU"/>
              </w:rPr>
              <w:t>$259.8</w:t>
            </w:r>
          </w:p>
        </w:tc>
        <w:tc>
          <w:tcPr>
            <w:tcW w:w="328" w:type="pct"/>
            <w:tcBorders>
              <w:top w:val="nil"/>
              <w:left w:val="nil"/>
              <w:bottom w:val="single" w:sz="8" w:space="0" w:color="B7B7E2"/>
              <w:right w:val="single" w:sz="8" w:space="0" w:color="B7B7E2"/>
            </w:tcBorders>
            <w:shd w:val="clear" w:color="auto" w:fill="auto"/>
            <w:vAlign w:val="center"/>
            <w:hideMark/>
          </w:tcPr>
          <w:p w14:paraId="39396A7E" w14:textId="77777777" w:rsidR="007D1E63" w:rsidRPr="007D1E63" w:rsidRDefault="007D1E63" w:rsidP="007D1E63">
            <w:pPr>
              <w:jc w:val="right"/>
              <w:rPr>
                <w:rFonts w:eastAsia="Times New Roman" w:cs="Calibri"/>
                <w:b/>
                <w:bCs/>
                <w:color w:val="000000"/>
                <w:sz w:val="19"/>
                <w:szCs w:val="19"/>
                <w:lang w:eastAsia="en-AU"/>
              </w:rPr>
            </w:pPr>
            <w:r w:rsidRPr="007D1E63">
              <w:rPr>
                <w:rFonts w:eastAsia="Times New Roman" w:cs="Calibri"/>
                <w:b/>
                <w:bCs/>
                <w:color w:val="000000"/>
                <w:sz w:val="19"/>
                <w:szCs w:val="19"/>
                <w:lang w:eastAsia="en-AU"/>
              </w:rPr>
              <w:t>-</w:t>
            </w:r>
          </w:p>
        </w:tc>
        <w:tc>
          <w:tcPr>
            <w:tcW w:w="416" w:type="pct"/>
            <w:tcBorders>
              <w:top w:val="nil"/>
              <w:left w:val="nil"/>
              <w:bottom w:val="single" w:sz="8" w:space="0" w:color="B7B7E2"/>
              <w:right w:val="single" w:sz="8" w:space="0" w:color="B7B7E2"/>
            </w:tcBorders>
            <w:shd w:val="clear" w:color="auto" w:fill="auto"/>
            <w:vAlign w:val="center"/>
            <w:hideMark/>
          </w:tcPr>
          <w:p w14:paraId="6AB72901" w14:textId="77777777" w:rsidR="007D1E63" w:rsidRPr="007D1E63" w:rsidRDefault="007D1E63" w:rsidP="007D1E63">
            <w:pPr>
              <w:jc w:val="right"/>
              <w:rPr>
                <w:rFonts w:eastAsia="Times New Roman" w:cs="Calibri"/>
                <w:b/>
                <w:bCs/>
                <w:color w:val="000000"/>
                <w:sz w:val="19"/>
                <w:szCs w:val="19"/>
                <w:lang w:eastAsia="en-AU"/>
              </w:rPr>
            </w:pPr>
            <w:r w:rsidRPr="007D1E63">
              <w:rPr>
                <w:rFonts w:eastAsia="Times New Roman" w:cs="Calibri"/>
                <w:b/>
                <w:bCs/>
                <w:color w:val="000000"/>
                <w:sz w:val="19"/>
                <w:szCs w:val="19"/>
                <w:lang w:eastAsia="en-AU"/>
              </w:rPr>
              <w:t>$259.7</w:t>
            </w:r>
          </w:p>
        </w:tc>
        <w:tc>
          <w:tcPr>
            <w:tcW w:w="432" w:type="pct"/>
            <w:tcBorders>
              <w:top w:val="nil"/>
              <w:left w:val="nil"/>
              <w:bottom w:val="single" w:sz="8" w:space="0" w:color="B7B7E2"/>
              <w:right w:val="single" w:sz="8" w:space="0" w:color="B7B7E2"/>
            </w:tcBorders>
            <w:shd w:val="clear" w:color="auto" w:fill="auto"/>
            <w:vAlign w:val="center"/>
            <w:hideMark/>
          </w:tcPr>
          <w:p w14:paraId="0FAD0546" w14:textId="77777777" w:rsidR="007D1E63" w:rsidRPr="007D1E63" w:rsidRDefault="007D1E63" w:rsidP="007D1E63">
            <w:pPr>
              <w:jc w:val="right"/>
              <w:rPr>
                <w:rFonts w:eastAsia="Times New Roman" w:cs="Calibri"/>
                <w:b/>
                <w:bCs/>
                <w:color w:val="000000"/>
                <w:sz w:val="19"/>
                <w:szCs w:val="19"/>
                <w:lang w:eastAsia="en-AU"/>
              </w:rPr>
            </w:pPr>
            <w:r w:rsidRPr="007D1E63">
              <w:rPr>
                <w:rFonts w:eastAsia="Times New Roman" w:cs="Calibri"/>
                <w:b/>
                <w:bCs/>
                <w:color w:val="000000"/>
                <w:sz w:val="19"/>
                <w:szCs w:val="19"/>
                <w:lang w:eastAsia="en-AU"/>
              </w:rPr>
              <w:t>0%</w:t>
            </w:r>
          </w:p>
        </w:tc>
        <w:tc>
          <w:tcPr>
            <w:tcW w:w="488" w:type="pct"/>
            <w:tcBorders>
              <w:top w:val="nil"/>
              <w:left w:val="nil"/>
              <w:bottom w:val="single" w:sz="8" w:space="0" w:color="B7B7E2"/>
              <w:right w:val="single" w:sz="8" w:space="0" w:color="B7B7E2"/>
            </w:tcBorders>
            <w:shd w:val="clear" w:color="auto" w:fill="auto"/>
            <w:vAlign w:val="center"/>
            <w:hideMark/>
          </w:tcPr>
          <w:p w14:paraId="7BB01635" w14:textId="77777777" w:rsidR="007D1E63" w:rsidRPr="007D1E63" w:rsidRDefault="007D1E63" w:rsidP="007D1E63">
            <w:pPr>
              <w:jc w:val="right"/>
              <w:rPr>
                <w:rFonts w:eastAsia="Times New Roman" w:cs="Calibri"/>
                <w:b/>
                <w:bCs/>
                <w:color w:val="000000"/>
                <w:sz w:val="19"/>
                <w:szCs w:val="19"/>
                <w:lang w:eastAsia="en-AU"/>
              </w:rPr>
            </w:pPr>
            <w:r w:rsidRPr="007D1E63">
              <w:rPr>
                <w:rFonts w:eastAsia="Times New Roman" w:cs="Calibri"/>
                <w:b/>
                <w:bCs/>
                <w:color w:val="000000"/>
                <w:sz w:val="19"/>
                <w:szCs w:val="19"/>
                <w:lang w:eastAsia="en-AU"/>
              </w:rPr>
              <w:t>$258.8</w:t>
            </w:r>
          </w:p>
        </w:tc>
      </w:tr>
    </w:tbl>
    <w:p w14:paraId="24013A0D" w14:textId="5E1CD99E" w:rsidR="00CA3AA7" w:rsidRDefault="00CA3AA7" w:rsidP="009E3FF9">
      <w:pPr>
        <w:pStyle w:val="BodyText"/>
      </w:pPr>
    </w:p>
    <w:p w14:paraId="737B2C7C" w14:textId="4DC3F3F0" w:rsidR="002C1FCE" w:rsidRDefault="003705B5" w:rsidP="004256CC">
      <w:pPr>
        <w:pStyle w:val="BodyText"/>
        <w:rPr>
          <w:i/>
          <w:color w:val="000099"/>
        </w:rPr>
      </w:pPr>
      <w:r>
        <w:rPr>
          <w:i/>
          <w:color w:val="000099"/>
        </w:rPr>
        <w:t xml:space="preserve">Comparison with the previous </w:t>
      </w:r>
      <w:r w:rsidR="00192FBE" w:rsidRPr="00192FBE">
        <w:rPr>
          <w:i/>
          <w:color w:val="000099"/>
        </w:rPr>
        <w:t>month</w:t>
      </w:r>
      <w:r w:rsidR="00192FBE">
        <w:rPr>
          <w:i/>
          <w:color w:val="000099"/>
        </w:rPr>
        <w:t xml:space="preserve"> </w:t>
      </w:r>
      <w:r w:rsidR="00192FBE" w:rsidRPr="00CC6832">
        <w:rPr>
          <w:i/>
          <w:color w:val="000099"/>
        </w:rPr>
        <w:t>–</w:t>
      </w:r>
      <w:r w:rsidR="00D23A0A">
        <w:rPr>
          <w:i/>
          <w:color w:val="000099"/>
        </w:rPr>
        <w:t xml:space="preserve"> </w:t>
      </w:r>
    </w:p>
    <w:p w14:paraId="2DC75CA7" w14:textId="29451CCF" w:rsidR="005A7AD1" w:rsidRPr="00984A69" w:rsidRDefault="00912344" w:rsidP="002C1FCE">
      <w:pPr>
        <w:pStyle w:val="Bullet1"/>
      </w:pPr>
      <w:bookmarkStart w:id="5" w:name="_Hlk12448455"/>
      <w:r>
        <w:t>Dec</w:t>
      </w:r>
      <w:r w:rsidR="00782F3B">
        <w:t xml:space="preserve">ember </w:t>
      </w:r>
      <w:r w:rsidR="005A7AD1">
        <w:t>2019 saw a</w:t>
      </w:r>
      <w:r>
        <w:t>n 85</w:t>
      </w:r>
      <w:r w:rsidR="005A7AD1">
        <w:t xml:space="preserve">% </w:t>
      </w:r>
      <w:r>
        <w:t>de</w:t>
      </w:r>
      <w:r w:rsidR="00782F3B">
        <w:t xml:space="preserve">crease </w:t>
      </w:r>
      <w:r w:rsidR="005A7AD1">
        <w:t xml:space="preserve">in the export of </w:t>
      </w:r>
      <w:r w:rsidR="005A7AD1" w:rsidRPr="009C7AAF">
        <w:rPr>
          <w:b/>
          <w:bCs/>
        </w:rPr>
        <w:t>glass</w:t>
      </w:r>
      <w:r w:rsidR="005A7AD1">
        <w:t xml:space="preserve"> compared to the month of </w:t>
      </w:r>
      <w:r>
        <w:t>Novem</w:t>
      </w:r>
      <w:r w:rsidR="00782F3B">
        <w:t>ber</w:t>
      </w:r>
      <w:r w:rsidR="00443603">
        <w:t>.</w:t>
      </w:r>
      <w:r>
        <w:t xml:space="preserve"> Similar to </w:t>
      </w:r>
      <w:r w:rsidR="008E6FF4">
        <w:t>September and October 2019, 100% was exported to</w:t>
      </w:r>
      <w:r>
        <w:t xml:space="preserve"> Malaysia</w:t>
      </w:r>
      <w:r w:rsidR="008E6FF4">
        <w:t>.</w:t>
      </w:r>
      <w:r>
        <w:t xml:space="preserve"> </w:t>
      </w:r>
      <w:r w:rsidR="00BA46C3">
        <w:t xml:space="preserve"> </w:t>
      </w:r>
    </w:p>
    <w:p w14:paraId="33BC4274" w14:textId="0266E44D" w:rsidR="00265675" w:rsidRDefault="00265675" w:rsidP="008F0305">
      <w:pPr>
        <w:pStyle w:val="Bullet1"/>
      </w:pPr>
      <w:r w:rsidRPr="009C7AAF">
        <w:rPr>
          <w:b/>
          <w:bCs/>
        </w:rPr>
        <w:t>Paper and cardboard</w:t>
      </w:r>
      <w:r>
        <w:t xml:space="preserve"> quantities </w:t>
      </w:r>
      <w:r w:rsidR="00880F41">
        <w:t>increase</w:t>
      </w:r>
      <w:r w:rsidR="00236E59">
        <w:t>d by</w:t>
      </w:r>
      <w:r w:rsidR="00880F41">
        <w:t xml:space="preserve"> 1% in December</w:t>
      </w:r>
      <w:r w:rsidR="00C970DF">
        <w:t xml:space="preserve">, </w:t>
      </w:r>
      <w:r w:rsidR="00880F41">
        <w:t xml:space="preserve">mainly </w:t>
      </w:r>
      <w:r w:rsidR="00C970DF">
        <w:t xml:space="preserve">due to </w:t>
      </w:r>
      <w:r w:rsidR="00880F41">
        <w:t>increase</w:t>
      </w:r>
      <w:r w:rsidR="00C970DF">
        <w:t>d</w:t>
      </w:r>
      <w:r w:rsidR="00880F41">
        <w:t xml:space="preserve"> e</w:t>
      </w:r>
      <w:r w:rsidRPr="00D91B86">
        <w:t xml:space="preserve">xports of </w:t>
      </w:r>
      <w:r w:rsidR="008F0305" w:rsidRPr="00D91B86">
        <w:t>unbleached kraft (old corrugated containers)</w:t>
      </w:r>
      <w:r w:rsidR="00D91B86" w:rsidRPr="00D91B86">
        <w:t>. Exports of</w:t>
      </w:r>
      <w:r w:rsidR="00880F41">
        <w:t xml:space="preserve"> unsorted waste paper products and mechanically pulped paper dec</w:t>
      </w:r>
      <w:r w:rsidR="008F0305" w:rsidRPr="00D91B86">
        <w:t>reased</w:t>
      </w:r>
      <w:r w:rsidR="00880F41">
        <w:t xml:space="preserve"> slightly</w:t>
      </w:r>
      <w:r w:rsidR="008F0305" w:rsidRPr="00D91B86">
        <w:t>.</w:t>
      </w:r>
      <w:r w:rsidR="00880F41">
        <w:t xml:space="preserve"> These three categories accounted for </w:t>
      </w:r>
      <w:r w:rsidR="00236E59">
        <w:t xml:space="preserve">almost all </w:t>
      </w:r>
      <w:r w:rsidR="00880F41">
        <w:t>paper and card</w:t>
      </w:r>
      <w:r w:rsidR="00C970DF">
        <w:t>board</w:t>
      </w:r>
      <w:r w:rsidR="00880F41">
        <w:t xml:space="preserve"> exports. </w:t>
      </w:r>
      <w:bookmarkStart w:id="6" w:name="_Hlk12451839"/>
      <w:r w:rsidR="008F0305">
        <w:t xml:space="preserve">China </w:t>
      </w:r>
      <w:r w:rsidR="002F673E">
        <w:t xml:space="preserve">received </w:t>
      </w:r>
      <w:r w:rsidR="009D58DF">
        <w:t>48</w:t>
      </w:r>
      <w:r w:rsidR="002F673E">
        <w:t xml:space="preserve">% of </w:t>
      </w:r>
      <w:r w:rsidR="00C970DF">
        <w:t>these materials</w:t>
      </w:r>
      <w:r w:rsidR="002F673E">
        <w:t xml:space="preserve">. </w:t>
      </w:r>
      <w:r w:rsidR="00786763">
        <w:t>Paper and cardboard exports were valued at $</w:t>
      </w:r>
      <w:r w:rsidR="00981458">
        <w:t>A1</w:t>
      </w:r>
      <w:r w:rsidR="009D58DF">
        <w:t>1</w:t>
      </w:r>
      <w:r w:rsidR="00786763">
        <w:t>.</w:t>
      </w:r>
      <w:r w:rsidR="009D58DF">
        <w:t>7</w:t>
      </w:r>
      <w:r w:rsidR="00786763">
        <w:t xml:space="preserve"> million</w:t>
      </w:r>
      <w:r w:rsidR="00781943">
        <w:t>,</w:t>
      </w:r>
      <w:r w:rsidR="00786763">
        <w:t xml:space="preserve"> which represented </w:t>
      </w:r>
      <w:r w:rsidR="009D58DF">
        <w:t>4</w:t>
      </w:r>
      <w:r w:rsidR="00786763">
        <w:t xml:space="preserve">% of the total value of waste exports in </w:t>
      </w:r>
      <w:r w:rsidR="009D58DF">
        <w:t>Dec</w:t>
      </w:r>
      <w:r w:rsidR="00981458">
        <w:t>ember</w:t>
      </w:r>
      <w:r w:rsidR="009D58DF">
        <w:t>,</w:t>
      </w:r>
      <w:r w:rsidR="00786763">
        <w:t xml:space="preserve"> slightly lower than the previous month. </w:t>
      </w:r>
    </w:p>
    <w:bookmarkEnd w:id="6"/>
    <w:p w14:paraId="1CA1AC5A" w14:textId="523FBC26" w:rsidR="00265675" w:rsidRDefault="00265675" w:rsidP="00265675">
      <w:pPr>
        <w:pStyle w:val="Bullet1"/>
      </w:pPr>
      <w:r>
        <w:t xml:space="preserve">Exports of </w:t>
      </w:r>
      <w:r w:rsidRPr="007C3F3D">
        <w:t>waste</w:t>
      </w:r>
      <w:r w:rsidRPr="009C7AAF">
        <w:rPr>
          <w:b/>
          <w:bCs/>
        </w:rPr>
        <w:t xml:space="preserve"> plastics</w:t>
      </w:r>
      <w:r>
        <w:t xml:space="preserve"> </w:t>
      </w:r>
      <w:r w:rsidR="00236E59">
        <w:t xml:space="preserve">grew </w:t>
      </w:r>
      <w:r>
        <w:t xml:space="preserve">by </w:t>
      </w:r>
      <w:r w:rsidR="009D58DF">
        <w:t>7</w:t>
      </w:r>
      <w:r>
        <w:t xml:space="preserve">% in </w:t>
      </w:r>
      <w:r w:rsidR="009D58DF">
        <w:t>Dec</w:t>
      </w:r>
      <w:r w:rsidR="00981458">
        <w:t>ember</w:t>
      </w:r>
      <w:r w:rsidR="00A92D63">
        <w:t xml:space="preserve"> but remain below their 2018-19 average</w:t>
      </w:r>
      <w:r>
        <w:t xml:space="preserve">. </w:t>
      </w:r>
      <w:r w:rsidR="00F77000">
        <w:t xml:space="preserve">Malaysia </w:t>
      </w:r>
      <w:r w:rsidR="00A92D63">
        <w:t>was</w:t>
      </w:r>
      <w:r w:rsidR="009D58DF">
        <w:t xml:space="preserve"> the largest </w:t>
      </w:r>
      <w:r w:rsidR="00A92D63">
        <w:t xml:space="preserve">recipient at 48% </w:t>
      </w:r>
      <w:r>
        <w:t>of Australia’s waste plastics</w:t>
      </w:r>
      <w:r w:rsidR="00C970DF">
        <w:t xml:space="preserve">, and </w:t>
      </w:r>
      <w:r w:rsidR="00A92D63">
        <w:t>China 15%</w:t>
      </w:r>
      <w:r w:rsidR="006C08A5">
        <w:t>.</w:t>
      </w:r>
      <w:r w:rsidR="00A92D63">
        <w:t xml:space="preserve"> No other country received more than 5%.</w:t>
      </w:r>
      <w:r w:rsidR="006C08A5">
        <w:t xml:space="preserve"> </w:t>
      </w:r>
      <w:r w:rsidR="00C970DF">
        <w:t xml:space="preserve">They </w:t>
      </w:r>
      <w:r w:rsidR="006A1417">
        <w:t xml:space="preserve">comprised mixed plastics </w:t>
      </w:r>
      <w:r w:rsidR="006A2F6E">
        <w:t>(59%)</w:t>
      </w:r>
      <w:r w:rsidR="009D58DF">
        <w:t xml:space="preserve"> and ethylenes (4</w:t>
      </w:r>
      <w:r w:rsidR="006A2F6E">
        <w:t>1</w:t>
      </w:r>
      <w:r w:rsidR="009D58DF">
        <w:t xml:space="preserve">%). </w:t>
      </w:r>
      <w:r w:rsidR="00C970DF">
        <w:t>P</w:t>
      </w:r>
      <w:r w:rsidR="0046685C">
        <w:t xml:space="preserve">lastic exports </w:t>
      </w:r>
      <w:r w:rsidR="00786763">
        <w:t>were valued at $A3.</w:t>
      </w:r>
      <w:r w:rsidR="00A46CCA">
        <w:t>5</w:t>
      </w:r>
      <w:r w:rsidR="0046685C">
        <w:t xml:space="preserve"> </w:t>
      </w:r>
      <w:r w:rsidR="00786763">
        <w:t>million</w:t>
      </w:r>
      <w:r w:rsidR="002B6855">
        <w:t>,</w:t>
      </w:r>
      <w:r w:rsidR="00786763">
        <w:t xml:space="preserve"> which was </w:t>
      </w:r>
      <w:r w:rsidR="00A46CCA">
        <w:t>13</w:t>
      </w:r>
      <w:r w:rsidR="00786763">
        <w:t xml:space="preserve">% higher than in </w:t>
      </w:r>
      <w:r w:rsidR="00A46CCA">
        <w:t>Novem</w:t>
      </w:r>
      <w:r w:rsidR="0046685C">
        <w:t>ber</w:t>
      </w:r>
      <w:r w:rsidR="00786763">
        <w:t xml:space="preserve">. </w:t>
      </w:r>
    </w:p>
    <w:p w14:paraId="3D87D655" w14:textId="7D969038" w:rsidR="002F673E" w:rsidRPr="002F673E" w:rsidRDefault="002F673E" w:rsidP="002C1FCE">
      <w:pPr>
        <w:pStyle w:val="Bullet1"/>
      </w:pPr>
      <w:r>
        <w:t xml:space="preserve">Exports of </w:t>
      </w:r>
      <w:r w:rsidR="008D646F" w:rsidRPr="007C3F3D">
        <w:t>waste</w:t>
      </w:r>
      <w:r w:rsidR="008D646F" w:rsidRPr="0064473D">
        <w:rPr>
          <w:b/>
          <w:bCs/>
        </w:rPr>
        <w:t xml:space="preserve"> </w:t>
      </w:r>
      <w:r w:rsidRPr="0064473D">
        <w:rPr>
          <w:b/>
          <w:bCs/>
        </w:rPr>
        <w:t>tyres</w:t>
      </w:r>
      <w:r>
        <w:t xml:space="preserve"> in </w:t>
      </w:r>
      <w:r w:rsidR="00FB415B">
        <w:t>Dec</w:t>
      </w:r>
      <w:r w:rsidR="0046685C">
        <w:t xml:space="preserve">ember </w:t>
      </w:r>
      <w:r w:rsidR="00FB415B">
        <w:t>increased</w:t>
      </w:r>
      <w:r w:rsidR="00786763">
        <w:t xml:space="preserve"> by </w:t>
      </w:r>
      <w:r w:rsidR="0046685C">
        <w:t>1</w:t>
      </w:r>
      <w:r w:rsidR="00FB415B">
        <w:t>1</w:t>
      </w:r>
      <w:r w:rsidR="00786763">
        <w:t xml:space="preserve">%. About </w:t>
      </w:r>
      <w:r w:rsidR="0046685C">
        <w:t>7</w:t>
      </w:r>
      <w:r w:rsidR="00786763">
        <w:t>,</w:t>
      </w:r>
      <w:r w:rsidR="00FB415B">
        <w:t>8</w:t>
      </w:r>
      <w:r w:rsidR="00786763">
        <w:t>00 tonnes were exported</w:t>
      </w:r>
      <w:r w:rsidR="0064473D">
        <w:t xml:space="preserve"> in the codes known to be dominated by waste tyres</w:t>
      </w:r>
      <w:r w:rsidR="00786763">
        <w:t xml:space="preserve">. </w:t>
      </w:r>
      <w:r>
        <w:t>India</w:t>
      </w:r>
      <w:r w:rsidR="00C970DF">
        <w:t xml:space="preserve"> (49%)</w:t>
      </w:r>
      <w:r w:rsidR="002B6855">
        <w:t xml:space="preserve"> and Malaysia</w:t>
      </w:r>
      <w:r w:rsidR="00C970DF">
        <w:t xml:space="preserve"> (28%)</w:t>
      </w:r>
      <w:r>
        <w:t xml:space="preserve"> </w:t>
      </w:r>
      <w:r w:rsidR="00FB415B">
        <w:t>continued to receive the most</w:t>
      </w:r>
      <w:r w:rsidR="002B6855">
        <w:t>.</w:t>
      </w:r>
      <w:r w:rsidR="0046685C">
        <w:t xml:space="preserve"> </w:t>
      </w:r>
      <w:r w:rsidR="00C970DF">
        <w:t>These e</w:t>
      </w:r>
      <w:r w:rsidR="0046685C">
        <w:t>xports were valued at $A1.6 million</w:t>
      </w:r>
      <w:r w:rsidR="007D37FC">
        <w:t xml:space="preserve"> – </w:t>
      </w:r>
      <w:r w:rsidR="00FB415B">
        <w:t>slightly</w:t>
      </w:r>
      <w:r w:rsidR="0046685C">
        <w:t xml:space="preserve"> higher than </w:t>
      </w:r>
      <w:r w:rsidR="007D37FC">
        <w:t>November</w:t>
      </w:r>
      <w:r w:rsidR="0046685C">
        <w:t xml:space="preserve">. </w:t>
      </w:r>
    </w:p>
    <w:p w14:paraId="161DD523" w14:textId="7EACF97A" w:rsidR="00382BD3" w:rsidRDefault="00443603" w:rsidP="002C1FCE">
      <w:pPr>
        <w:pStyle w:val="Bullet1"/>
      </w:pPr>
      <w:r>
        <w:rPr>
          <w:color w:val="000000" w:themeColor="text1"/>
        </w:rPr>
        <w:t>Monthly</w:t>
      </w:r>
      <w:r w:rsidR="005A7AD1">
        <w:rPr>
          <w:color w:val="000000" w:themeColor="text1"/>
        </w:rPr>
        <w:t xml:space="preserve"> </w:t>
      </w:r>
      <w:r w:rsidR="005A7AD1" w:rsidRPr="0064473D">
        <w:rPr>
          <w:b/>
          <w:bCs/>
          <w:color w:val="000000" w:themeColor="text1"/>
        </w:rPr>
        <w:t>metal</w:t>
      </w:r>
      <w:r w:rsidR="005A7AD1">
        <w:rPr>
          <w:color w:val="000000" w:themeColor="text1"/>
        </w:rPr>
        <w:t xml:space="preserve"> exports </w:t>
      </w:r>
      <w:r w:rsidR="00623AD1">
        <w:rPr>
          <w:color w:val="000000" w:themeColor="text1"/>
        </w:rPr>
        <w:t xml:space="preserve">rose </w:t>
      </w:r>
      <w:r w:rsidR="005A7AD1">
        <w:rPr>
          <w:color w:val="000000" w:themeColor="text1"/>
        </w:rPr>
        <w:t xml:space="preserve">by </w:t>
      </w:r>
      <w:r w:rsidR="004D5578">
        <w:rPr>
          <w:color w:val="000000" w:themeColor="text1"/>
        </w:rPr>
        <w:t>28</w:t>
      </w:r>
      <w:r w:rsidR="005A7AD1">
        <w:rPr>
          <w:color w:val="000000" w:themeColor="text1"/>
        </w:rPr>
        <w:t xml:space="preserve">% in </w:t>
      </w:r>
      <w:r w:rsidR="004D5578">
        <w:rPr>
          <w:color w:val="000000" w:themeColor="text1"/>
        </w:rPr>
        <w:t>Dec</w:t>
      </w:r>
      <w:r w:rsidR="006E315C">
        <w:rPr>
          <w:color w:val="000000" w:themeColor="text1"/>
        </w:rPr>
        <w:t>ember</w:t>
      </w:r>
      <w:r w:rsidR="00096145">
        <w:rPr>
          <w:color w:val="000000" w:themeColor="text1"/>
        </w:rPr>
        <w:t xml:space="preserve"> and made</w:t>
      </w:r>
      <w:r w:rsidR="006A2F6E">
        <w:rPr>
          <w:color w:val="000000" w:themeColor="text1"/>
        </w:rPr>
        <w:t xml:space="preserve"> up</w:t>
      </w:r>
      <w:r w:rsidR="00096145">
        <w:rPr>
          <w:color w:val="000000" w:themeColor="text1"/>
        </w:rPr>
        <w:t xml:space="preserve"> 67% of</w:t>
      </w:r>
      <w:r w:rsidR="00266D4C">
        <w:rPr>
          <w:color w:val="000000" w:themeColor="text1"/>
        </w:rPr>
        <w:t xml:space="preserve"> all</w:t>
      </w:r>
      <w:r w:rsidR="00096145">
        <w:rPr>
          <w:color w:val="000000" w:themeColor="text1"/>
        </w:rPr>
        <w:t xml:space="preserve"> exports</w:t>
      </w:r>
      <w:r w:rsidR="00266D4C">
        <w:rPr>
          <w:color w:val="000000" w:themeColor="text1"/>
        </w:rPr>
        <w:t xml:space="preserve"> of waste and waste-derived products</w:t>
      </w:r>
      <w:r w:rsidR="005A7AD1">
        <w:rPr>
          <w:color w:val="000000" w:themeColor="text1"/>
        </w:rPr>
        <w:t>.</w:t>
      </w:r>
      <w:r w:rsidR="00096145">
        <w:rPr>
          <w:color w:val="000000" w:themeColor="text1"/>
        </w:rPr>
        <w:t xml:space="preserve"> The total value of metal exports was $183 million, a 13% increase compared to November.</w:t>
      </w:r>
      <w:r w:rsidR="005A7AD1">
        <w:rPr>
          <w:color w:val="000000" w:themeColor="text1"/>
        </w:rPr>
        <w:t xml:space="preserve"> </w:t>
      </w:r>
      <w:r w:rsidR="00266D4C">
        <w:t>The</w:t>
      </w:r>
      <w:r w:rsidR="002018D5">
        <w:t xml:space="preserve"> </w:t>
      </w:r>
      <w:r w:rsidR="00623AD1">
        <w:t>increase</w:t>
      </w:r>
      <w:r w:rsidR="00266D4C">
        <w:t xml:space="preserve"> is wholly attributable to</w:t>
      </w:r>
      <w:r w:rsidR="00623AD1">
        <w:t xml:space="preserve"> </w:t>
      </w:r>
      <w:r w:rsidR="00F80722">
        <w:t xml:space="preserve">the </w:t>
      </w:r>
      <w:r w:rsidR="002018D5">
        <w:t>‘ferrous waste and scrap’</w:t>
      </w:r>
      <w:r w:rsidR="00F40C85">
        <w:t xml:space="preserve"> </w:t>
      </w:r>
      <w:r w:rsidR="006E315C">
        <w:t>categor</w:t>
      </w:r>
      <w:r w:rsidR="00266D4C">
        <w:t>y, which grew by 80,000 tonnes</w:t>
      </w:r>
      <w:r w:rsidR="004F24B8">
        <w:t>.</w:t>
      </w:r>
      <w:bookmarkEnd w:id="5"/>
      <w:r w:rsidR="00C7031E">
        <w:t xml:space="preserve"> </w:t>
      </w:r>
      <w:r w:rsidR="00266D4C">
        <w:t>Bangladesh received 32% of exported metals, followed by India, Vietnam and Korea with 14%, 13% and 11% respectively.</w:t>
      </w:r>
    </w:p>
    <w:p w14:paraId="2834273E" w14:textId="3EE17719" w:rsidR="00290209" w:rsidRDefault="00D23A0A" w:rsidP="004031A9">
      <w:pPr>
        <w:pStyle w:val="Bullet1"/>
      </w:pPr>
      <w:r>
        <w:t xml:space="preserve">Exports of </w:t>
      </w:r>
      <w:r w:rsidRPr="0064473D">
        <w:rPr>
          <w:b/>
          <w:bCs/>
        </w:rPr>
        <w:t xml:space="preserve">hazardous </w:t>
      </w:r>
      <w:r w:rsidR="00A82D58" w:rsidRPr="0064473D">
        <w:rPr>
          <w:b/>
          <w:bCs/>
        </w:rPr>
        <w:t>waste</w:t>
      </w:r>
      <w:r w:rsidR="00984A69">
        <w:t xml:space="preserve"> (excluding tyres)</w:t>
      </w:r>
      <w:r w:rsidR="00A82D58">
        <w:t xml:space="preserve"> </w:t>
      </w:r>
      <w:r w:rsidR="00F40C85">
        <w:t>increased by 13%</w:t>
      </w:r>
      <w:r w:rsidR="005F6BF5">
        <w:t xml:space="preserve"> </w:t>
      </w:r>
      <w:r w:rsidR="008C3D68">
        <w:t xml:space="preserve">in </w:t>
      </w:r>
      <w:r w:rsidR="00F40C85">
        <w:t>Dece</w:t>
      </w:r>
      <w:r w:rsidR="006E315C">
        <w:t>mber</w:t>
      </w:r>
      <w:r w:rsidR="00B86C1B">
        <w:t xml:space="preserve">. </w:t>
      </w:r>
      <w:r w:rsidR="004031A9">
        <w:t>The largest fraction was lead waste and scrap</w:t>
      </w:r>
      <w:r w:rsidR="002E19D0">
        <w:t>, which</w:t>
      </w:r>
      <w:r w:rsidR="004031A9">
        <w:t xml:space="preserve"> </w:t>
      </w:r>
      <w:r w:rsidR="00F40C85">
        <w:t>account</w:t>
      </w:r>
      <w:r w:rsidR="002E19D0">
        <w:t>ed</w:t>
      </w:r>
      <w:r w:rsidR="00F40C85">
        <w:t xml:space="preserve"> for </w:t>
      </w:r>
      <w:r w:rsidR="002E19D0">
        <w:t>58</w:t>
      </w:r>
      <w:r w:rsidR="00C970DF">
        <w:t>%</w:t>
      </w:r>
      <w:r w:rsidR="008D646F">
        <w:t xml:space="preserve">. </w:t>
      </w:r>
      <w:r w:rsidR="00EF1770">
        <w:t>Exports of hazardous waste were valued at $</w:t>
      </w:r>
      <w:r w:rsidR="006E315C">
        <w:t>A</w:t>
      </w:r>
      <w:r w:rsidR="00F40C85">
        <w:t>59.9</w:t>
      </w:r>
      <w:r w:rsidR="00EF1770">
        <w:t xml:space="preserve"> million which </w:t>
      </w:r>
      <w:r w:rsidR="00FF2734">
        <w:t xml:space="preserve">represented </w:t>
      </w:r>
      <w:r w:rsidR="00F40C85">
        <w:t>15</w:t>
      </w:r>
      <w:r w:rsidR="00EF1770">
        <w:t xml:space="preserve">% of the total reported value of waste exports in </w:t>
      </w:r>
      <w:r w:rsidR="00FF2734">
        <w:t>November</w:t>
      </w:r>
      <w:r w:rsidR="00EF1770">
        <w:t xml:space="preserve">. </w:t>
      </w:r>
      <w:r w:rsidR="00F40C85">
        <w:t xml:space="preserve">Last month we noted </w:t>
      </w:r>
      <w:r w:rsidR="002E19D0">
        <w:t xml:space="preserve">an apparent data error with </w:t>
      </w:r>
      <w:r w:rsidR="00FF2734" w:rsidRPr="00F40C85">
        <w:t>export</w:t>
      </w:r>
      <w:r w:rsidR="002E19D0">
        <w:t>s</w:t>
      </w:r>
      <w:r w:rsidR="00FF2734" w:rsidRPr="00F40C85">
        <w:t xml:space="preserve"> of copper slag, ash and residues</w:t>
      </w:r>
      <w:r w:rsidR="002E19D0">
        <w:t xml:space="preserve"> having a reported value of $500/kg</w:t>
      </w:r>
      <w:r w:rsidR="000741BE" w:rsidRPr="00F40C85">
        <w:t xml:space="preserve"> </w:t>
      </w:r>
      <w:r w:rsidR="002E19D0">
        <w:t>(</w:t>
      </w:r>
      <w:r w:rsidR="006B4A0C" w:rsidRPr="00F40C85">
        <w:t>the value of pure copper is around $9/kg</w:t>
      </w:r>
      <w:r w:rsidR="002E19D0">
        <w:t>)</w:t>
      </w:r>
      <w:r w:rsidR="006B4A0C" w:rsidRPr="00F40C85">
        <w:t>.</w:t>
      </w:r>
      <w:r w:rsidR="00FF2734" w:rsidRPr="00F40C85">
        <w:t xml:space="preserve"> </w:t>
      </w:r>
      <w:r w:rsidR="00F40C85" w:rsidRPr="00F40C85">
        <w:t>Th</w:t>
      </w:r>
      <w:r w:rsidR="002E19D0">
        <w:t>e</w:t>
      </w:r>
      <w:r w:rsidR="00F40C85" w:rsidRPr="00F40C85">
        <w:t>s</w:t>
      </w:r>
      <w:r w:rsidR="002E19D0">
        <w:t>e</w:t>
      </w:r>
      <w:r w:rsidR="00F40C85" w:rsidRPr="00F40C85">
        <w:t xml:space="preserve"> high price</w:t>
      </w:r>
      <w:r w:rsidR="002E19D0">
        <w:t>s are maintained in the December data</w:t>
      </w:r>
      <w:r w:rsidR="00F40C85">
        <w:t xml:space="preserve">. </w:t>
      </w:r>
    </w:p>
    <w:p w14:paraId="79127519" w14:textId="418F7ADC" w:rsidR="00D23A0A" w:rsidRDefault="00497EE5" w:rsidP="002C1FCE">
      <w:pPr>
        <w:pStyle w:val="Bullet1"/>
      </w:pPr>
      <w:r>
        <w:t xml:space="preserve">Exports </w:t>
      </w:r>
      <w:r w:rsidR="0009631E">
        <w:t>in</w:t>
      </w:r>
      <w:r>
        <w:t xml:space="preserve"> t</w:t>
      </w:r>
      <w:r w:rsidR="000E701C">
        <w:t xml:space="preserve">he </w:t>
      </w:r>
      <w:r w:rsidR="000E701C" w:rsidRPr="0064473D">
        <w:rPr>
          <w:b/>
          <w:bCs/>
        </w:rPr>
        <w:t>o</w:t>
      </w:r>
      <w:r w:rsidR="00D23A0A" w:rsidRPr="0064473D">
        <w:rPr>
          <w:b/>
          <w:bCs/>
        </w:rPr>
        <w:t>ther wastes</w:t>
      </w:r>
      <w:r w:rsidR="00D23A0A">
        <w:t xml:space="preserve"> </w:t>
      </w:r>
      <w:r w:rsidR="000E701C">
        <w:t>category</w:t>
      </w:r>
      <w:r w:rsidR="00984A69">
        <w:t xml:space="preserve"> </w:t>
      </w:r>
      <w:r w:rsidR="00FF2734">
        <w:t xml:space="preserve">fell </w:t>
      </w:r>
      <w:r w:rsidR="00F40C85">
        <w:t xml:space="preserve">by 33% </w:t>
      </w:r>
      <w:r>
        <w:t xml:space="preserve">in </w:t>
      </w:r>
      <w:r w:rsidR="00F40C85">
        <w:t>Dec</w:t>
      </w:r>
      <w:r w:rsidR="00FF2734">
        <w:t>ember</w:t>
      </w:r>
      <w:r w:rsidR="00DF543A">
        <w:t xml:space="preserve">. </w:t>
      </w:r>
      <w:r w:rsidR="00C9177E">
        <w:t xml:space="preserve">However, the value fell by </w:t>
      </w:r>
      <w:r w:rsidR="007D37FC">
        <w:t xml:space="preserve">only </w:t>
      </w:r>
      <w:r w:rsidR="00C9177E">
        <w:t>1% to $20.1 million. The largest proportion was various agricultural wastes at 5</w:t>
      </w:r>
      <w:r w:rsidR="008446E0">
        <w:t>3</w:t>
      </w:r>
      <w:r w:rsidR="00C9177E">
        <w:t xml:space="preserve">% followed by worn clothing and other textiles at </w:t>
      </w:r>
      <w:r w:rsidR="008446E0">
        <w:t>19</w:t>
      </w:r>
      <w:r w:rsidR="00C9177E">
        <w:t>%.</w:t>
      </w:r>
    </w:p>
    <w:p w14:paraId="63BCCEF8" w14:textId="20E04C3D" w:rsidR="00EF1770" w:rsidRDefault="003705B5" w:rsidP="004B2354">
      <w:pPr>
        <w:pStyle w:val="BodyText"/>
        <w:spacing w:before="60"/>
      </w:pPr>
      <w:r>
        <w:rPr>
          <w:i/>
          <w:color w:val="000099"/>
        </w:rPr>
        <w:lastRenderedPageBreak/>
        <w:t xml:space="preserve">Comparison with the </w:t>
      </w:r>
      <w:r w:rsidR="00192FBE" w:rsidRPr="00192FBE">
        <w:rPr>
          <w:i/>
          <w:color w:val="000099"/>
        </w:rPr>
        <w:t>201</w:t>
      </w:r>
      <w:r>
        <w:rPr>
          <w:i/>
          <w:color w:val="000099"/>
        </w:rPr>
        <w:t>8</w:t>
      </w:r>
      <w:r w:rsidR="00192FBE" w:rsidRPr="00192FBE">
        <w:rPr>
          <w:i/>
          <w:color w:val="000099"/>
        </w:rPr>
        <w:t>-1</w:t>
      </w:r>
      <w:r>
        <w:rPr>
          <w:i/>
          <w:color w:val="000099"/>
        </w:rPr>
        <w:t>9</w:t>
      </w:r>
      <w:r w:rsidR="00192FBE" w:rsidRPr="00192FBE">
        <w:rPr>
          <w:i/>
          <w:color w:val="000099"/>
        </w:rPr>
        <w:t xml:space="preserve"> monthly average –</w:t>
      </w:r>
      <w:r w:rsidR="00823D18">
        <w:rPr>
          <w:i/>
          <w:color w:val="000099"/>
        </w:rPr>
        <w:t xml:space="preserve"> </w:t>
      </w:r>
      <w:r w:rsidR="008446E0" w:rsidRPr="007D37FC">
        <w:rPr>
          <w:iCs/>
        </w:rPr>
        <w:t>December e</w:t>
      </w:r>
      <w:r w:rsidR="009524F9">
        <w:t xml:space="preserve">xports of </w:t>
      </w:r>
      <w:r w:rsidR="00823D18">
        <w:t>paper and card</w:t>
      </w:r>
      <w:r w:rsidR="008A1D9F">
        <w:t>board</w:t>
      </w:r>
      <w:r w:rsidR="00823D18">
        <w:t xml:space="preserve"> and metals were higher than the</w:t>
      </w:r>
      <w:r w:rsidR="008446E0">
        <w:t>ir 2018-19</w:t>
      </w:r>
      <w:r w:rsidR="00823D18">
        <w:t xml:space="preserve"> monthly averag</w:t>
      </w:r>
      <w:r w:rsidR="004C75E0">
        <w:t>e</w:t>
      </w:r>
      <w:r w:rsidR="008446E0">
        <w:t>;</w:t>
      </w:r>
      <w:r w:rsidR="004C75E0">
        <w:t xml:space="preserve"> all others were lower. However, o</w:t>
      </w:r>
      <w:r w:rsidR="00192FBE" w:rsidRPr="00CC6832">
        <w:t xml:space="preserve">verall, exports of waste </w:t>
      </w:r>
      <w:r w:rsidR="007324B7">
        <w:t xml:space="preserve">in </w:t>
      </w:r>
      <w:r w:rsidR="004C75E0">
        <w:t>Dec</w:t>
      </w:r>
      <w:r w:rsidR="00AC3DB7">
        <w:t xml:space="preserve">ember </w:t>
      </w:r>
      <w:r w:rsidR="007324B7">
        <w:t>2019</w:t>
      </w:r>
      <w:r w:rsidR="007324B7" w:rsidRPr="00CC6832">
        <w:t xml:space="preserve"> </w:t>
      </w:r>
      <w:r w:rsidR="003A6C54" w:rsidRPr="00CC6832">
        <w:t>were</w:t>
      </w:r>
      <w:r w:rsidR="00762252">
        <w:t xml:space="preserve"> </w:t>
      </w:r>
      <w:r w:rsidR="00AC3DB7">
        <w:t>higher</w:t>
      </w:r>
      <w:r w:rsidR="001B7EA7">
        <w:t xml:space="preserve"> </w:t>
      </w:r>
      <w:r w:rsidR="00DC62FF">
        <w:t xml:space="preserve">than </w:t>
      </w:r>
      <w:r w:rsidR="003A6C54" w:rsidRPr="00CC6832">
        <w:t xml:space="preserve">the monthly average for </w:t>
      </w:r>
      <w:r w:rsidR="00BE4154">
        <w:t>2018-19</w:t>
      </w:r>
      <w:r w:rsidR="004C75E0">
        <w:t xml:space="preserve"> due to the significantly higher amount of metals</w:t>
      </w:r>
      <w:r w:rsidR="00192FBE">
        <w:t>.</w:t>
      </w:r>
      <w:r w:rsidR="004C75E0">
        <w:t xml:space="preserve"> Similarly, two waste types</w:t>
      </w:r>
      <w:r w:rsidR="008446E0">
        <w:t xml:space="preserve"> had a reported</w:t>
      </w:r>
      <w:r w:rsidR="004C75E0">
        <w:t xml:space="preserve"> value higher than the </w:t>
      </w:r>
      <w:r w:rsidR="008446E0">
        <w:t xml:space="preserve">2018-19 </w:t>
      </w:r>
      <w:r w:rsidR="004C75E0">
        <w:t>average, metals and hazardous, with all others being lower. However, the significant proportion of metals in the total waste stream saw a small increase in value of export</w:t>
      </w:r>
      <w:r w:rsidR="008446E0">
        <w:t>ed</w:t>
      </w:r>
      <w:r w:rsidR="004C75E0">
        <w:t xml:space="preserve"> wastes</w:t>
      </w:r>
      <w:r w:rsidR="008446E0">
        <w:t xml:space="preserve"> and waste-derived products</w:t>
      </w:r>
      <w:r w:rsidR="004C75E0">
        <w:t xml:space="preserve">. </w:t>
      </w:r>
    </w:p>
    <w:p w14:paraId="225A0E8A" w14:textId="77777777" w:rsidR="00EF1770" w:rsidRDefault="00EF1770" w:rsidP="004B2354">
      <w:pPr>
        <w:pStyle w:val="BodyText"/>
        <w:spacing w:before="60"/>
      </w:pPr>
    </w:p>
    <w:p w14:paraId="07405755" w14:textId="77777777" w:rsidR="00EC6280" w:rsidRDefault="00EC6280" w:rsidP="00985CC9">
      <w:pPr>
        <w:pStyle w:val="BodyText"/>
        <w:sectPr w:rsidR="00EC6280" w:rsidSect="00EC62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077" w:bottom="1134" w:left="1797" w:header="709" w:footer="454" w:gutter="0"/>
          <w:cols w:space="708"/>
          <w:docGrid w:linePitch="360"/>
        </w:sectPr>
      </w:pPr>
    </w:p>
    <w:tbl>
      <w:tblPr>
        <w:tblStyle w:val="TableGridLight"/>
        <w:tblW w:w="938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6400"/>
      </w:tblGrid>
      <w:tr w:rsidR="008F4C02" w14:paraId="4E4814B2" w14:textId="77777777" w:rsidTr="00CF0CED">
        <w:tc>
          <w:tcPr>
            <w:tcW w:w="2980" w:type="dxa"/>
            <w:vMerge w:val="restart"/>
          </w:tcPr>
          <w:p w14:paraId="4F699C61" w14:textId="50A0414E" w:rsidR="002B1C11" w:rsidRDefault="002B1C11" w:rsidP="002B1C11">
            <w:pPr>
              <w:pStyle w:val="BodyText"/>
            </w:pPr>
            <w:r>
              <w:fldChar w:fldCharType="begin"/>
            </w:r>
            <w:r>
              <w:instrText xml:space="preserve"> REF _Ref25938868 \h </w:instrText>
            </w:r>
            <w:r w:rsidR="004B27C7">
              <w:instrText xml:space="preserve"> \* MERGEFORMAT </w:instrText>
            </w:r>
            <w:r>
              <w:fldChar w:fldCharType="separate"/>
            </w:r>
            <w:r w:rsidR="005823AE" w:rsidRPr="009C2EA2">
              <w:t xml:space="preserve">Figure </w:t>
            </w:r>
            <w:r w:rsidR="005823AE">
              <w:rPr>
                <w:noProof/>
              </w:rPr>
              <w:t>2</w:t>
            </w:r>
            <w:r>
              <w:fldChar w:fldCharType="end"/>
            </w:r>
            <w:r>
              <w:t xml:space="preserve"> </w:t>
            </w:r>
            <w:r w:rsidRPr="00D80CED">
              <w:t xml:space="preserve">presents the monthly trend in exports of waste from Australia </w:t>
            </w:r>
            <w:r>
              <w:t xml:space="preserve">in tonnes </w:t>
            </w:r>
            <w:r w:rsidRPr="00D80CED">
              <w:t xml:space="preserve">by material type between July 2017 and </w:t>
            </w:r>
            <w:r w:rsidR="00585A9B">
              <w:t>Dec</w:t>
            </w:r>
            <w:r w:rsidR="00265249">
              <w:t xml:space="preserve">ember </w:t>
            </w:r>
            <w:r>
              <w:t>2019</w:t>
            </w:r>
            <w:r w:rsidRPr="00D80CED">
              <w:t>.</w:t>
            </w:r>
            <w:r>
              <w:t xml:space="preserve"> Scrap metal exports remain volatile. Exports of scrap paper and cardboard and tyres have remained fairly stable since January 2018. </w:t>
            </w:r>
            <w:r w:rsidR="00267775">
              <w:t>Exports of recovered plastics fell during early 2017-18</w:t>
            </w:r>
            <w:r w:rsidR="00DD51FD">
              <w:t xml:space="preserve"> then</w:t>
            </w:r>
            <w:r w:rsidR="00267775">
              <w:t xml:space="preserve"> recovered </w:t>
            </w:r>
            <w:r w:rsidR="00DD51FD">
              <w:t>to peak in early 2019</w:t>
            </w:r>
            <w:r w:rsidR="00585A9B">
              <w:t xml:space="preserve">, </w:t>
            </w:r>
            <w:r w:rsidR="00DD51FD">
              <w:t xml:space="preserve">before falling </w:t>
            </w:r>
            <w:r w:rsidR="00585A9B">
              <w:t>to a low in August. More recently exports are increasing and the trend continues into December.</w:t>
            </w:r>
            <w:r w:rsidR="00DD51FD">
              <w:t xml:space="preserve"> </w:t>
            </w:r>
          </w:p>
          <w:p w14:paraId="4D0CE74C" w14:textId="77777777" w:rsidR="002B1C11" w:rsidRDefault="002B1C11" w:rsidP="002B1C11">
            <w:pPr>
              <w:pStyle w:val="BodyText"/>
            </w:pPr>
          </w:p>
          <w:p w14:paraId="20760DA4" w14:textId="36A3DBFD" w:rsidR="0091002F" w:rsidRDefault="002B1C11" w:rsidP="00985CC9">
            <w:pPr>
              <w:pStyle w:val="BodyText"/>
            </w:pPr>
            <w:r>
              <w:t xml:space="preserve">Figure 3 presents monthly trends in the </w:t>
            </w:r>
            <w:r w:rsidR="0091002F">
              <w:t xml:space="preserve">average </w:t>
            </w:r>
            <w:r>
              <w:t xml:space="preserve">unit prices of key waste exports between July 2017 and </w:t>
            </w:r>
            <w:r w:rsidR="00585A9B">
              <w:t>Dec</w:t>
            </w:r>
            <w:r w:rsidR="00265249">
              <w:t xml:space="preserve">ember </w:t>
            </w:r>
            <w:r>
              <w:t>2019. Over this timeframe</w:t>
            </w:r>
            <w:r w:rsidR="0091002F">
              <w:t xml:space="preserve"> prices for:</w:t>
            </w:r>
          </w:p>
          <w:p w14:paraId="101CBEA4" w14:textId="549B0408" w:rsidR="0091002F" w:rsidRDefault="002B1C11" w:rsidP="0091002F">
            <w:pPr>
              <w:pStyle w:val="Bullet1"/>
              <w:ind w:left="329" w:hanging="329"/>
            </w:pPr>
            <w:r>
              <w:t xml:space="preserve">metals </w:t>
            </w:r>
            <w:r w:rsidR="0091002F">
              <w:t>have been volatile but without clear trend</w:t>
            </w:r>
          </w:p>
          <w:p w14:paraId="5B520184" w14:textId="77777777" w:rsidR="0091002F" w:rsidRDefault="002B1C11" w:rsidP="0091002F">
            <w:pPr>
              <w:pStyle w:val="Bullet1"/>
              <w:ind w:left="329" w:hanging="329"/>
            </w:pPr>
            <w:r>
              <w:t xml:space="preserve">paper and cardboard have </w:t>
            </w:r>
            <w:r w:rsidR="0091002F">
              <w:t xml:space="preserve">been </w:t>
            </w:r>
            <w:r>
              <w:t>fairly stable</w:t>
            </w:r>
            <w:r w:rsidR="0091002F">
              <w:t xml:space="preserve"> but recently declining</w:t>
            </w:r>
          </w:p>
          <w:p w14:paraId="5285A13B" w14:textId="65224608" w:rsidR="0091002F" w:rsidRDefault="00A83CD5" w:rsidP="0091002F">
            <w:pPr>
              <w:pStyle w:val="Bullet1"/>
              <w:ind w:left="329" w:hanging="329"/>
            </w:pPr>
            <w:r>
              <w:t>glass</w:t>
            </w:r>
            <w:r w:rsidR="00EA3267">
              <w:t xml:space="preserve"> rose sharply in February 2019 but</w:t>
            </w:r>
            <w:r w:rsidR="0091002F">
              <w:t>,</w:t>
            </w:r>
            <w:r w:rsidR="00EA3267">
              <w:t xml:space="preserve"> overall</w:t>
            </w:r>
            <w:r w:rsidR="0091002F">
              <w:t>,</w:t>
            </w:r>
            <w:r w:rsidR="00EA3267">
              <w:t xml:space="preserve"> have </w:t>
            </w:r>
            <w:r>
              <w:t>been fairly</w:t>
            </w:r>
            <w:r w:rsidR="00EA3267">
              <w:t xml:space="preserve"> stable</w:t>
            </w:r>
          </w:p>
          <w:p w14:paraId="7B4FE5A9" w14:textId="784DF452" w:rsidR="002B1C11" w:rsidRDefault="0091002F" w:rsidP="0091002F">
            <w:pPr>
              <w:pStyle w:val="Bullet1"/>
              <w:ind w:left="329" w:hanging="329"/>
            </w:pPr>
            <w:r>
              <w:t xml:space="preserve">plastics have been </w:t>
            </w:r>
            <w:r w:rsidR="002B1C11">
              <w:t xml:space="preserve">driven mainly by the low-grade mixed materials </w:t>
            </w:r>
            <w:r>
              <w:t xml:space="preserve">that comprise </w:t>
            </w:r>
            <w:r w:rsidR="002B1C11">
              <w:t>most of the exported tonnes</w:t>
            </w:r>
            <w:r>
              <w:t xml:space="preserve"> – p</w:t>
            </w:r>
            <w:r w:rsidR="006104FE" w:rsidRPr="009C2EA2">
              <w:t>rices for this grade fell from an average of $263/t over 2017-18 to a low of $137/t in February 2019</w:t>
            </w:r>
            <w:r>
              <w:t>,</w:t>
            </w:r>
            <w:r w:rsidR="006104FE" w:rsidRPr="009C2EA2">
              <w:t xml:space="preserve"> </w:t>
            </w:r>
            <w:r w:rsidR="0064473D">
              <w:t>and stood at $</w:t>
            </w:r>
            <w:r w:rsidR="008446E0">
              <w:t>276</w:t>
            </w:r>
            <w:r w:rsidR="0064473D">
              <w:t xml:space="preserve">/t in </w:t>
            </w:r>
            <w:r w:rsidR="008F4C02">
              <w:t>Dec</w:t>
            </w:r>
            <w:r w:rsidR="00265249">
              <w:t xml:space="preserve">ember </w:t>
            </w:r>
            <w:r w:rsidR="006104FE">
              <w:t>2019</w:t>
            </w:r>
            <w:r w:rsidR="006104FE" w:rsidRPr="009C2EA2">
              <w:t>.</w:t>
            </w:r>
          </w:p>
        </w:tc>
        <w:tc>
          <w:tcPr>
            <w:tcW w:w="6400" w:type="dxa"/>
          </w:tcPr>
          <w:p w14:paraId="037C65F7" w14:textId="02E78DFE" w:rsidR="002B1C11" w:rsidRDefault="002B1C11" w:rsidP="002B1C11">
            <w:pPr>
              <w:pStyle w:val="Caption"/>
              <w:spacing w:before="0"/>
            </w:pPr>
            <w:bookmarkStart w:id="7" w:name="_Ref526509038"/>
            <w:bookmarkStart w:id="8" w:name="_Ref25938868"/>
            <w:r w:rsidRPr="009C2EA2">
              <w:t xml:space="preserve">Figure </w:t>
            </w:r>
            <w:r w:rsidRPr="009C2EA2">
              <w:rPr>
                <w:noProof/>
              </w:rPr>
              <w:fldChar w:fldCharType="begin"/>
            </w:r>
            <w:r w:rsidRPr="009C2EA2">
              <w:rPr>
                <w:noProof/>
              </w:rPr>
              <w:instrText xml:space="preserve"> SEQ Figure \* ARABIC </w:instrText>
            </w:r>
            <w:r w:rsidRPr="009C2EA2">
              <w:rPr>
                <w:noProof/>
              </w:rPr>
              <w:fldChar w:fldCharType="separate"/>
            </w:r>
            <w:r w:rsidR="005823AE">
              <w:rPr>
                <w:noProof/>
              </w:rPr>
              <w:t>2</w:t>
            </w:r>
            <w:r w:rsidRPr="009C2EA2">
              <w:rPr>
                <w:noProof/>
              </w:rPr>
              <w:fldChar w:fldCharType="end"/>
            </w:r>
            <w:bookmarkEnd w:id="7"/>
            <w:bookmarkEnd w:id="8"/>
            <w:r w:rsidRPr="009C2EA2">
              <w:tab/>
              <w:t>Monthly exports of waste-derived products and waste</w:t>
            </w:r>
            <w:r>
              <w:t>s</w:t>
            </w:r>
            <w:r w:rsidRPr="009C2EA2">
              <w:t xml:space="preserve"> from Australia by material type, July 2017 – </w:t>
            </w:r>
            <w:r w:rsidR="00585A9B">
              <w:t>Dec</w:t>
            </w:r>
            <w:r w:rsidR="00265249">
              <w:t>ember</w:t>
            </w:r>
            <w:r w:rsidR="00265249" w:rsidRPr="009C2EA2">
              <w:t xml:space="preserve"> </w:t>
            </w:r>
            <w:r w:rsidRPr="009C2EA2">
              <w:t>2019</w:t>
            </w:r>
          </w:p>
          <w:p w14:paraId="2A9EC0B5" w14:textId="2716E5B6" w:rsidR="002B1C11" w:rsidRDefault="00585A9B" w:rsidP="0064473D">
            <w:pPr>
              <w:pStyle w:val="BodyText"/>
              <w:jc w:val="right"/>
              <w:rPr>
                <w:noProof/>
              </w:rPr>
            </w:pPr>
            <w:r w:rsidRPr="00585A9B">
              <w:rPr>
                <w:noProof/>
                <w:lang w:eastAsia="en-AU"/>
              </w:rPr>
              <w:drawing>
                <wp:inline distT="0" distB="0" distL="0" distR="0" wp14:anchorId="3C31643D" wp14:editId="7938B786">
                  <wp:extent cx="3733800" cy="36266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3742" cy="3636266"/>
                          </a:xfrm>
                          <a:prstGeom prst="rect">
                            <a:avLst/>
                          </a:prstGeom>
                          <a:noFill/>
                          <a:ln>
                            <a:noFill/>
                          </a:ln>
                        </pic:spPr>
                      </pic:pic>
                    </a:graphicData>
                  </a:graphic>
                </wp:inline>
              </w:drawing>
            </w:r>
            <w:r w:rsidR="005A0ECD" w:rsidRPr="005A0ECD" w:rsidDel="009C0FDB">
              <w:rPr>
                <w:noProof/>
              </w:rPr>
              <w:t xml:space="preserve"> </w:t>
            </w:r>
          </w:p>
          <w:p w14:paraId="432A7144" w14:textId="70DB5D7F" w:rsidR="00267775" w:rsidRDefault="00267775" w:rsidP="0064473D">
            <w:pPr>
              <w:pStyle w:val="BodyText"/>
              <w:jc w:val="right"/>
            </w:pPr>
          </w:p>
        </w:tc>
      </w:tr>
      <w:tr w:rsidR="008F4C02" w14:paraId="1E37619D" w14:textId="77777777" w:rsidTr="00CF0CED">
        <w:trPr>
          <w:trHeight w:val="4535"/>
        </w:trPr>
        <w:tc>
          <w:tcPr>
            <w:tcW w:w="2980" w:type="dxa"/>
            <w:vMerge/>
          </w:tcPr>
          <w:p w14:paraId="3E4EC615" w14:textId="77777777" w:rsidR="002B1C11" w:rsidRDefault="002B1C11" w:rsidP="00985CC9">
            <w:pPr>
              <w:pStyle w:val="BodyText"/>
            </w:pPr>
          </w:p>
        </w:tc>
        <w:tc>
          <w:tcPr>
            <w:tcW w:w="6400" w:type="dxa"/>
          </w:tcPr>
          <w:p w14:paraId="4A18697F" w14:textId="44364F6F" w:rsidR="002B1C11" w:rsidRDefault="002B1C11" w:rsidP="0064473D">
            <w:pPr>
              <w:pStyle w:val="Caption"/>
              <w:spacing w:before="0"/>
            </w:pPr>
            <w:r>
              <w:t xml:space="preserve">Figure </w:t>
            </w:r>
            <w:r w:rsidR="00BF2F78">
              <w:rPr>
                <w:noProof/>
              </w:rPr>
              <w:fldChar w:fldCharType="begin"/>
            </w:r>
            <w:r w:rsidR="00BF2F78">
              <w:rPr>
                <w:noProof/>
              </w:rPr>
              <w:instrText xml:space="preserve"> SEQ Figure \* ARABIC </w:instrText>
            </w:r>
            <w:r w:rsidR="00BF2F78">
              <w:rPr>
                <w:noProof/>
              </w:rPr>
              <w:fldChar w:fldCharType="separate"/>
            </w:r>
            <w:r w:rsidR="005823AE">
              <w:rPr>
                <w:noProof/>
              </w:rPr>
              <w:t>3</w:t>
            </w:r>
            <w:r w:rsidR="00BF2F78">
              <w:rPr>
                <w:noProof/>
              </w:rPr>
              <w:fldChar w:fldCharType="end"/>
            </w:r>
            <w:r>
              <w:tab/>
              <w:t xml:space="preserve">Comparison of unit prices by material (in $/t), July 2017 – </w:t>
            </w:r>
            <w:r w:rsidR="00585A9B">
              <w:t>Dec</w:t>
            </w:r>
            <w:r w:rsidR="00265249">
              <w:t xml:space="preserve">ember </w:t>
            </w:r>
            <w:r>
              <w:t xml:space="preserve">2019 </w:t>
            </w:r>
          </w:p>
          <w:p w14:paraId="5E9602B8" w14:textId="5CEEBEF9" w:rsidR="008F4C02" w:rsidRPr="008F4C02" w:rsidRDefault="008F4C02" w:rsidP="008F4C02">
            <w:pPr>
              <w:pStyle w:val="BodyText"/>
            </w:pPr>
            <w:r w:rsidRPr="008F4C02">
              <w:rPr>
                <w:noProof/>
                <w:lang w:eastAsia="en-AU"/>
              </w:rPr>
              <w:drawing>
                <wp:inline distT="0" distB="0" distL="0" distR="0" wp14:anchorId="45086023" wp14:editId="5E0B8FC2">
                  <wp:extent cx="3778250" cy="23512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1201" cy="2365496"/>
                          </a:xfrm>
                          <a:prstGeom prst="rect">
                            <a:avLst/>
                          </a:prstGeom>
                          <a:noFill/>
                          <a:ln>
                            <a:noFill/>
                          </a:ln>
                        </pic:spPr>
                      </pic:pic>
                    </a:graphicData>
                  </a:graphic>
                </wp:inline>
              </w:drawing>
            </w:r>
          </w:p>
          <w:p w14:paraId="6F11F02A" w14:textId="7C96EB73" w:rsidR="004B27C7" w:rsidRDefault="00915F93" w:rsidP="00CF0CED">
            <w:pPr>
              <w:pStyle w:val="BodyText"/>
              <w:jc w:val="right"/>
            </w:pPr>
            <w:r w:rsidRPr="00915F93" w:rsidDel="00E3246B">
              <w:t xml:space="preserve"> </w:t>
            </w:r>
          </w:p>
        </w:tc>
      </w:tr>
    </w:tbl>
    <w:p w14:paraId="2167D2C5" w14:textId="77777777" w:rsidR="002B1C11" w:rsidRDefault="002B1C11" w:rsidP="002B1C11">
      <w:pPr>
        <w:pStyle w:val="BodyText"/>
        <w:sectPr w:rsidR="002B1C11" w:rsidSect="00EC6280">
          <w:type w:val="continuous"/>
          <w:pgSz w:w="11906" w:h="16838" w:code="9"/>
          <w:pgMar w:top="1440" w:right="1077" w:bottom="1134" w:left="1797" w:header="709" w:footer="454" w:gutter="0"/>
          <w:cols w:space="708"/>
          <w:docGrid w:linePitch="360"/>
        </w:sectPr>
      </w:pPr>
    </w:p>
    <w:p w14:paraId="37C6970C" w14:textId="44EE1B9F" w:rsidR="00CC06A4" w:rsidRDefault="00CC06A4" w:rsidP="0064473D">
      <w:pPr>
        <w:pStyle w:val="Heading3-nonumber"/>
      </w:pPr>
      <w:r>
        <w:lastRenderedPageBreak/>
        <w:t>COAG waste export ban</w:t>
      </w:r>
    </w:p>
    <w:p w14:paraId="63BA63A9" w14:textId="391B65C7" w:rsidR="00CC06A4" w:rsidRDefault="00EF1770" w:rsidP="00CC06A4">
      <w:pPr>
        <w:pStyle w:val="BodyText"/>
      </w:pPr>
      <w:r w:rsidRPr="00EF1770">
        <w:t xml:space="preserve">The November 2019 Meeting of Environment Ministers agreed to proceed with bans </w:t>
      </w:r>
      <w:r w:rsidR="006C08A5">
        <w:t>on</w:t>
      </w:r>
      <w:r w:rsidRPr="00EF1770">
        <w:t xml:space="preserve"> the export of waste glass, paper, plastics and tyres that have not been processed into a value-added material. The banned materials, ban dates and codes where they are known to be present are shown in </w:t>
      </w:r>
      <w:r w:rsidR="003B469B">
        <w:fldChar w:fldCharType="begin"/>
      </w:r>
      <w:r w:rsidR="003B469B">
        <w:instrText xml:space="preserve"> REF _Ref25932917 \h </w:instrText>
      </w:r>
      <w:r w:rsidR="003B469B">
        <w:fldChar w:fldCharType="separate"/>
      </w:r>
      <w:r w:rsidR="005823AE">
        <w:t xml:space="preserve">Table </w:t>
      </w:r>
      <w:r w:rsidR="005823AE">
        <w:rPr>
          <w:noProof/>
        </w:rPr>
        <w:t>3</w:t>
      </w:r>
      <w:r w:rsidR="003B469B">
        <w:fldChar w:fldCharType="end"/>
      </w:r>
      <w:r w:rsidR="003B469B">
        <w:t>.</w:t>
      </w:r>
      <w:r w:rsidR="00CC06A4">
        <w:t xml:space="preserve"> </w:t>
      </w:r>
      <w:r w:rsidR="005D3783">
        <w:t xml:space="preserve">Note this may not reflect the final ban design. </w:t>
      </w:r>
    </w:p>
    <w:p w14:paraId="008E47E7" w14:textId="6CC8B482" w:rsidR="00CC06A4" w:rsidRDefault="00CC06A4" w:rsidP="0064473D">
      <w:pPr>
        <w:pStyle w:val="Caption"/>
      </w:pPr>
      <w:bookmarkStart w:id="9" w:name="_Ref25932917"/>
      <w:r>
        <w:t xml:space="preserve">Table </w:t>
      </w:r>
      <w:r w:rsidR="00BF2F78">
        <w:rPr>
          <w:noProof/>
        </w:rPr>
        <w:fldChar w:fldCharType="begin"/>
      </w:r>
      <w:r w:rsidR="00BF2F78">
        <w:rPr>
          <w:noProof/>
        </w:rPr>
        <w:instrText xml:space="preserve"> SEQ Table \* ARABIC </w:instrText>
      </w:r>
      <w:r w:rsidR="00BF2F78">
        <w:rPr>
          <w:noProof/>
        </w:rPr>
        <w:fldChar w:fldCharType="separate"/>
      </w:r>
      <w:r w:rsidR="005823AE">
        <w:rPr>
          <w:noProof/>
        </w:rPr>
        <w:t>3</w:t>
      </w:r>
      <w:r w:rsidR="00BF2F78">
        <w:rPr>
          <w:noProof/>
        </w:rPr>
        <w:fldChar w:fldCharType="end"/>
      </w:r>
      <w:bookmarkEnd w:id="9"/>
      <w:r>
        <w:tab/>
        <w:t>Material types facing export bans</w:t>
      </w:r>
    </w:p>
    <w:tbl>
      <w:tblPr>
        <w:tblStyle w:val="BE-table1"/>
        <w:tblW w:w="9067" w:type="dxa"/>
        <w:tblCellMar>
          <w:top w:w="28" w:type="dxa"/>
          <w:bottom w:w="28" w:type="dxa"/>
        </w:tblCellMar>
        <w:tblLook w:val="04A0" w:firstRow="1" w:lastRow="0" w:firstColumn="1" w:lastColumn="0" w:noHBand="0" w:noVBand="1"/>
      </w:tblPr>
      <w:tblGrid>
        <w:gridCol w:w="1054"/>
        <w:gridCol w:w="642"/>
        <w:gridCol w:w="1027"/>
        <w:gridCol w:w="3509"/>
        <w:gridCol w:w="575"/>
        <w:gridCol w:w="985"/>
        <w:gridCol w:w="1275"/>
      </w:tblGrid>
      <w:tr w:rsidR="00EF1770" w14:paraId="5F07772B" w14:textId="77777777" w:rsidTr="00913C37">
        <w:trPr>
          <w:cnfStyle w:val="100000000000" w:firstRow="1" w:lastRow="0" w:firstColumn="0" w:lastColumn="0" w:oddVBand="0" w:evenVBand="0" w:oddHBand="0" w:evenHBand="0" w:firstRowFirstColumn="0" w:firstRowLastColumn="0" w:lastRowFirstColumn="0" w:lastRowLastColumn="0"/>
          <w:tblHeader/>
        </w:trPr>
        <w:tc>
          <w:tcPr>
            <w:tcW w:w="1054" w:type="dxa"/>
          </w:tcPr>
          <w:p w14:paraId="7EA85522" w14:textId="77777777" w:rsidR="00EF1770" w:rsidRDefault="00EF1770" w:rsidP="00913C37">
            <w:pPr>
              <w:pStyle w:val="BodyText"/>
            </w:pPr>
            <w:r>
              <w:t>Material</w:t>
            </w:r>
          </w:p>
        </w:tc>
        <w:tc>
          <w:tcPr>
            <w:tcW w:w="642" w:type="dxa"/>
          </w:tcPr>
          <w:p w14:paraId="1AD6F7FC" w14:textId="77777777" w:rsidR="00EF1770" w:rsidRDefault="00EF1770" w:rsidP="00913C37">
            <w:pPr>
              <w:pStyle w:val="BodyText"/>
            </w:pPr>
            <w:r>
              <w:t>Ban date</w:t>
            </w:r>
          </w:p>
        </w:tc>
        <w:tc>
          <w:tcPr>
            <w:tcW w:w="1027" w:type="dxa"/>
          </w:tcPr>
          <w:p w14:paraId="43F43120" w14:textId="77777777" w:rsidR="00EF1770" w:rsidRDefault="00EF1770" w:rsidP="00913C37">
            <w:pPr>
              <w:pStyle w:val="BodyText"/>
            </w:pPr>
            <w:r>
              <w:t>AHECC code</w:t>
            </w:r>
          </w:p>
        </w:tc>
        <w:tc>
          <w:tcPr>
            <w:tcW w:w="3509" w:type="dxa"/>
          </w:tcPr>
          <w:p w14:paraId="0A0D6368" w14:textId="77777777" w:rsidR="00EF1770" w:rsidRDefault="00EF1770" w:rsidP="00913C37">
            <w:pPr>
              <w:pStyle w:val="BodyText"/>
            </w:pPr>
            <w:r>
              <w:t>AHECC description</w:t>
            </w:r>
          </w:p>
        </w:tc>
        <w:tc>
          <w:tcPr>
            <w:tcW w:w="1560" w:type="dxa"/>
            <w:gridSpan w:val="2"/>
            <w:vAlign w:val="center"/>
          </w:tcPr>
          <w:p w14:paraId="3EAB4AE6" w14:textId="65A75D34" w:rsidR="00EF1770" w:rsidRDefault="00B07DF6" w:rsidP="00913C37">
            <w:pPr>
              <w:pStyle w:val="BodyText"/>
              <w:jc w:val="right"/>
            </w:pPr>
            <w:r>
              <w:t>Dec</w:t>
            </w:r>
            <w:r w:rsidR="00EF1770">
              <w:t>-19 exports in this code (tonnes)</w:t>
            </w:r>
          </w:p>
        </w:tc>
        <w:tc>
          <w:tcPr>
            <w:tcW w:w="1275" w:type="dxa"/>
          </w:tcPr>
          <w:p w14:paraId="4C652349" w14:textId="77777777" w:rsidR="00EF1770" w:rsidRDefault="00EF1770" w:rsidP="00913C37">
            <w:pPr>
              <w:pStyle w:val="BodyText"/>
              <w:jc w:val="right"/>
            </w:pPr>
            <w:r>
              <w:t>Estimated % of tonnes to be banned</w:t>
            </w:r>
          </w:p>
        </w:tc>
      </w:tr>
      <w:tr w:rsidR="002F026E" w14:paraId="0025506A" w14:textId="77777777" w:rsidTr="002F026E">
        <w:tc>
          <w:tcPr>
            <w:tcW w:w="1054" w:type="dxa"/>
            <w:vAlign w:val="center"/>
          </w:tcPr>
          <w:p w14:paraId="3C7389AF" w14:textId="77777777" w:rsidR="002F026E" w:rsidRDefault="002F026E" w:rsidP="002F026E">
            <w:pPr>
              <w:pStyle w:val="BodyText"/>
            </w:pPr>
            <w:r w:rsidRPr="00740C3B">
              <w:t>Glass</w:t>
            </w:r>
          </w:p>
        </w:tc>
        <w:tc>
          <w:tcPr>
            <w:tcW w:w="642" w:type="dxa"/>
            <w:vAlign w:val="center"/>
          </w:tcPr>
          <w:p w14:paraId="3775C8FB" w14:textId="77777777" w:rsidR="002F026E" w:rsidRPr="00740C3B" w:rsidRDefault="002F026E" w:rsidP="002F026E">
            <w:pPr>
              <w:pStyle w:val="BodyText"/>
            </w:pPr>
            <w:r>
              <w:t>Jul 2020</w:t>
            </w:r>
          </w:p>
        </w:tc>
        <w:tc>
          <w:tcPr>
            <w:tcW w:w="1027" w:type="dxa"/>
            <w:vAlign w:val="center"/>
          </w:tcPr>
          <w:p w14:paraId="3CAC06D2" w14:textId="77777777" w:rsidR="002F026E" w:rsidRDefault="002F026E" w:rsidP="002F026E">
            <w:pPr>
              <w:pStyle w:val="BodyText"/>
            </w:pPr>
            <w:r w:rsidRPr="00740C3B">
              <w:t>70010000</w:t>
            </w:r>
          </w:p>
        </w:tc>
        <w:tc>
          <w:tcPr>
            <w:tcW w:w="4084" w:type="dxa"/>
            <w:gridSpan w:val="2"/>
            <w:vAlign w:val="center"/>
          </w:tcPr>
          <w:p w14:paraId="2E8E84A0" w14:textId="77777777" w:rsidR="002F026E" w:rsidRDefault="002F026E" w:rsidP="002F026E">
            <w:pPr>
              <w:pStyle w:val="BodyText"/>
            </w:pPr>
            <w:r w:rsidRPr="00740C3B">
              <w:t>Cullet and other waste and scrap of glass; glass in the mass</w:t>
            </w:r>
          </w:p>
        </w:tc>
        <w:tc>
          <w:tcPr>
            <w:tcW w:w="985" w:type="dxa"/>
            <w:vAlign w:val="center"/>
          </w:tcPr>
          <w:p w14:paraId="2C82BBE7" w14:textId="77F9DC60" w:rsidR="002F026E" w:rsidRPr="002F026E" w:rsidRDefault="005B15C7" w:rsidP="002F026E">
            <w:pPr>
              <w:pStyle w:val="BodyText"/>
              <w:jc w:val="right"/>
              <w:rPr>
                <w:szCs w:val="20"/>
              </w:rPr>
            </w:pPr>
            <w:r>
              <w:rPr>
                <w:rFonts w:cs="Calibri"/>
                <w:color w:val="000000"/>
                <w:szCs w:val="20"/>
              </w:rPr>
              <w:t>360</w:t>
            </w:r>
          </w:p>
        </w:tc>
        <w:tc>
          <w:tcPr>
            <w:tcW w:w="1275" w:type="dxa"/>
            <w:vAlign w:val="center"/>
          </w:tcPr>
          <w:p w14:paraId="2E6F553A" w14:textId="77777777" w:rsidR="002F026E" w:rsidRDefault="002F026E" w:rsidP="002F026E">
            <w:pPr>
              <w:pStyle w:val="BodyText"/>
              <w:jc w:val="right"/>
            </w:pPr>
            <w:r w:rsidRPr="00740C3B">
              <w:t>100%</w:t>
            </w:r>
          </w:p>
        </w:tc>
      </w:tr>
      <w:tr w:rsidR="002F026E" w14:paraId="0BF78E97" w14:textId="77777777" w:rsidTr="002F026E">
        <w:tc>
          <w:tcPr>
            <w:tcW w:w="1054" w:type="dxa"/>
            <w:vMerge w:val="restart"/>
            <w:vAlign w:val="center"/>
          </w:tcPr>
          <w:p w14:paraId="328AAAC8" w14:textId="77777777" w:rsidR="002F026E" w:rsidRDefault="002F026E" w:rsidP="002F026E">
            <w:pPr>
              <w:pStyle w:val="BodyText"/>
            </w:pPr>
            <w:r w:rsidRPr="00740C3B">
              <w:t xml:space="preserve">Paper </w:t>
            </w:r>
            <w:r>
              <w:t>and</w:t>
            </w:r>
            <w:r w:rsidRPr="00740C3B">
              <w:t xml:space="preserve"> cardboard</w:t>
            </w:r>
          </w:p>
        </w:tc>
        <w:tc>
          <w:tcPr>
            <w:tcW w:w="642" w:type="dxa"/>
            <w:vMerge w:val="restart"/>
            <w:vAlign w:val="center"/>
          </w:tcPr>
          <w:p w14:paraId="0CC67DF2" w14:textId="77777777" w:rsidR="002F026E" w:rsidRPr="00740C3B" w:rsidRDefault="002F026E" w:rsidP="002F026E">
            <w:pPr>
              <w:pStyle w:val="BodyText"/>
            </w:pPr>
            <w:r>
              <w:t>Jul 2022</w:t>
            </w:r>
          </w:p>
        </w:tc>
        <w:tc>
          <w:tcPr>
            <w:tcW w:w="1027" w:type="dxa"/>
            <w:vAlign w:val="center"/>
          </w:tcPr>
          <w:p w14:paraId="35DA731F" w14:textId="77777777" w:rsidR="002F026E" w:rsidRDefault="002F026E" w:rsidP="002F026E">
            <w:pPr>
              <w:pStyle w:val="BodyText"/>
            </w:pPr>
            <w:r w:rsidRPr="00740C3B">
              <w:t>47071000</w:t>
            </w:r>
          </w:p>
        </w:tc>
        <w:tc>
          <w:tcPr>
            <w:tcW w:w="4084" w:type="dxa"/>
            <w:gridSpan w:val="2"/>
            <w:vAlign w:val="center"/>
          </w:tcPr>
          <w:p w14:paraId="187F4DAC" w14:textId="77777777" w:rsidR="002F026E" w:rsidRDefault="002F026E" w:rsidP="002F026E">
            <w:pPr>
              <w:pStyle w:val="BodyText"/>
            </w:pPr>
            <w:r w:rsidRPr="00740C3B">
              <w:t>Recovered (waste and scrap), unbleached, kraft paper or paperboard or corrugated paper or paperboard</w:t>
            </w:r>
          </w:p>
        </w:tc>
        <w:tc>
          <w:tcPr>
            <w:tcW w:w="985" w:type="dxa"/>
            <w:vAlign w:val="center"/>
          </w:tcPr>
          <w:p w14:paraId="66D3780E" w14:textId="4FAB2DEA" w:rsidR="002F026E" w:rsidRPr="002F026E" w:rsidRDefault="002F026E" w:rsidP="002F026E">
            <w:pPr>
              <w:pStyle w:val="BodyText"/>
              <w:jc w:val="right"/>
              <w:rPr>
                <w:szCs w:val="20"/>
              </w:rPr>
            </w:pPr>
            <w:r w:rsidRPr="002F026E">
              <w:rPr>
                <w:rFonts w:cs="Calibri"/>
                <w:color w:val="000000"/>
                <w:szCs w:val="20"/>
              </w:rPr>
              <w:t>4</w:t>
            </w:r>
            <w:r w:rsidR="005B15C7">
              <w:rPr>
                <w:rFonts w:cs="Calibri"/>
                <w:color w:val="000000"/>
                <w:szCs w:val="20"/>
              </w:rPr>
              <w:t>6</w:t>
            </w:r>
            <w:r w:rsidRPr="002F026E">
              <w:rPr>
                <w:rFonts w:cs="Calibri"/>
                <w:color w:val="000000"/>
                <w:szCs w:val="20"/>
              </w:rPr>
              <w:t>,000</w:t>
            </w:r>
          </w:p>
        </w:tc>
        <w:tc>
          <w:tcPr>
            <w:tcW w:w="1275" w:type="dxa"/>
            <w:vMerge w:val="restart"/>
            <w:vAlign w:val="center"/>
          </w:tcPr>
          <w:p w14:paraId="59B1903E" w14:textId="77777777" w:rsidR="002F026E" w:rsidRDefault="002F026E" w:rsidP="002F026E">
            <w:pPr>
              <w:pStyle w:val="BodyText"/>
              <w:jc w:val="right"/>
            </w:pPr>
            <w:r w:rsidRPr="00740C3B">
              <w:t>100%</w:t>
            </w:r>
          </w:p>
        </w:tc>
      </w:tr>
      <w:tr w:rsidR="002F026E" w14:paraId="6513D71E" w14:textId="77777777" w:rsidTr="002F026E">
        <w:tc>
          <w:tcPr>
            <w:tcW w:w="1054" w:type="dxa"/>
            <w:vMerge/>
            <w:vAlign w:val="center"/>
          </w:tcPr>
          <w:p w14:paraId="3325F832" w14:textId="77777777" w:rsidR="002F026E" w:rsidRPr="00740C3B" w:rsidRDefault="002F026E" w:rsidP="002F026E">
            <w:pPr>
              <w:pStyle w:val="BodyText"/>
            </w:pPr>
          </w:p>
        </w:tc>
        <w:tc>
          <w:tcPr>
            <w:tcW w:w="642" w:type="dxa"/>
            <w:vMerge/>
            <w:vAlign w:val="center"/>
          </w:tcPr>
          <w:p w14:paraId="52AF58A0" w14:textId="77777777" w:rsidR="002F026E" w:rsidRDefault="002F026E" w:rsidP="002F026E">
            <w:pPr>
              <w:pStyle w:val="BodyText"/>
            </w:pPr>
          </w:p>
        </w:tc>
        <w:tc>
          <w:tcPr>
            <w:tcW w:w="1027" w:type="dxa"/>
            <w:vAlign w:val="center"/>
          </w:tcPr>
          <w:p w14:paraId="2BE7D063" w14:textId="77777777" w:rsidR="002F026E" w:rsidRPr="00740C3B" w:rsidRDefault="002F026E" w:rsidP="002F026E">
            <w:pPr>
              <w:pStyle w:val="BodyText"/>
            </w:pPr>
            <w:r w:rsidRPr="00740C3B">
              <w:t>47072000</w:t>
            </w:r>
          </w:p>
        </w:tc>
        <w:tc>
          <w:tcPr>
            <w:tcW w:w="4084" w:type="dxa"/>
            <w:gridSpan w:val="2"/>
            <w:vAlign w:val="center"/>
          </w:tcPr>
          <w:p w14:paraId="77322CC5" w14:textId="77777777" w:rsidR="002F026E" w:rsidRPr="00740C3B" w:rsidRDefault="002F026E" w:rsidP="002F026E">
            <w:pPr>
              <w:pStyle w:val="BodyText"/>
            </w:pPr>
            <w:r w:rsidRPr="00740C3B">
              <w:t>Recovered (waste and scrap) paper or paperboard, made mainly of bleached chemical pulp, not coloured in the mass</w:t>
            </w:r>
          </w:p>
        </w:tc>
        <w:tc>
          <w:tcPr>
            <w:tcW w:w="985" w:type="dxa"/>
            <w:vAlign w:val="center"/>
          </w:tcPr>
          <w:p w14:paraId="5AEC745B" w14:textId="696EE412" w:rsidR="002F026E" w:rsidRPr="002F026E" w:rsidRDefault="005B15C7" w:rsidP="002F026E">
            <w:pPr>
              <w:pStyle w:val="BodyText"/>
              <w:jc w:val="right"/>
              <w:rPr>
                <w:szCs w:val="20"/>
              </w:rPr>
            </w:pPr>
            <w:r>
              <w:rPr>
                <w:rFonts w:cs="Calibri"/>
                <w:color w:val="000000"/>
                <w:szCs w:val="20"/>
              </w:rPr>
              <w:t>410</w:t>
            </w:r>
          </w:p>
        </w:tc>
        <w:tc>
          <w:tcPr>
            <w:tcW w:w="1275" w:type="dxa"/>
            <w:vMerge/>
            <w:vAlign w:val="center"/>
          </w:tcPr>
          <w:p w14:paraId="3C38AB63" w14:textId="77777777" w:rsidR="002F026E" w:rsidRPr="00740C3B" w:rsidRDefault="002F026E" w:rsidP="002F026E">
            <w:pPr>
              <w:pStyle w:val="BodyText"/>
              <w:jc w:val="right"/>
            </w:pPr>
          </w:p>
        </w:tc>
      </w:tr>
      <w:tr w:rsidR="002F026E" w14:paraId="357A00F9" w14:textId="77777777" w:rsidTr="002F026E">
        <w:tc>
          <w:tcPr>
            <w:tcW w:w="1054" w:type="dxa"/>
            <w:vMerge/>
            <w:vAlign w:val="center"/>
          </w:tcPr>
          <w:p w14:paraId="45309827" w14:textId="77777777" w:rsidR="002F026E" w:rsidRDefault="002F026E" w:rsidP="002F026E">
            <w:pPr>
              <w:pStyle w:val="BodyText"/>
            </w:pPr>
          </w:p>
        </w:tc>
        <w:tc>
          <w:tcPr>
            <w:tcW w:w="642" w:type="dxa"/>
            <w:vMerge/>
            <w:vAlign w:val="center"/>
          </w:tcPr>
          <w:p w14:paraId="7449EC7A" w14:textId="77777777" w:rsidR="002F026E" w:rsidRPr="00740C3B" w:rsidRDefault="002F026E" w:rsidP="002F026E">
            <w:pPr>
              <w:pStyle w:val="BodyText"/>
            </w:pPr>
          </w:p>
        </w:tc>
        <w:tc>
          <w:tcPr>
            <w:tcW w:w="1027" w:type="dxa"/>
            <w:vAlign w:val="center"/>
          </w:tcPr>
          <w:p w14:paraId="5301FC21" w14:textId="77777777" w:rsidR="002F026E" w:rsidRDefault="002F026E" w:rsidP="002F026E">
            <w:pPr>
              <w:pStyle w:val="BodyText"/>
            </w:pPr>
            <w:r w:rsidRPr="00740C3B">
              <w:t>47073000</w:t>
            </w:r>
          </w:p>
        </w:tc>
        <w:tc>
          <w:tcPr>
            <w:tcW w:w="4084" w:type="dxa"/>
            <w:gridSpan w:val="2"/>
            <w:vAlign w:val="center"/>
          </w:tcPr>
          <w:p w14:paraId="0E3268EA" w14:textId="33DCDCA2" w:rsidR="002F026E" w:rsidRDefault="002F026E" w:rsidP="002F026E">
            <w:pPr>
              <w:pStyle w:val="BodyText"/>
            </w:pPr>
            <w:r w:rsidRPr="00740C3B">
              <w:t>Recovered (waste and scrap) paper or paperboard, made mainly of mechanical pulp (</w:t>
            </w:r>
            <w:r>
              <w:t>e.g.</w:t>
            </w:r>
            <w:r w:rsidRPr="00740C3B">
              <w:t xml:space="preserve"> newspapers, journals and similar)</w:t>
            </w:r>
          </w:p>
        </w:tc>
        <w:tc>
          <w:tcPr>
            <w:tcW w:w="985" w:type="dxa"/>
            <w:vAlign w:val="center"/>
          </w:tcPr>
          <w:p w14:paraId="3EEF9434" w14:textId="102F5350" w:rsidR="002F026E" w:rsidRPr="002F026E" w:rsidRDefault="005B15C7" w:rsidP="002F026E">
            <w:pPr>
              <w:pStyle w:val="BodyText"/>
              <w:jc w:val="right"/>
              <w:rPr>
                <w:szCs w:val="20"/>
              </w:rPr>
            </w:pPr>
            <w:r>
              <w:rPr>
                <w:rFonts w:cs="Calibri"/>
                <w:color w:val="000000"/>
                <w:szCs w:val="20"/>
              </w:rPr>
              <w:t>9,300</w:t>
            </w:r>
          </w:p>
        </w:tc>
        <w:tc>
          <w:tcPr>
            <w:tcW w:w="1275" w:type="dxa"/>
            <w:vMerge/>
            <w:vAlign w:val="center"/>
          </w:tcPr>
          <w:p w14:paraId="08155567" w14:textId="77777777" w:rsidR="002F026E" w:rsidRDefault="002F026E" w:rsidP="002F026E">
            <w:pPr>
              <w:pStyle w:val="BodyText"/>
              <w:jc w:val="right"/>
            </w:pPr>
          </w:p>
        </w:tc>
      </w:tr>
      <w:tr w:rsidR="002F026E" w14:paraId="178F2265" w14:textId="77777777" w:rsidTr="002F026E">
        <w:tc>
          <w:tcPr>
            <w:tcW w:w="1054" w:type="dxa"/>
            <w:vMerge/>
            <w:vAlign w:val="center"/>
          </w:tcPr>
          <w:p w14:paraId="24841EE9" w14:textId="77777777" w:rsidR="002F026E" w:rsidRDefault="002F026E" w:rsidP="002F026E">
            <w:pPr>
              <w:pStyle w:val="BodyText"/>
            </w:pPr>
          </w:p>
        </w:tc>
        <w:tc>
          <w:tcPr>
            <w:tcW w:w="642" w:type="dxa"/>
            <w:vMerge/>
            <w:vAlign w:val="center"/>
          </w:tcPr>
          <w:p w14:paraId="7BA28AEF" w14:textId="77777777" w:rsidR="002F026E" w:rsidRPr="00740C3B" w:rsidRDefault="002F026E" w:rsidP="002F026E">
            <w:pPr>
              <w:pStyle w:val="BodyText"/>
            </w:pPr>
          </w:p>
        </w:tc>
        <w:tc>
          <w:tcPr>
            <w:tcW w:w="1027" w:type="dxa"/>
            <w:vAlign w:val="center"/>
          </w:tcPr>
          <w:p w14:paraId="25B8FF2B" w14:textId="77777777" w:rsidR="002F026E" w:rsidRDefault="002F026E" w:rsidP="002F026E">
            <w:pPr>
              <w:pStyle w:val="BodyText"/>
            </w:pPr>
            <w:r w:rsidRPr="00740C3B">
              <w:t>47079000</w:t>
            </w:r>
          </w:p>
        </w:tc>
        <w:tc>
          <w:tcPr>
            <w:tcW w:w="4084" w:type="dxa"/>
            <w:gridSpan w:val="2"/>
            <w:vAlign w:val="center"/>
          </w:tcPr>
          <w:p w14:paraId="4521D057" w14:textId="77777777" w:rsidR="002F026E" w:rsidRDefault="002F026E" w:rsidP="002F026E">
            <w:pPr>
              <w:pStyle w:val="BodyText"/>
            </w:pPr>
            <w:r w:rsidRPr="00740C3B">
              <w:t>Waste and scrap paper or paperboard (incl. unsorted waste &amp; scrap) (excl. unbleached kraft or corrugated (470710); that made mainly from bleached chemical pulp, not coloured in the mass; or made mainly of mechanical pulp)</w:t>
            </w:r>
          </w:p>
        </w:tc>
        <w:tc>
          <w:tcPr>
            <w:tcW w:w="985" w:type="dxa"/>
            <w:vAlign w:val="center"/>
          </w:tcPr>
          <w:p w14:paraId="3D426A87" w14:textId="321E1E7C" w:rsidR="002F026E" w:rsidRPr="002F026E" w:rsidRDefault="002F026E" w:rsidP="002F026E">
            <w:pPr>
              <w:pStyle w:val="BodyText"/>
              <w:jc w:val="right"/>
              <w:rPr>
                <w:szCs w:val="20"/>
              </w:rPr>
            </w:pPr>
            <w:r w:rsidRPr="002F026E">
              <w:rPr>
                <w:rFonts w:cs="Calibri"/>
                <w:color w:val="000000"/>
                <w:szCs w:val="20"/>
              </w:rPr>
              <w:t>4</w:t>
            </w:r>
            <w:r w:rsidR="005B15C7">
              <w:rPr>
                <w:rFonts w:cs="Calibri"/>
                <w:color w:val="000000"/>
                <w:szCs w:val="20"/>
              </w:rPr>
              <w:t>0</w:t>
            </w:r>
            <w:r w:rsidRPr="002F026E">
              <w:rPr>
                <w:rFonts w:cs="Calibri"/>
                <w:color w:val="000000"/>
                <w:szCs w:val="20"/>
              </w:rPr>
              <w:t>,000</w:t>
            </w:r>
          </w:p>
        </w:tc>
        <w:tc>
          <w:tcPr>
            <w:tcW w:w="1275" w:type="dxa"/>
            <w:vMerge/>
            <w:vAlign w:val="center"/>
          </w:tcPr>
          <w:p w14:paraId="37FD9D7A" w14:textId="77777777" w:rsidR="002F026E" w:rsidRDefault="002F026E" w:rsidP="002F026E">
            <w:pPr>
              <w:pStyle w:val="BodyText"/>
              <w:jc w:val="right"/>
            </w:pPr>
          </w:p>
        </w:tc>
      </w:tr>
      <w:tr w:rsidR="002F026E" w14:paraId="4E5656C4" w14:textId="77777777" w:rsidTr="002F026E">
        <w:tc>
          <w:tcPr>
            <w:tcW w:w="1054" w:type="dxa"/>
            <w:vMerge w:val="restart"/>
            <w:vAlign w:val="center"/>
          </w:tcPr>
          <w:p w14:paraId="692744B2" w14:textId="77777777" w:rsidR="002F026E" w:rsidRDefault="002F026E" w:rsidP="002F026E">
            <w:pPr>
              <w:pStyle w:val="BodyText"/>
            </w:pPr>
            <w:r>
              <w:t>Plastics</w:t>
            </w:r>
          </w:p>
        </w:tc>
        <w:tc>
          <w:tcPr>
            <w:tcW w:w="642" w:type="dxa"/>
            <w:vMerge w:val="restart"/>
            <w:vAlign w:val="center"/>
          </w:tcPr>
          <w:p w14:paraId="22834FDC" w14:textId="77777777" w:rsidR="002F026E" w:rsidRPr="00740C3B" w:rsidRDefault="002F026E" w:rsidP="002F026E">
            <w:pPr>
              <w:pStyle w:val="BodyText"/>
            </w:pPr>
            <w:r>
              <w:t>Jul 2022</w:t>
            </w:r>
          </w:p>
        </w:tc>
        <w:tc>
          <w:tcPr>
            <w:tcW w:w="1027" w:type="dxa"/>
            <w:vAlign w:val="center"/>
          </w:tcPr>
          <w:p w14:paraId="229B73AE" w14:textId="77777777" w:rsidR="002F026E" w:rsidRDefault="002F026E" w:rsidP="002F026E">
            <w:pPr>
              <w:pStyle w:val="BodyText"/>
            </w:pPr>
            <w:r w:rsidRPr="00740C3B">
              <w:t>39151000</w:t>
            </w:r>
          </w:p>
        </w:tc>
        <w:tc>
          <w:tcPr>
            <w:tcW w:w="4084" w:type="dxa"/>
            <w:gridSpan w:val="2"/>
            <w:vAlign w:val="center"/>
          </w:tcPr>
          <w:p w14:paraId="40B19C00" w14:textId="77777777" w:rsidR="002F026E" w:rsidRDefault="002F026E" w:rsidP="002F026E">
            <w:pPr>
              <w:pStyle w:val="BodyText"/>
            </w:pPr>
            <w:r w:rsidRPr="00740C3B">
              <w:t>Waste, parings and scrap, of polymers of ethylene</w:t>
            </w:r>
          </w:p>
        </w:tc>
        <w:tc>
          <w:tcPr>
            <w:tcW w:w="985" w:type="dxa"/>
            <w:vAlign w:val="center"/>
          </w:tcPr>
          <w:p w14:paraId="78BA71E8" w14:textId="3087A63E" w:rsidR="002F026E" w:rsidRPr="002F026E" w:rsidRDefault="005B15C7" w:rsidP="002F026E">
            <w:pPr>
              <w:pStyle w:val="BodyText"/>
              <w:jc w:val="right"/>
              <w:rPr>
                <w:szCs w:val="20"/>
              </w:rPr>
            </w:pPr>
            <w:r>
              <w:rPr>
                <w:rFonts w:cs="Calibri"/>
                <w:color w:val="000000"/>
                <w:szCs w:val="20"/>
              </w:rPr>
              <w:t>4,900</w:t>
            </w:r>
          </w:p>
        </w:tc>
        <w:tc>
          <w:tcPr>
            <w:tcW w:w="1275" w:type="dxa"/>
            <w:vMerge w:val="restart"/>
            <w:vAlign w:val="center"/>
          </w:tcPr>
          <w:p w14:paraId="23B0BD2E" w14:textId="77777777" w:rsidR="002F026E" w:rsidRDefault="002F026E" w:rsidP="002F026E">
            <w:pPr>
              <w:pStyle w:val="BodyText"/>
              <w:jc w:val="right"/>
            </w:pPr>
            <w:r w:rsidRPr="00740C3B">
              <w:t>100%</w:t>
            </w:r>
          </w:p>
        </w:tc>
      </w:tr>
      <w:tr w:rsidR="002F026E" w14:paraId="0D0D29F6" w14:textId="77777777" w:rsidTr="002F026E">
        <w:tc>
          <w:tcPr>
            <w:tcW w:w="1054" w:type="dxa"/>
            <w:vMerge/>
            <w:vAlign w:val="center"/>
          </w:tcPr>
          <w:p w14:paraId="614B7ADD" w14:textId="77777777" w:rsidR="002F026E" w:rsidRDefault="002F026E" w:rsidP="002F026E">
            <w:pPr>
              <w:pStyle w:val="BodyText"/>
            </w:pPr>
          </w:p>
        </w:tc>
        <w:tc>
          <w:tcPr>
            <w:tcW w:w="642" w:type="dxa"/>
            <w:vMerge/>
            <w:vAlign w:val="center"/>
          </w:tcPr>
          <w:p w14:paraId="27B54C13" w14:textId="77777777" w:rsidR="002F026E" w:rsidRPr="00740C3B" w:rsidRDefault="002F026E" w:rsidP="002F026E">
            <w:pPr>
              <w:pStyle w:val="BodyText"/>
            </w:pPr>
          </w:p>
        </w:tc>
        <w:tc>
          <w:tcPr>
            <w:tcW w:w="1027" w:type="dxa"/>
            <w:vAlign w:val="center"/>
          </w:tcPr>
          <w:p w14:paraId="71343BEF" w14:textId="77777777" w:rsidR="002F026E" w:rsidRDefault="002F026E" w:rsidP="002F026E">
            <w:pPr>
              <w:pStyle w:val="BodyText"/>
            </w:pPr>
            <w:r w:rsidRPr="00740C3B">
              <w:t>39152000</w:t>
            </w:r>
          </w:p>
        </w:tc>
        <w:tc>
          <w:tcPr>
            <w:tcW w:w="4084" w:type="dxa"/>
            <w:gridSpan w:val="2"/>
            <w:vAlign w:val="center"/>
          </w:tcPr>
          <w:p w14:paraId="7BEC2127" w14:textId="77777777" w:rsidR="002F026E" w:rsidRDefault="002F026E" w:rsidP="002F026E">
            <w:pPr>
              <w:pStyle w:val="BodyText"/>
            </w:pPr>
            <w:r w:rsidRPr="00740C3B">
              <w:t>Waste, parings and scrap, of polymers of styrene</w:t>
            </w:r>
          </w:p>
        </w:tc>
        <w:tc>
          <w:tcPr>
            <w:tcW w:w="985" w:type="dxa"/>
            <w:vAlign w:val="center"/>
          </w:tcPr>
          <w:p w14:paraId="2CC0D393" w14:textId="0C1C8462" w:rsidR="002F026E" w:rsidRPr="002F026E" w:rsidRDefault="005B15C7" w:rsidP="002F026E">
            <w:pPr>
              <w:pStyle w:val="BodyText"/>
              <w:jc w:val="right"/>
              <w:rPr>
                <w:szCs w:val="20"/>
              </w:rPr>
            </w:pPr>
            <w:r>
              <w:rPr>
                <w:rFonts w:cs="Calibri"/>
                <w:color w:val="000000"/>
                <w:szCs w:val="20"/>
              </w:rPr>
              <w:t>69</w:t>
            </w:r>
          </w:p>
        </w:tc>
        <w:tc>
          <w:tcPr>
            <w:tcW w:w="1275" w:type="dxa"/>
            <w:vMerge/>
            <w:vAlign w:val="center"/>
          </w:tcPr>
          <w:p w14:paraId="7C81725C" w14:textId="77777777" w:rsidR="002F026E" w:rsidRDefault="002F026E" w:rsidP="002F026E">
            <w:pPr>
              <w:pStyle w:val="BodyText"/>
              <w:jc w:val="right"/>
            </w:pPr>
          </w:p>
        </w:tc>
      </w:tr>
      <w:tr w:rsidR="002F026E" w14:paraId="123726EA" w14:textId="77777777" w:rsidTr="002F026E">
        <w:tc>
          <w:tcPr>
            <w:tcW w:w="1054" w:type="dxa"/>
            <w:vMerge/>
            <w:vAlign w:val="center"/>
          </w:tcPr>
          <w:p w14:paraId="4D0F83A1" w14:textId="77777777" w:rsidR="002F026E" w:rsidRDefault="002F026E" w:rsidP="002F026E">
            <w:pPr>
              <w:pStyle w:val="BodyText"/>
            </w:pPr>
          </w:p>
        </w:tc>
        <w:tc>
          <w:tcPr>
            <w:tcW w:w="642" w:type="dxa"/>
            <w:vMerge/>
            <w:vAlign w:val="center"/>
          </w:tcPr>
          <w:p w14:paraId="67399958" w14:textId="77777777" w:rsidR="002F026E" w:rsidRPr="00740C3B" w:rsidRDefault="002F026E" w:rsidP="002F026E">
            <w:pPr>
              <w:pStyle w:val="BodyText"/>
            </w:pPr>
          </w:p>
        </w:tc>
        <w:tc>
          <w:tcPr>
            <w:tcW w:w="1027" w:type="dxa"/>
            <w:vAlign w:val="center"/>
          </w:tcPr>
          <w:p w14:paraId="27BCA75A" w14:textId="77777777" w:rsidR="002F026E" w:rsidRDefault="002F026E" w:rsidP="002F026E">
            <w:pPr>
              <w:pStyle w:val="BodyText"/>
            </w:pPr>
            <w:r w:rsidRPr="00740C3B">
              <w:t>39153000</w:t>
            </w:r>
          </w:p>
        </w:tc>
        <w:tc>
          <w:tcPr>
            <w:tcW w:w="4084" w:type="dxa"/>
            <w:gridSpan w:val="2"/>
            <w:vAlign w:val="center"/>
          </w:tcPr>
          <w:p w14:paraId="0B6CEE22" w14:textId="77777777" w:rsidR="002F026E" w:rsidRDefault="002F026E" w:rsidP="002F026E">
            <w:pPr>
              <w:pStyle w:val="BodyText"/>
            </w:pPr>
            <w:r w:rsidRPr="00740C3B">
              <w:t>Waste, parings and scrap, of polymers of vinyl chloride</w:t>
            </w:r>
          </w:p>
        </w:tc>
        <w:tc>
          <w:tcPr>
            <w:tcW w:w="985" w:type="dxa"/>
            <w:vAlign w:val="center"/>
          </w:tcPr>
          <w:p w14:paraId="6CF837EF" w14:textId="14E7FB37" w:rsidR="002F026E" w:rsidRPr="002F026E" w:rsidRDefault="002F026E" w:rsidP="002F026E">
            <w:pPr>
              <w:pStyle w:val="BodyText"/>
              <w:jc w:val="right"/>
              <w:rPr>
                <w:szCs w:val="20"/>
              </w:rPr>
            </w:pPr>
            <w:r w:rsidRPr="002F026E">
              <w:rPr>
                <w:rFonts w:cs="Calibri"/>
                <w:color w:val="000000"/>
                <w:szCs w:val="20"/>
              </w:rPr>
              <w:t>0</w:t>
            </w:r>
          </w:p>
        </w:tc>
        <w:tc>
          <w:tcPr>
            <w:tcW w:w="1275" w:type="dxa"/>
            <w:vMerge/>
            <w:vAlign w:val="center"/>
          </w:tcPr>
          <w:p w14:paraId="0986C4C3" w14:textId="77777777" w:rsidR="002F026E" w:rsidRDefault="002F026E" w:rsidP="002F026E">
            <w:pPr>
              <w:pStyle w:val="BodyText"/>
              <w:jc w:val="right"/>
            </w:pPr>
          </w:p>
        </w:tc>
      </w:tr>
      <w:tr w:rsidR="002F026E" w14:paraId="4A524448" w14:textId="77777777" w:rsidTr="002F026E">
        <w:tc>
          <w:tcPr>
            <w:tcW w:w="1054" w:type="dxa"/>
            <w:vMerge/>
            <w:vAlign w:val="center"/>
          </w:tcPr>
          <w:p w14:paraId="68DC89B7" w14:textId="77777777" w:rsidR="002F026E" w:rsidRDefault="002F026E" w:rsidP="002F026E">
            <w:pPr>
              <w:pStyle w:val="BodyText"/>
            </w:pPr>
          </w:p>
        </w:tc>
        <w:tc>
          <w:tcPr>
            <w:tcW w:w="642" w:type="dxa"/>
            <w:vAlign w:val="center"/>
          </w:tcPr>
          <w:p w14:paraId="6F9C1FD9" w14:textId="77777777" w:rsidR="002F026E" w:rsidRPr="00740C3B" w:rsidRDefault="002F026E" w:rsidP="002F026E">
            <w:pPr>
              <w:pStyle w:val="BodyText"/>
            </w:pPr>
            <w:r>
              <w:t>Jul 2021</w:t>
            </w:r>
          </w:p>
        </w:tc>
        <w:tc>
          <w:tcPr>
            <w:tcW w:w="1027" w:type="dxa"/>
            <w:vAlign w:val="center"/>
          </w:tcPr>
          <w:p w14:paraId="537EB706" w14:textId="77777777" w:rsidR="002F026E" w:rsidRDefault="002F026E" w:rsidP="002F026E">
            <w:pPr>
              <w:pStyle w:val="BodyText"/>
            </w:pPr>
            <w:r w:rsidRPr="00740C3B">
              <w:t>39159092</w:t>
            </w:r>
          </w:p>
        </w:tc>
        <w:tc>
          <w:tcPr>
            <w:tcW w:w="4084" w:type="dxa"/>
            <w:gridSpan w:val="2"/>
            <w:vAlign w:val="center"/>
          </w:tcPr>
          <w:p w14:paraId="3F40504C" w14:textId="77777777" w:rsidR="002F026E" w:rsidRDefault="002F026E" w:rsidP="002F026E">
            <w:pPr>
              <w:pStyle w:val="BodyText"/>
            </w:pPr>
            <w:r w:rsidRPr="00740C3B">
              <w:t>Waste, parings and scrap, of plastics (excl. those of polymers of ethylene, styrene or vinyl chloride)</w:t>
            </w:r>
          </w:p>
        </w:tc>
        <w:tc>
          <w:tcPr>
            <w:tcW w:w="985" w:type="dxa"/>
            <w:vAlign w:val="center"/>
          </w:tcPr>
          <w:p w14:paraId="21555BC3" w14:textId="1019711D" w:rsidR="002F026E" w:rsidRPr="002F026E" w:rsidRDefault="005B15C7" w:rsidP="002F026E">
            <w:pPr>
              <w:pStyle w:val="BodyText"/>
              <w:jc w:val="right"/>
              <w:rPr>
                <w:szCs w:val="20"/>
              </w:rPr>
            </w:pPr>
            <w:r>
              <w:rPr>
                <w:rFonts w:cs="Calibri"/>
                <w:color w:val="000000"/>
                <w:szCs w:val="20"/>
              </w:rPr>
              <w:t>7</w:t>
            </w:r>
            <w:r w:rsidR="002F026E" w:rsidRPr="002F026E">
              <w:rPr>
                <w:rFonts w:cs="Calibri"/>
                <w:color w:val="000000"/>
                <w:szCs w:val="20"/>
              </w:rPr>
              <w:t>,100</w:t>
            </w:r>
          </w:p>
        </w:tc>
        <w:tc>
          <w:tcPr>
            <w:tcW w:w="1275" w:type="dxa"/>
            <w:vMerge/>
            <w:vAlign w:val="center"/>
          </w:tcPr>
          <w:p w14:paraId="62AE0DBF" w14:textId="77777777" w:rsidR="002F026E" w:rsidRDefault="002F026E" w:rsidP="002F026E">
            <w:pPr>
              <w:pStyle w:val="BodyText"/>
              <w:jc w:val="right"/>
            </w:pPr>
          </w:p>
        </w:tc>
      </w:tr>
      <w:tr w:rsidR="002F026E" w14:paraId="60F2DC80" w14:textId="77777777" w:rsidTr="002F026E">
        <w:tc>
          <w:tcPr>
            <w:tcW w:w="1054" w:type="dxa"/>
            <w:vMerge w:val="restart"/>
            <w:vAlign w:val="center"/>
          </w:tcPr>
          <w:p w14:paraId="51126D93" w14:textId="77777777" w:rsidR="002F026E" w:rsidRDefault="002F026E" w:rsidP="002F026E">
            <w:pPr>
              <w:pStyle w:val="BodyText"/>
            </w:pPr>
            <w:r w:rsidRPr="00740C3B">
              <w:t>Whole tyres</w:t>
            </w:r>
            <w:r>
              <w:t xml:space="preserve"> </w:t>
            </w:r>
          </w:p>
        </w:tc>
        <w:tc>
          <w:tcPr>
            <w:tcW w:w="642" w:type="dxa"/>
            <w:vMerge w:val="restart"/>
            <w:vAlign w:val="center"/>
          </w:tcPr>
          <w:p w14:paraId="4B027E10" w14:textId="77777777" w:rsidR="002F026E" w:rsidRPr="00740C3B" w:rsidRDefault="002F026E" w:rsidP="002F026E">
            <w:pPr>
              <w:pStyle w:val="BodyText"/>
            </w:pPr>
            <w:r>
              <w:t>Dec 2021</w:t>
            </w:r>
          </w:p>
        </w:tc>
        <w:tc>
          <w:tcPr>
            <w:tcW w:w="1027" w:type="dxa"/>
            <w:vAlign w:val="center"/>
          </w:tcPr>
          <w:p w14:paraId="39AB079A" w14:textId="77777777" w:rsidR="002F026E" w:rsidRDefault="002F026E" w:rsidP="002F026E">
            <w:pPr>
              <w:pStyle w:val="BodyText"/>
            </w:pPr>
            <w:r w:rsidRPr="00740C3B">
              <w:t>40040000</w:t>
            </w:r>
          </w:p>
        </w:tc>
        <w:tc>
          <w:tcPr>
            <w:tcW w:w="4084" w:type="dxa"/>
            <w:gridSpan w:val="2"/>
            <w:vAlign w:val="center"/>
          </w:tcPr>
          <w:p w14:paraId="714F65FA" w14:textId="77777777" w:rsidR="002F026E" w:rsidRDefault="002F026E" w:rsidP="002F026E">
            <w:pPr>
              <w:pStyle w:val="BodyText"/>
            </w:pPr>
            <w:r w:rsidRPr="00740C3B">
              <w:t>Waste, parings and scrap of rubber (excl. of hard rubber) and powders and granules obtained therefrom</w:t>
            </w:r>
          </w:p>
        </w:tc>
        <w:tc>
          <w:tcPr>
            <w:tcW w:w="985" w:type="dxa"/>
            <w:vAlign w:val="center"/>
          </w:tcPr>
          <w:p w14:paraId="0E080928" w14:textId="351106E2" w:rsidR="002F026E" w:rsidRPr="002F026E" w:rsidRDefault="002F026E" w:rsidP="002F026E">
            <w:pPr>
              <w:pStyle w:val="BodyText"/>
              <w:jc w:val="right"/>
              <w:rPr>
                <w:szCs w:val="20"/>
                <w:highlight w:val="yellow"/>
              </w:rPr>
            </w:pPr>
            <w:r w:rsidRPr="002F026E">
              <w:rPr>
                <w:rFonts w:cs="Calibri"/>
                <w:color w:val="000000"/>
                <w:szCs w:val="20"/>
              </w:rPr>
              <w:t>4,</w:t>
            </w:r>
            <w:r w:rsidR="005B15C7">
              <w:rPr>
                <w:rFonts w:cs="Calibri"/>
                <w:color w:val="000000"/>
                <w:szCs w:val="20"/>
              </w:rPr>
              <w:t>5</w:t>
            </w:r>
            <w:r w:rsidRPr="002F026E">
              <w:rPr>
                <w:rFonts w:cs="Calibri"/>
                <w:color w:val="000000"/>
                <w:szCs w:val="20"/>
              </w:rPr>
              <w:t>00</w:t>
            </w:r>
          </w:p>
        </w:tc>
        <w:tc>
          <w:tcPr>
            <w:tcW w:w="1275" w:type="dxa"/>
            <w:vAlign w:val="center"/>
          </w:tcPr>
          <w:p w14:paraId="6553F535" w14:textId="77777777" w:rsidR="002F026E" w:rsidRPr="00EF1770" w:rsidRDefault="002F026E" w:rsidP="002F026E">
            <w:pPr>
              <w:pStyle w:val="BodyText"/>
              <w:jc w:val="right"/>
            </w:pPr>
            <w:r w:rsidRPr="00EF1770">
              <w:t xml:space="preserve">44% </w:t>
            </w:r>
            <w:bookmarkStart w:id="10" w:name="_Ref26980296"/>
            <w:r w:rsidRPr="00EF1770">
              <w:rPr>
                <w:rStyle w:val="FootnoteReference"/>
              </w:rPr>
              <w:footnoteReference w:id="3"/>
            </w:r>
            <w:bookmarkEnd w:id="10"/>
          </w:p>
        </w:tc>
      </w:tr>
      <w:tr w:rsidR="002F026E" w14:paraId="55422167" w14:textId="77777777" w:rsidTr="002F026E">
        <w:tc>
          <w:tcPr>
            <w:tcW w:w="1054" w:type="dxa"/>
            <w:vMerge/>
            <w:vAlign w:val="center"/>
          </w:tcPr>
          <w:p w14:paraId="60020A11" w14:textId="77777777" w:rsidR="002F026E" w:rsidRDefault="002F026E" w:rsidP="002F026E">
            <w:pPr>
              <w:pStyle w:val="BodyText"/>
            </w:pPr>
          </w:p>
        </w:tc>
        <w:tc>
          <w:tcPr>
            <w:tcW w:w="642" w:type="dxa"/>
            <w:vMerge/>
            <w:vAlign w:val="center"/>
          </w:tcPr>
          <w:p w14:paraId="494919C6" w14:textId="77777777" w:rsidR="002F026E" w:rsidRPr="00740C3B" w:rsidRDefault="002F026E" w:rsidP="002F026E">
            <w:pPr>
              <w:pStyle w:val="BodyText"/>
            </w:pPr>
          </w:p>
        </w:tc>
        <w:tc>
          <w:tcPr>
            <w:tcW w:w="1027" w:type="dxa"/>
            <w:vAlign w:val="center"/>
          </w:tcPr>
          <w:p w14:paraId="146E947A" w14:textId="77777777" w:rsidR="002F026E" w:rsidRDefault="002F026E" w:rsidP="002F026E">
            <w:pPr>
              <w:pStyle w:val="BodyText"/>
            </w:pPr>
            <w:r w:rsidRPr="00740C3B">
              <w:t>40122000</w:t>
            </w:r>
          </w:p>
        </w:tc>
        <w:tc>
          <w:tcPr>
            <w:tcW w:w="4084" w:type="dxa"/>
            <w:gridSpan w:val="2"/>
            <w:vAlign w:val="center"/>
          </w:tcPr>
          <w:p w14:paraId="7142D419" w14:textId="77777777" w:rsidR="002F026E" w:rsidRDefault="002F026E" w:rsidP="002F026E">
            <w:pPr>
              <w:pStyle w:val="BodyText"/>
            </w:pPr>
            <w:r w:rsidRPr="00740C3B">
              <w:t>Used pneumatic rubber tyres, whether or not subject to recutting or regrooving</w:t>
            </w:r>
          </w:p>
        </w:tc>
        <w:tc>
          <w:tcPr>
            <w:tcW w:w="985" w:type="dxa"/>
            <w:vAlign w:val="center"/>
          </w:tcPr>
          <w:p w14:paraId="2BCFC3BC" w14:textId="1B9E7920" w:rsidR="002F026E" w:rsidRPr="002F026E" w:rsidRDefault="005B15C7" w:rsidP="002F026E">
            <w:pPr>
              <w:pStyle w:val="BodyText"/>
              <w:jc w:val="right"/>
              <w:rPr>
                <w:szCs w:val="20"/>
                <w:highlight w:val="yellow"/>
              </w:rPr>
            </w:pPr>
            <w:r>
              <w:rPr>
                <w:rFonts w:cs="Calibri"/>
                <w:color w:val="000000"/>
                <w:szCs w:val="20"/>
              </w:rPr>
              <w:t>2</w:t>
            </w:r>
            <w:r w:rsidR="002F026E" w:rsidRPr="002F026E">
              <w:rPr>
                <w:rFonts w:cs="Calibri"/>
                <w:color w:val="000000"/>
                <w:szCs w:val="20"/>
              </w:rPr>
              <w:t>,</w:t>
            </w:r>
            <w:r>
              <w:rPr>
                <w:rFonts w:cs="Calibri"/>
                <w:color w:val="000000"/>
                <w:szCs w:val="20"/>
              </w:rPr>
              <w:t>3</w:t>
            </w:r>
            <w:r w:rsidR="002F026E" w:rsidRPr="002F026E">
              <w:rPr>
                <w:rFonts w:cs="Calibri"/>
                <w:color w:val="000000"/>
                <w:szCs w:val="20"/>
              </w:rPr>
              <w:t>00</w:t>
            </w:r>
          </w:p>
        </w:tc>
        <w:tc>
          <w:tcPr>
            <w:tcW w:w="1275" w:type="dxa"/>
            <w:vAlign w:val="center"/>
          </w:tcPr>
          <w:p w14:paraId="5C94D87D" w14:textId="5C60A9BE" w:rsidR="002F026E" w:rsidRPr="00EF1770" w:rsidRDefault="002F026E" w:rsidP="002F026E">
            <w:pPr>
              <w:pStyle w:val="BodyText"/>
              <w:jc w:val="right"/>
            </w:pPr>
            <w:r w:rsidRPr="00EF1770">
              <w:t xml:space="preserve">100% </w:t>
            </w:r>
            <w:r w:rsidRPr="00EF1770">
              <w:rPr>
                <w:vertAlign w:val="superscript"/>
              </w:rPr>
              <w:fldChar w:fldCharType="begin"/>
            </w:r>
            <w:r w:rsidRPr="00EF1770">
              <w:rPr>
                <w:vertAlign w:val="superscript"/>
              </w:rPr>
              <w:instrText xml:space="preserve"> NOTEREF _Ref26980296 \h  \* MERGEFORMAT </w:instrText>
            </w:r>
            <w:r w:rsidRPr="00EF1770">
              <w:rPr>
                <w:vertAlign w:val="superscript"/>
              </w:rPr>
            </w:r>
            <w:r w:rsidRPr="00EF1770">
              <w:rPr>
                <w:vertAlign w:val="superscript"/>
              </w:rPr>
              <w:fldChar w:fldCharType="separate"/>
            </w:r>
            <w:r w:rsidR="005823AE">
              <w:rPr>
                <w:vertAlign w:val="superscript"/>
              </w:rPr>
              <w:t>3</w:t>
            </w:r>
            <w:r w:rsidRPr="00EF1770">
              <w:rPr>
                <w:vertAlign w:val="superscript"/>
              </w:rPr>
              <w:fldChar w:fldCharType="end"/>
            </w:r>
          </w:p>
        </w:tc>
      </w:tr>
      <w:tr w:rsidR="002F026E" w14:paraId="79EAB7F8" w14:textId="77777777" w:rsidTr="005B15C7">
        <w:tc>
          <w:tcPr>
            <w:tcW w:w="1054" w:type="dxa"/>
            <w:vMerge/>
            <w:tcBorders>
              <w:bottom w:val="single" w:sz="4" w:space="0" w:color="B7B7E2" w:themeColor="accent1" w:themeTint="66"/>
            </w:tcBorders>
            <w:vAlign w:val="center"/>
          </w:tcPr>
          <w:p w14:paraId="65085F22" w14:textId="77777777" w:rsidR="002F026E" w:rsidRDefault="002F026E" w:rsidP="002F026E">
            <w:pPr>
              <w:pStyle w:val="BodyText"/>
            </w:pPr>
          </w:p>
        </w:tc>
        <w:tc>
          <w:tcPr>
            <w:tcW w:w="642" w:type="dxa"/>
            <w:vMerge/>
            <w:tcBorders>
              <w:bottom w:val="single" w:sz="4" w:space="0" w:color="B7B7E2" w:themeColor="accent1" w:themeTint="66"/>
            </w:tcBorders>
            <w:vAlign w:val="center"/>
          </w:tcPr>
          <w:p w14:paraId="0D3678B7" w14:textId="77777777" w:rsidR="002F026E" w:rsidRPr="00740C3B" w:rsidRDefault="002F026E" w:rsidP="002F026E">
            <w:pPr>
              <w:pStyle w:val="BodyText"/>
            </w:pPr>
          </w:p>
        </w:tc>
        <w:tc>
          <w:tcPr>
            <w:tcW w:w="1027" w:type="dxa"/>
            <w:tcBorders>
              <w:bottom w:val="single" w:sz="4" w:space="0" w:color="B7B7E2" w:themeColor="accent1" w:themeTint="66"/>
            </w:tcBorders>
            <w:vAlign w:val="center"/>
          </w:tcPr>
          <w:p w14:paraId="7DC1C464" w14:textId="77777777" w:rsidR="002F026E" w:rsidRDefault="002F026E" w:rsidP="002F026E">
            <w:pPr>
              <w:pStyle w:val="BodyText"/>
            </w:pPr>
            <w:r w:rsidRPr="00740C3B">
              <w:t>40129000</w:t>
            </w:r>
          </w:p>
        </w:tc>
        <w:tc>
          <w:tcPr>
            <w:tcW w:w="4084" w:type="dxa"/>
            <w:gridSpan w:val="2"/>
            <w:tcBorders>
              <w:bottom w:val="single" w:sz="4" w:space="0" w:color="B7B7E2" w:themeColor="accent1" w:themeTint="66"/>
            </w:tcBorders>
            <w:vAlign w:val="center"/>
          </w:tcPr>
          <w:p w14:paraId="0D982E36" w14:textId="77777777" w:rsidR="002F026E" w:rsidRDefault="002F026E" w:rsidP="002F026E">
            <w:pPr>
              <w:pStyle w:val="BodyText"/>
            </w:pPr>
            <w:r w:rsidRPr="00740C3B">
              <w:t>Solid or cushion rubber tyres, rubber tyre treads (incl. Interchangeable tyre treads) and rubber tyre flaps</w:t>
            </w:r>
          </w:p>
        </w:tc>
        <w:tc>
          <w:tcPr>
            <w:tcW w:w="985" w:type="dxa"/>
            <w:tcBorders>
              <w:bottom w:val="single" w:sz="4" w:space="0" w:color="B7B7E2" w:themeColor="accent1" w:themeTint="66"/>
            </w:tcBorders>
            <w:shd w:val="clear" w:color="auto" w:fill="auto"/>
            <w:vAlign w:val="center"/>
          </w:tcPr>
          <w:p w14:paraId="22318717" w14:textId="3B35348E" w:rsidR="002F026E" w:rsidRPr="002F026E" w:rsidRDefault="005B15C7" w:rsidP="002F026E">
            <w:pPr>
              <w:pStyle w:val="BodyText"/>
              <w:jc w:val="right"/>
              <w:rPr>
                <w:szCs w:val="20"/>
                <w:highlight w:val="yellow"/>
              </w:rPr>
            </w:pPr>
            <w:r w:rsidRPr="005B15C7">
              <w:rPr>
                <w:szCs w:val="20"/>
              </w:rPr>
              <w:t>920</w:t>
            </w:r>
          </w:p>
        </w:tc>
        <w:tc>
          <w:tcPr>
            <w:tcW w:w="1275" w:type="dxa"/>
            <w:tcBorders>
              <w:bottom w:val="single" w:sz="4" w:space="0" w:color="B7B7E2" w:themeColor="accent1" w:themeTint="66"/>
            </w:tcBorders>
            <w:vAlign w:val="center"/>
          </w:tcPr>
          <w:p w14:paraId="61183D0B" w14:textId="190EB38D" w:rsidR="002F026E" w:rsidRPr="00EF1770" w:rsidRDefault="002F026E" w:rsidP="002F026E">
            <w:pPr>
              <w:pStyle w:val="BodyText"/>
              <w:jc w:val="right"/>
            </w:pPr>
            <w:r w:rsidRPr="00EF1770">
              <w:t xml:space="preserve">6% </w:t>
            </w:r>
            <w:r w:rsidRPr="00EF1770">
              <w:rPr>
                <w:vertAlign w:val="superscript"/>
              </w:rPr>
              <w:fldChar w:fldCharType="begin"/>
            </w:r>
            <w:r w:rsidRPr="00EF1770">
              <w:rPr>
                <w:vertAlign w:val="superscript"/>
              </w:rPr>
              <w:instrText xml:space="preserve"> NOTEREF _Ref26980296 \h  \* MERGEFORMAT </w:instrText>
            </w:r>
            <w:r w:rsidRPr="00EF1770">
              <w:rPr>
                <w:vertAlign w:val="superscript"/>
              </w:rPr>
            </w:r>
            <w:r w:rsidRPr="00EF1770">
              <w:rPr>
                <w:vertAlign w:val="superscript"/>
              </w:rPr>
              <w:fldChar w:fldCharType="separate"/>
            </w:r>
            <w:r w:rsidR="005823AE">
              <w:rPr>
                <w:vertAlign w:val="superscript"/>
              </w:rPr>
              <w:t>3</w:t>
            </w:r>
            <w:r w:rsidRPr="00EF1770">
              <w:rPr>
                <w:vertAlign w:val="superscript"/>
              </w:rPr>
              <w:fldChar w:fldCharType="end"/>
            </w:r>
          </w:p>
        </w:tc>
      </w:tr>
    </w:tbl>
    <w:p w14:paraId="7C4368DE" w14:textId="72D7CFC9" w:rsidR="00CC06A4" w:rsidRDefault="00F47975" w:rsidP="002F026E">
      <w:pPr>
        <w:pStyle w:val="Notes"/>
      </w:pPr>
      <w:r>
        <w:t>Tonnes have been rounded</w:t>
      </w:r>
    </w:p>
    <w:p w14:paraId="6674E5BF" w14:textId="77777777" w:rsidR="002F026E" w:rsidRPr="002F026E" w:rsidRDefault="002F026E" w:rsidP="00A9344A">
      <w:pPr>
        <w:pStyle w:val="BodyText"/>
        <w:rPr>
          <w:sz w:val="18"/>
          <w:szCs w:val="18"/>
        </w:rPr>
      </w:pPr>
    </w:p>
    <w:p w14:paraId="7078C214" w14:textId="264D56B3" w:rsidR="00CC06A4" w:rsidRDefault="00E55D6E" w:rsidP="00A9344A">
      <w:pPr>
        <w:pStyle w:val="BodyText"/>
      </w:pPr>
      <w:r>
        <w:t xml:space="preserve">In </w:t>
      </w:r>
      <w:r w:rsidR="008F4C02">
        <w:t>Dec</w:t>
      </w:r>
      <w:r w:rsidR="002F026E">
        <w:t>ember</w:t>
      </w:r>
      <w:r>
        <w:t>, a</w:t>
      </w:r>
      <w:r w:rsidR="005B160F">
        <w:t xml:space="preserve">bout </w:t>
      </w:r>
      <w:r w:rsidR="00F47975">
        <w:t>1</w:t>
      </w:r>
      <w:r w:rsidR="008F4C02">
        <w:t>16</w:t>
      </w:r>
      <w:r w:rsidR="005B160F">
        <w:t xml:space="preserve">,000 tonnes of waste-derived products and wastes </w:t>
      </w:r>
      <w:r>
        <w:t xml:space="preserve">were </w:t>
      </w:r>
      <w:r w:rsidR="005B160F">
        <w:t xml:space="preserve">exported </w:t>
      </w:r>
      <w:r>
        <w:t xml:space="preserve">that </w:t>
      </w:r>
      <w:r w:rsidR="005B160F">
        <w:t>could be affected by the COAG export ban</w:t>
      </w:r>
      <w:r w:rsidR="005B160F">
        <w:rPr>
          <w:rStyle w:val="FootnoteReference"/>
        </w:rPr>
        <w:footnoteReference w:id="4"/>
      </w:r>
      <w:r w:rsidR="004E7AA6">
        <w:t>, down from 120,000 in November</w:t>
      </w:r>
      <w:r w:rsidR="005B160F">
        <w:t xml:space="preserve">. This </w:t>
      </w:r>
      <w:r>
        <w:t>represents about</w:t>
      </w:r>
      <w:r w:rsidR="005B160F">
        <w:t xml:space="preserve"> </w:t>
      </w:r>
      <w:r w:rsidR="008F4C02">
        <w:t>28</w:t>
      </w:r>
      <w:r w:rsidR="005B160F">
        <w:t xml:space="preserve">% of the total waste exported </w:t>
      </w:r>
      <w:r>
        <w:t xml:space="preserve">for the month. </w:t>
      </w:r>
    </w:p>
    <w:p w14:paraId="64757DCE" w14:textId="206F7F70" w:rsidR="00CC06A4" w:rsidRDefault="00CC06A4" w:rsidP="00A9344A">
      <w:pPr>
        <w:pStyle w:val="BodyText"/>
        <w:sectPr w:rsidR="00CC06A4" w:rsidSect="002B1C11">
          <w:pgSz w:w="11906" w:h="16838" w:code="9"/>
          <w:pgMar w:top="1440" w:right="1077" w:bottom="1134" w:left="1797" w:header="709" w:footer="454" w:gutter="0"/>
          <w:cols w:space="708"/>
          <w:docGrid w:linePitch="360"/>
        </w:sectPr>
      </w:pPr>
    </w:p>
    <w:p w14:paraId="14D7BC3E" w14:textId="77777777" w:rsidR="00EC01B5" w:rsidRDefault="00EC01B5" w:rsidP="00EC01B5">
      <w:pPr>
        <w:pStyle w:val="Heading3-nonumber"/>
      </w:pPr>
      <w:bookmarkStart w:id="11" w:name="_Ref524954387"/>
      <w:r>
        <w:lastRenderedPageBreak/>
        <w:t>The current status of waste import restrictions</w:t>
      </w:r>
    </w:p>
    <w:p w14:paraId="21AD0AFF" w14:textId="00E514BF" w:rsidR="003F0D69" w:rsidRDefault="003F0D69" w:rsidP="003F0D69">
      <w:pPr>
        <w:pStyle w:val="BodyText"/>
      </w:pPr>
      <w:bookmarkStart w:id="12" w:name="_Hlk34407122"/>
      <w:bookmarkEnd w:id="11"/>
      <w:r>
        <w:t>Following</w:t>
      </w:r>
      <w:r w:rsidR="00C54D8A">
        <w:t xml:space="preserve"> China’s </w:t>
      </w:r>
      <w:r>
        <w:t xml:space="preserve">lead, </w:t>
      </w:r>
      <w:r w:rsidR="00C54D8A">
        <w:t>other</w:t>
      </w:r>
      <w:r>
        <w:t xml:space="preserve"> Asian countries have flagged or implemented restrictions on the import of waste-derived products and wastes. These are described in </w:t>
      </w:r>
      <w:r>
        <w:fldChar w:fldCharType="begin"/>
      </w:r>
      <w:r>
        <w:instrText xml:space="preserve"> REF _Ref25932969 \h </w:instrText>
      </w:r>
      <w:r>
        <w:fldChar w:fldCharType="separate"/>
      </w:r>
      <w:r w:rsidR="005823AE">
        <w:t xml:space="preserve">Table </w:t>
      </w:r>
      <w:r w:rsidR="005823AE">
        <w:rPr>
          <w:noProof/>
        </w:rPr>
        <w:t>4</w:t>
      </w:r>
      <w:r>
        <w:fldChar w:fldCharType="end"/>
      </w:r>
      <w:r>
        <w:t>. The information presented has been compiled based on publicly available sources, sometimes translated from languages other than English.</w:t>
      </w:r>
    </w:p>
    <w:p w14:paraId="068BAB5D" w14:textId="56BBC6AB" w:rsidR="003F0D69" w:rsidRDefault="003F0D69" w:rsidP="003F0D69">
      <w:pPr>
        <w:pStyle w:val="Caption"/>
      </w:pPr>
      <w:bookmarkStart w:id="13" w:name="_Ref25932969"/>
      <w:r>
        <w:t xml:space="preserve">Table </w:t>
      </w:r>
      <w:r>
        <w:rPr>
          <w:noProof/>
        </w:rPr>
        <w:fldChar w:fldCharType="begin"/>
      </w:r>
      <w:r>
        <w:rPr>
          <w:noProof/>
        </w:rPr>
        <w:instrText xml:space="preserve"> SEQ Table \* ARABIC </w:instrText>
      </w:r>
      <w:r>
        <w:rPr>
          <w:noProof/>
        </w:rPr>
        <w:fldChar w:fldCharType="separate"/>
      </w:r>
      <w:r w:rsidR="005823AE">
        <w:rPr>
          <w:noProof/>
        </w:rPr>
        <w:t>4</w:t>
      </w:r>
      <w:r>
        <w:rPr>
          <w:noProof/>
        </w:rPr>
        <w:fldChar w:fldCharType="end"/>
      </w:r>
      <w:bookmarkEnd w:id="13"/>
      <w:r>
        <w:tab/>
        <w:t>Status of waste import restrictions</w:t>
      </w:r>
    </w:p>
    <w:tbl>
      <w:tblPr>
        <w:tblStyle w:val="BE-table"/>
        <w:tblW w:w="14742" w:type="dxa"/>
        <w:tblInd w:w="-5" w:type="dxa"/>
        <w:tblLayout w:type="fixed"/>
        <w:tblLook w:val="04A0" w:firstRow="1" w:lastRow="0" w:firstColumn="1" w:lastColumn="0" w:noHBand="0" w:noVBand="1"/>
      </w:tblPr>
      <w:tblGrid>
        <w:gridCol w:w="993"/>
        <w:gridCol w:w="7087"/>
        <w:gridCol w:w="1418"/>
        <w:gridCol w:w="992"/>
        <w:gridCol w:w="1134"/>
        <w:gridCol w:w="709"/>
        <w:gridCol w:w="2409"/>
      </w:tblGrid>
      <w:tr w:rsidR="003F0D69" w14:paraId="1529477D" w14:textId="77777777" w:rsidTr="00CC7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restart"/>
            <w:tcMar>
              <w:left w:w="57" w:type="dxa"/>
              <w:right w:w="57" w:type="dxa"/>
            </w:tcMar>
            <w:vAlign w:val="bottom"/>
          </w:tcPr>
          <w:p w14:paraId="3739B047" w14:textId="77777777" w:rsidR="003F0D69" w:rsidRPr="00397677" w:rsidRDefault="003F0D69" w:rsidP="00BF2F78">
            <w:pPr>
              <w:pStyle w:val="BodyText"/>
              <w:spacing w:beforeLines="0" w:before="0" w:afterLines="0" w:after="0"/>
            </w:pPr>
            <w:r w:rsidRPr="00397677">
              <w:t>Country</w:t>
            </w:r>
          </w:p>
        </w:tc>
        <w:tc>
          <w:tcPr>
            <w:tcW w:w="7087" w:type="dxa"/>
            <w:vMerge w:val="restart"/>
            <w:tcMar>
              <w:left w:w="57" w:type="dxa"/>
              <w:right w:w="57" w:type="dxa"/>
            </w:tcMar>
            <w:vAlign w:val="bottom"/>
          </w:tcPr>
          <w:p w14:paraId="3B2C750D" w14:textId="77777777" w:rsidR="003F0D69" w:rsidRPr="00397677" w:rsidRDefault="003F0D69" w:rsidP="00BF2F78">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Scope of </w:t>
            </w:r>
            <w:r>
              <w:t>restrictions</w:t>
            </w:r>
          </w:p>
        </w:tc>
        <w:tc>
          <w:tcPr>
            <w:tcW w:w="1418" w:type="dxa"/>
            <w:vMerge w:val="restart"/>
            <w:tcMar>
              <w:left w:w="57" w:type="dxa"/>
              <w:right w:w="57" w:type="dxa"/>
            </w:tcMar>
            <w:vAlign w:val="bottom"/>
          </w:tcPr>
          <w:p w14:paraId="339344B9" w14:textId="77777777" w:rsidR="003F0D69" w:rsidRPr="00397677" w:rsidRDefault="003F0D69" w:rsidP="00BF2F78">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Announced </w:t>
            </w:r>
            <w:r>
              <w:t xml:space="preserve">&amp; </w:t>
            </w:r>
            <w:r w:rsidRPr="00397677">
              <w:t>implemented</w:t>
            </w:r>
          </w:p>
        </w:tc>
        <w:tc>
          <w:tcPr>
            <w:tcW w:w="2835" w:type="dxa"/>
            <w:gridSpan w:val="3"/>
            <w:tcMar>
              <w:left w:w="57" w:type="dxa"/>
              <w:right w:w="57" w:type="dxa"/>
            </w:tcMar>
            <w:vAlign w:val="bottom"/>
          </w:tcPr>
          <w:p w14:paraId="33C02E3F" w14:textId="77777777" w:rsidR="003F0D69" w:rsidRPr="00397677" w:rsidRDefault="003F0D69" w:rsidP="00BF2F78">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Associated export</w:t>
            </w:r>
            <w:r>
              <w:t>s (tonnes)</w:t>
            </w:r>
          </w:p>
        </w:tc>
        <w:tc>
          <w:tcPr>
            <w:tcW w:w="2409" w:type="dxa"/>
            <w:vMerge w:val="restart"/>
            <w:tcMar>
              <w:left w:w="57" w:type="dxa"/>
              <w:right w:w="57" w:type="dxa"/>
            </w:tcMar>
            <w:vAlign w:val="bottom"/>
          </w:tcPr>
          <w:p w14:paraId="6EBAF3D6" w14:textId="77777777" w:rsidR="003F0D69" w:rsidRPr="00397677" w:rsidRDefault="003F0D69" w:rsidP="00BF2F78">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t>Impact and uncertainties</w:t>
            </w:r>
          </w:p>
        </w:tc>
      </w:tr>
      <w:tr w:rsidR="003F0D69" w14:paraId="54989D75" w14:textId="77777777" w:rsidTr="00CC7075">
        <w:tc>
          <w:tcPr>
            <w:cnfStyle w:val="001000000000" w:firstRow="0" w:lastRow="0" w:firstColumn="1" w:lastColumn="0" w:oddVBand="0" w:evenVBand="0" w:oddHBand="0" w:evenHBand="0" w:firstRowFirstColumn="0" w:firstRowLastColumn="0" w:lastRowFirstColumn="0" w:lastRowLastColumn="0"/>
            <w:tcW w:w="993" w:type="dxa"/>
            <w:vMerge/>
            <w:shd w:val="clear" w:color="auto" w:fill="B7B7E2" w:themeFill="accent1" w:themeFillTint="66"/>
            <w:tcMar>
              <w:left w:w="57" w:type="dxa"/>
              <w:right w:w="57" w:type="dxa"/>
            </w:tcMar>
          </w:tcPr>
          <w:p w14:paraId="6BA84BDE" w14:textId="77777777" w:rsidR="003F0D69" w:rsidRPr="00397677" w:rsidRDefault="003F0D69" w:rsidP="00BF2F78">
            <w:pPr>
              <w:pStyle w:val="BodyText"/>
              <w:spacing w:before="0" w:after="0"/>
              <w:rPr>
                <w:b/>
                <w:color w:val="FFFFFF" w:themeColor="background1"/>
              </w:rPr>
            </w:pPr>
          </w:p>
        </w:tc>
        <w:tc>
          <w:tcPr>
            <w:tcW w:w="7087" w:type="dxa"/>
            <w:vMerge/>
            <w:shd w:val="clear" w:color="auto" w:fill="B7B7E2" w:themeFill="accent1" w:themeFillTint="66"/>
            <w:tcMar>
              <w:left w:w="57" w:type="dxa"/>
              <w:right w:w="57" w:type="dxa"/>
            </w:tcMar>
          </w:tcPr>
          <w:p w14:paraId="32736C1A" w14:textId="77777777" w:rsidR="003F0D69" w:rsidRPr="00397677" w:rsidRDefault="003F0D69" w:rsidP="00BF2F78">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418" w:type="dxa"/>
            <w:vMerge/>
            <w:shd w:val="clear" w:color="auto" w:fill="B7B7E2" w:themeFill="accent1" w:themeFillTint="66"/>
            <w:tcMar>
              <w:left w:w="57" w:type="dxa"/>
              <w:right w:w="57" w:type="dxa"/>
            </w:tcMar>
          </w:tcPr>
          <w:p w14:paraId="1106DD04" w14:textId="77777777" w:rsidR="003F0D69" w:rsidRPr="00397677" w:rsidRDefault="003F0D69" w:rsidP="00BF2F78">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992" w:type="dxa"/>
            <w:shd w:val="clear" w:color="auto" w:fill="B7B7E2" w:themeFill="accent1" w:themeFillTint="66"/>
            <w:tcMar>
              <w:left w:w="57" w:type="dxa"/>
              <w:right w:w="57" w:type="dxa"/>
            </w:tcMar>
          </w:tcPr>
          <w:p w14:paraId="4F59A570" w14:textId="77777777" w:rsidR="003F0D69" w:rsidRPr="00397677" w:rsidRDefault="003F0D69" w:rsidP="00BF2F78">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Types</w:t>
            </w:r>
          </w:p>
        </w:tc>
        <w:tc>
          <w:tcPr>
            <w:tcW w:w="1134" w:type="dxa"/>
            <w:shd w:val="clear" w:color="auto" w:fill="B7B7E2" w:themeFill="accent1" w:themeFillTint="66"/>
            <w:tcMar>
              <w:left w:w="57" w:type="dxa"/>
              <w:right w:w="57" w:type="dxa"/>
            </w:tcMar>
          </w:tcPr>
          <w:p w14:paraId="3D2CA25D" w14:textId="77777777" w:rsidR="003F0D69" w:rsidRPr="00397677" w:rsidRDefault="003F0D69" w:rsidP="00BF2F78">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2018-19</w:t>
            </w:r>
          </w:p>
        </w:tc>
        <w:tc>
          <w:tcPr>
            <w:tcW w:w="709" w:type="dxa"/>
            <w:shd w:val="clear" w:color="auto" w:fill="B7B7E2" w:themeFill="accent1" w:themeFillTint="66"/>
            <w:tcMar>
              <w:left w:w="57" w:type="dxa"/>
              <w:right w:w="57" w:type="dxa"/>
            </w:tcMar>
          </w:tcPr>
          <w:p w14:paraId="745D9A1B" w14:textId="77777777" w:rsidR="003F0D69" w:rsidRPr="00397677" w:rsidRDefault="003F0D69" w:rsidP="00BF2F78">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Nov 19</w:t>
            </w:r>
          </w:p>
        </w:tc>
        <w:tc>
          <w:tcPr>
            <w:tcW w:w="2409" w:type="dxa"/>
            <w:vMerge/>
            <w:shd w:val="clear" w:color="auto" w:fill="B7B7E2" w:themeFill="accent1" w:themeFillTint="66"/>
            <w:tcMar>
              <w:left w:w="57" w:type="dxa"/>
              <w:right w:w="57" w:type="dxa"/>
            </w:tcMar>
          </w:tcPr>
          <w:p w14:paraId="45EDF339" w14:textId="77777777" w:rsidR="003F0D69" w:rsidRPr="00397677" w:rsidRDefault="003F0D69" w:rsidP="00BF2F78">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3F0D69" w14:paraId="0D66FF75" w14:textId="77777777" w:rsidTr="00C54D8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7DDD83D7" w14:textId="77777777" w:rsidR="003F0D69" w:rsidRDefault="003F0D69" w:rsidP="00BF2F78">
            <w:pPr>
              <w:pStyle w:val="BodyText"/>
              <w:spacing w:before="40" w:after="40"/>
            </w:pPr>
            <w:bookmarkStart w:id="14" w:name="_Hlk33267643"/>
            <w:r>
              <w:t>China</w:t>
            </w:r>
          </w:p>
        </w:tc>
        <w:tc>
          <w:tcPr>
            <w:tcW w:w="7087" w:type="dxa"/>
            <w:tcMar>
              <w:left w:w="57" w:type="dxa"/>
              <w:right w:w="57" w:type="dxa"/>
            </w:tcMar>
            <w:vAlign w:val="center"/>
          </w:tcPr>
          <w:p w14:paraId="3617D65A" w14:textId="77777777" w:rsidR="003F0D69" w:rsidRDefault="003F0D69" w:rsidP="003F0D69">
            <w:pPr>
              <w:pStyle w:val="BodyText"/>
              <w:cnfStyle w:val="000000000000" w:firstRow="0" w:lastRow="0" w:firstColumn="0" w:lastColumn="0" w:oddVBand="0" w:evenVBand="0" w:oddHBand="0" w:evenHBand="0" w:firstRowFirstColumn="0" w:firstRowLastColumn="0" w:lastRowFirstColumn="0" w:lastRowLastColumn="0"/>
            </w:pPr>
            <w:r>
              <w:t>R</w:t>
            </w:r>
            <w:r w:rsidRPr="00BA4A65">
              <w:t>estricted the import of certain materials</w:t>
            </w:r>
            <w:r>
              <w:t xml:space="preserve"> covering specific commodity codes</w:t>
            </w:r>
            <w:r w:rsidRPr="00BA4A65">
              <w:t>, mainly by specifying a threshold contamination rate of 0.5%</w:t>
            </w:r>
            <w:r>
              <w:rPr>
                <w:rStyle w:val="FootnoteReference"/>
              </w:rPr>
              <w:footnoteReference w:id="5"/>
            </w:r>
            <w:r>
              <w:t xml:space="preserve">. </w:t>
            </w:r>
          </w:p>
          <w:p w14:paraId="4B870F4A" w14:textId="77777777" w:rsidR="003F0D69" w:rsidRDefault="003F0D69" w:rsidP="003F0D69">
            <w:pPr>
              <w:pStyle w:val="BodyText"/>
              <w:cnfStyle w:val="000000000000" w:firstRow="0" w:lastRow="0" w:firstColumn="0" w:lastColumn="0" w:oddVBand="0" w:evenVBand="0" w:oddHBand="0" w:evenHBand="0" w:firstRowFirstColumn="0" w:firstRowLastColumn="0" w:lastRowFirstColumn="0" w:lastRowLastColumn="0"/>
            </w:pPr>
            <w:r>
              <w:t>A ban (issued in April 2018) on the import of 32 varieties of solid waste codes which were previously restricted. 16 of these are banned from 31 December and the other 16 to take effect from 31 December 2019</w:t>
            </w:r>
            <w:r>
              <w:rPr>
                <w:rStyle w:val="FootnoteReference"/>
              </w:rPr>
              <w:footnoteReference w:id="6"/>
            </w:r>
            <w:r>
              <w:t xml:space="preserve">. </w:t>
            </w:r>
          </w:p>
          <w:p w14:paraId="1762667F" w14:textId="77777777" w:rsidR="003F0D69" w:rsidRPr="009C7A35" w:rsidRDefault="003F0D69" w:rsidP="003F0D69">
            <w:pPr>
              <w:pStyle w:val="BodyText"/>
              <w:cnfStyle w:val="000000000000" w:firstRow="0" w:lastRow="0" w:firstColumn="0" w:lastColumn="0" w:oddVBand="0" w:evenVBand="0" w:oddHBand="0" w:evenHBand="0" w:firstRowFirstColumn="0" w:firstRowLastColumn="0" w:lastRowFirstColumn="0" w:lastRowLastColumn="0"/>
            </w:pPr>
            <w:r>
              <w:t>From 1 July 2019, import restrictions extended to eight solid waste codes pertaining to metals</w:t>
            </w:r>
            <w:r>
              <w:rPr>
                <w:rStyle w:val="FootnoteReference"/>
              </w:rPr>
              <w:footnoteReference w:id="7"/>
            </w:r>
            <w:r>
              <w:t>. China are reviewing the revised Solid Waste Management and Pollution Prevention Law that covers waste imports, which reiterates the complete ban of solid waste import by 2020</w:t>
            </w:r>
            <w:r>
              <w:rPr>
                <w:rStyle w:val="FootnoteReference"/>
              </w:rPr>
              <w:footnoteReference w:id="8"/>
            </w:r>
            <w:r>
              <w:t>. Possible import ban on old corrugated cardboard and other fibre grades by 2021</w:t>
            </w:r>
            <w:r>
              <w:rPr>
                <w:rStyle w:val="FootnoteReference"/>
              </w:rPr>
              <w:footnoteReference w:id="9"/>
            </w:r>
            <w:r>
              <w:t>. The Ministry of Ecology and Environment’s Solid Waste and Chemicals Management Centre announced the first 2020 batch of quotas on 24 December 2019 which allows 270,885 tonnes of copper scrap and 275,465 tonnes of aluminium scrap to be imported</w:t>
            </w:r>
            <w:r>
              <w:rPr>
                <w:rStyle w:val="FootnoteReference"/>
              </w:rPr>
              <w:footnoteReference w:id="10"/>
            </w:r>
            <w:r>
              <w:t>. The second batch of quotas announced on 8 January 2020 allows 26,566 tonnes of copper scrap, 7,544 tonnes of aluminium scrap and 3,180 tonnes of steel scrap to be imported</w:t>
            </w:r>
            <w:r>
              <w:rPr>
                <w:rStyle w:val="FootnoteReference"/>
              </w:rPr>
              <w:footnoteReference w:id="11"/>
            </w:r>
            <w:r>
              <w:rPr>
                <w:rStyle w:val="FootnoteReference"/>
              </w:rPr>
              <w:footnoteReference w:id="12"/>
            </w:r>
            <w:r>
              <w:t xml:space="preserve">. </w:t>
            </w:r>
          </w:p>
        </w:tc>
        <w:tc>
          <w:tcPr>
            <w:tcW w:w="1418" w:type="dxa"/>
            <w:tcMar>
              <w:left w:w="57" w:type="dxa"/>
              <w:right w:w="57" w:type="dxa"/>
            </w:tcMar>
            <w:vAlign w:val="center"/>
          </w:tcPr>
          <w:p w14:paraId="3502DD18"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Ann.: Jul &amp; Nov-17, Apr-18, Jul-19, Dec-19, Jan-20</w:t>
            </w:r>
          </w:p>
          <w:p w14:paraId="49E8BC15"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00844DB8"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Imp.: Jan &amp; Mar-18, Dec-18, Dec-19</w:t>
            </w:r>
          </w:p>
        </w:tc>
        <w:tc>
          <w:tcPr>
            <w:tcW w:w="992" w:type="dxa"/>
            <w:tcMar>
              <w:left w:w="57" w:type="dxa"/>
              <w:right w:w="57" w:type="dxa"/>
            </w:tcMar>
            <w:vAlign w:val="center"/>
          </w:tcPr>
          <w:p w14:paraId="6EA64862"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 metals, other</w:t>
            </w:r>
          </w:p>
        </w:tc>
        <w:tc>
          <w:tcPr>
            <w:tcW w:w="1134" w:type="dxa"/>
            <w:tcMar>
              <w:left w:w="57" w:type="dxa"/>
              <w:right w:w="57" w:type="dxa"/>
            </w:tcMar>
            <w:vAlign w:val="center"/>
          </w:tcPr>
          <w:p w14:paraId="7C33CECF" w14:textId="77777777" w:rsidR="003F0D69" w:rsidRDefault="003F0D69" w:rsidP="00BF2F78">
            <w:pPr>
              <w:pStyle w:val="BodyText"/>
              <w:spacing w:before="40" w:after="40"/>
              <w:contextualSpacing/>
              <w:cnfStyle w:val="000000000000" w:firstRow="0" w:lastRow="0" w:firstColumn="0" w:lastColumn="0" w:oddVBand="0" w:evenVBand="0" w:oddHBand="0" w:evenHBand="0" w:firstRowFirstColumn="0" w:firstRowLastColumn="0" w:lastRowFirstColumn="0" w:lastRowLastColumn="0"/>
            </w:pPr>
            <w:r>
              <w:t>643,000 (53,600/</w:t>
            </w:r>
          </w:p>
          <w:p w14:paraId="6A91E6A3" w14:textId="77777777" w:rsidR="003F0D69" w:rsidRDefault="003F0D69" w:rsidP="00BF2F78">
            <w:pPr>
              <w:pStyle w:val="BodyText"/>
              <w:spacing w:before="40" w:after="40"/>
              <w:contextualSpacing/>
              <w:cnfStyle w:val="000000000000" w:firstRow="0" w:lastRow="0" w:firstColumn="0" w:lastColumn="0" w:oddVBand="0" w:evenVBand="0" w:oddHBand="0" w:evenHBand="0" w:firstRowFirstColumn="0" w:firstRowLastColumn="0" w:lastRowFirstColumn="0" w:lastRowLastColumn="0"/>
            </w:pPr>
            <w:r>
              <w:t>month)</w:t>
            </w:r>
          </w:p>
        </w:tc>
        <w:tc>
          <w:tcPr>
            <w:tcW w:w="709" w:type="dxa"/>
            <w:tcMar>
              <w:left w:w="57" w:type="dxa"/>
              <w:right w:w="57" w:type="dxa"/>
            </w:tcMar>
            <w:vAlign w:val="center"/>
          </w:tcPr>
          <w:p w14:paraId="7A49FCC3" w14:textId="77777777" w:rsidR="003F0D69" w:rsidRPr="00B224F5"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35,200</w:t>
            </w:r>
          </w:p>
        </w:tc>
        <w:tc>
          <w:tcPr>
            <w:tcW w:w="2409" w:type="dxa"/>
            <w:tcMar>
              <w:left w:w="57" w:type="dxa"/>
              <w:right w:w="57" w:type="dxa"/>
            </w:tcMar>
            <w:vAlign w:val="center"/>
          </w:tcPr>
          <w:p w14:paraId="0372C738" w14:textId="675B9226"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Impact evident (2016-17 exports averaged 105,300/month and averaged 62,000/month in 2017-18)</w:t>
            </w:r>
            <w:r w:rsidR="00CC7075">
              <w:t>.</w:t>
            </w:r>
          </w:p>
          <w:p w14:paraId="655164EA"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7E996056"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5D11C2B2"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p>
        </w:tc>
      </w:tr>
      <w:tr w:rsidR="003F0D69" w14:paraId="5CB2E871" w14:textId="77777777" w:rsidTr="00C54D8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4362E859" w14:textId="77777777" w:rsidR="003F0D69" w:rsidRDefault="003F0D69" w:rsidP="00BF2F78">
            <w:pPr>
              <w:pStyle w:val="BodyText"/>
              <w:spacing w:before="40" w:after="40"/>
            </w:pPr>
            <w:r>
              <w:t>India</w:t>
            </w:r>
          </w:p>
        </w:tc>
        <w:tc>
          <w:tcPr>
            <w:tcW w:w="7087" w:type="dxa"/>
            <w:tcMar>
              <w:left w:w="57" w:type="dxa"/>
              <w:right w:w="57" w:type="dxa"/>
            </w:tcMar>
            <w:vAlign w:val="center"/>
          </w:tcPr>
          <w:p w14:paraId="59BBA348" w14:textId="23177FB4" w:rsidR="003F0D69" w:rsidRPr="003F0D69" w:rsidRDefault="003F0D69" w:rsidP="00C54D8A">
            <w:pPr>
              <w:pStyle w:val="BodyText"/>
              <w:cnfStyle w:val="000000000000" w:firstRow="0" w:lastRow="0" w:firstColumn="0" w:lastColumn="0" w:oddVBand="0" w:evenVBand="0" w:oddHBand="0" w:evenHBand="0" w:firstRowFirstColumn="0" w:firstRowLastColumn="0" w:lastRowFirstColumn="0" w:lastRowLastColumn="0"/>
              <w:rPr>
                <w:color w:val="000000" w:themeColor="text1"/>
              </w:rPr>
            </w:pPr>
            <w:r w:rsidRPr="003F0D69">
              <w:rPr>
                <w:color w:val="000000" w:themeColor="text1"/>
              </w:rPr>
              <w:t>Import of scrap plastics banned from August 2019</w:t>
            </w:r>
            <w:r w:rsidRPr="003F0D69">
              <w:rPr>
                <w:rStyle w:val="FootnoteReference"/>
                <w:color w:val="000000" w:themeColor="text1"/>
              </w:rPr>
              <w:footnoteReference w:id="13"/>
            </w:r>
            <w:r w:rsidRPr="003F0D69">
              <w:rPr>
                <w:color w:val="000000" w:themeColor="text1"/>
              </w:rPr>
              <w:t>. Also covers areas previously exempt under the 2016 ban such as special economic zones (SEZ) and export-oriented units (EOU)</w:t>
            </w:r>
            <w:r w:rsidRPr="003F0D69">
              <w:rPr>
                <w:rStyle w:val="FootnoteReference"/>
                <w:color w:val="000000" w:themeColor="text1"/>
              </w:rPr>
              <w:footnoteReference w:id="14"/>
            </w:r>
            <w:r w:rsidRPr="003F0D69">
              <w:rPr>
                <w:color w:val="000000" w:themeColor="text1"/>
              </w:rPr>
              <w:t xml:space="preserve">. Excludes electrical/electronic assemblies or components that </w:t>
            </w:r>
            <w:r w:rsidRPr="003F0D69">
              <w:rPr>
                <w:color w:val="000000" w:themeColor="text1"/>
              </w:rPr>
              <w:lastRenderedPageBreak/>
              <w:t>are defective which can be imported within a year of export. A six-month extension has been granted to three SEZs which allows plastic scrap to be imported until May 31 2020</w:t>
            </w:r>
            <w:r w:rsidRPr="003F0D69">
              <w:rPr>
                <w:rStyle w:val="FootnoteReference"/>
                <w:color w:val="000000" w:themeColor="text1"/>
              </w:rPr>
              <w:footnoteReference w:id="15"/>
            </w:r>
            <w:r w:rsidRPr="003F0D69">
              <w:rPr>
                <w:color w:val="000000" w:themeColor="text1"/>
              </w:rPr>
              <w:t>.</w:t>
            </w:r>
            <w:r w:rsidR="00C54D8A">
              <w:rPr>
                <w:color w:val="000000" w:themeColor="text1"/>
              </w:rPr>
              <w:t xml:space="preserve"> </w:t>
            </w:r>
            <w:r w:rsidRPr="003F0D69">
              <w:rPr>
                <w:color w:val="000000" w:themeColor="text1"/>
              </w:rPr>
              <w:t xml:space="preserve">India set a contamination limit of 1% for recovered paper years ago. It now intends to enforce this by randomly </w:t>
            </w:r>
            <w:r w:rsidR="00B96BDD">
              <w:rPr>
                <w:color w:val="000000" w:themeColor="text1"/>
              </w:rPr>
              <w:t>ins</w:t>
            </w:r>
            <w:r w:rsidRPr="003F0D69">
              <w:rPr>
                <w:color w:val="000000" w:themeColor="text1"/>
              </w:rPr>
              <w:t>pecting 5 mixed paper bales per container.</w:t>
            </w:r>
            <w:r w:rsidRPr="003F0D69">
              <w:rPr>
                <w:rStyle w:val="FootnoteReference"/>
                <w:color w:val="000000" w:themeColor="text1"/>
              </w:rPr>
              <w:footnoteReference w:id="16"/>
            </w:r>
          </w:p>
        </w:tc>
        <w:tc>
          <w:tcPr>
            <w:tcW w:w="1418" w:type="dxa"/>
            <w:tcMar>
              <w:left w:w="57" w:type="dxa"/>
              <w:right w:w="57" w:type="dxa"/>
            </w:tcMar>
            <w:vAlign w:val="center"/>
          </w:tcPr>
          <w:p w14:paraId="0E73D7DA"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lastRenderedPageBreak/>
              <w:t>Ann.: Mar-19</w:t>
            </w:r>
          </w:p>
          <w:p w14:paraId="0D2C7FBE"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Mar-19, Aug-19 for </w:t>
            </w:r>
            <w:r>
              <w:lastRenderedPageBreak/>
              <w:t>importers currently exempt under SEZs and EOUs.</w:t>
            </w:r>
          </w:p>
        </w:tc>
        <w:tc>
          <w:tcPr>
            <w:tcW w:w="992" w:type="dxa"/>
            <w:tcMar>
              <w:left w:w="57" w:type="dxa"/>
              <w:right w:w="57" w:type="dxa"/>
            </w:tcMar>
            <w:vAlign w:val="center"/>
          </w:tcPr>
          <w:p w14:paraId="7F2D62AD"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lastRenderedPageBreak/>
              <w:t>Plastic</w:t>
            </w:r>
          </w:p>
        </w:tc>
        <w:tc>
          <w:tcPr>
            <w:tcW w:w="1134" w:type="dxa"/>
            <w:tcMar>
              <w:left w:w="57" w:type="dxa"/>
              <w:right w:w="57" w:type="dxa"/>
            </w:tcMar>
            <w:vAlign w:val="center"/>
          </w:tcPr>
          <w:p w14:paraId="0B2F9211"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700 (60/month)</w:t>
            </w:r>
          </w:p>
        </w:tc>
        <w:tc>
          <w:tcPr>
            <w:tcW w:w="709" w:type="dxa"/>
            <w:tcMar>
              <w:left w:w="57" w:type="dxa"/>
              <w:right w:w="57" w:type="dxa"/>
            </w:tcMar>
            <w:vAlign w:val="center"/>
          </w:tcPr>
          <w:p w14:paraId="3B035C89" w14:textId="77777777" w:rsidR="003F0D69" w:rsidDel="00825E9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0</w:t>
            </w:r>
          </w:p>
        </w:tc>
        <w:tc>
          <w:tcPr>
            <w:tcW w:w="2409" w:type="dxa"/>
            <w:tcMar>
              <w:left w:w="57" w:type="dxa"/>
              <w:right w:w="57" w:type="dxa"/>
            </w:tcMar>
            <w:vAlign w:val="center"/>
          </w:tcPr>
          <w:p w14:paraId="0B01BCC1"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Impact uncertain. </w:t>
            </w:r>
          </w:p>
        </w:tc>
      </w:tr>
      <w:tr w:rsidR="003F0D69" w14:paraId="3ABDCDDA" w14:textId="77777777" w:rsidTr="00C54D8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568C16F5" w14:textId="77777777" w:rsidR="003F0D69" w:rsidRDefault="003F0D69" w:rsidP="00BF2F78">
            <w:pPr>
              <w:pStyle w:val="BodyText"/>
              <w:spacing w:before="40" w:after="40"/>
            </w:pPr>
            <w:r>
              <w:t>Indonesia</w:t>
            </w:r>
          </w:p>
        </w:tc>
        <w:tc>
          <w:tcPr>
            <w:tcW w:w="7087" w:type="dxa"/>
            <w:tcMar>
              <w:left w:w="57" w:type="dxa"/>
              <w:right w:w="57" w:type="dxa"/>
            </w:tcMar>
            <w:vAlign w:val="center"/>
          </w:tcPr>
          <w:p w14:paraId="24A9A509" w14:textId="4DF28B96" w:rsidR="003F0D69" w:rsidRDefault="003F0D69" w:rsidP="003F0D69">
            <w:pPr>
              <w:pStyle w:val="BodyText"/>
              <w:cnfStyle w:val="000000000000" w:firstRow="0" w:lastRow="0" w:firstColumn="0" w:lastColumn="0" w:oddVBand="0" w:evenVBand="0" w:oddHBand="0" w:evenHBand="0" w:firstRowFirstColumn="0" w:firstRowLastColumn="0" w:lastRowFirstColumn="0" w:lastRowLastColumn="0"/>
            </w:pPr>
            <w:r>
              <w:t xml:space="preserve">Temporary moratorium on all waste scrap imports commenced 23 November 2019 as the new Ministerial Regulation No. 84/2019 on the </w:t>
            </w:r>
            <w:r w:rsidRPr="00B96BDD">
              <w:rPr>
                <w:i/>
                <w:iCs/>
              </w:rPr>
              <w:t>P</w:t>
            </w:r>
            <w:r w:rsidRPr="00933C8A">
              <w:rPr>
                <w:i/>
                <w:iCs/>
              </w:rPr>
              <w:t>rovisions on the import of non-hazardous and non-toxic waste for industrial purposes</w:t>
            </w:r>
            <w:r>
              <w:t xml:space="preserve"> is implemented</w:t>
            </w:r>
            <w:r>
              <w:rPr>
                <w:rStyle w:val="FootnoteReference"/>
              </w:rPr>
              <w:footnoteReference w:id="17"/>
            </w:r>
            <w:r>
              <w:t>. All shipments subject to inspection dates after 22 November 2019 have been stopped. Under the new regulation, transhipments are banned. Only direct shipments from exporters that have obtained a permit (which would be subject to occasional verification) and have inspected containers prior to shipment would be allowed. Scrap imports to be restricted to arrive at eight ports only</w:t>
            </w:r>
            <w:r w:rsidR="00C54D8A">
              <w:t xml:space="preserve"> </w:t>
            </w:r>
            <w:r w:rsidRPr="00755DA7">
              <w:t>in Jakarta, Semarang, Surabaya</w:t>
            </w:r>
            <w:r w:rsidR="00C54D8A">
              <w:t xml:space="preserve"> (2)</w:t>
            </w:r>
            <w:r w:rsidRPr="00755DA7">
              <w:t>, Makassar, Medan, Batam and Cilegon</w:t>
            </w:r>
            <w:r>
              <w:t>. The set contamination thresholds are unclear with industry interpretation suggesting it could be 0% which contradicts the previous suggestion of 2% with a two-year transition to 0.5%. Illegally imported plastic waste to be returned back to exporters</w:t>
            </w:r>
            <w:r>
              <w:rPr>
                <w:rStyle w:val="FootnoteReference"/>
              </w:rPr>
              <w:footnoteReference w:id="18"/>
            </w:r>
            <w:r>
              <w:t>. Reportedly rejected eight containers of ‘contaminated’ paper and plastic material in July 2019. Announced in September 2019 that another 100 containers of contaminated plastic material to be sent back to Australia</w:t>
            </w:r>
            <w:r>
              <w:rPr>
                <w:rStyle w:val="FootnoteReference"/>
              </w:rPr>
              <w:footnoteReference w:id="19"/>
            </w:r>
            <w:r>
              <w:t>. Determined in February 2020 to ease the rules on metal scrap imports due to mill supply shortages</w:t>
            </w:r>
            <w:r>
              <w:rPr>
                <w:rStyle w:val="FootnoteReference"/>
              </w:rPr>
              <w:footnoteReference w:id="20"/>
            </w:r>
            <w:r>
              <w:t>.</w:t>
            </w:r>
          </w:p>
        </w:tc>
        <w:tc>
          <w:tcPr>
            <w:tcW w:w="1418" w:type="dxa"/>
            <w:tcMar>
              <w:left w:w="57" w:type="dxa"/>
              <w:right w:w="57" w:type="dxa"/>
            </w:tcMar>
            <w:vAlign w:val="center"/>
          </w:tcPr>
          <w:p w14:paraId="1B2D107B"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Ann.: Apr-19</w:t>
            </w:r>
          </w:p>
          <w:p w14:paraId="2ADDF9BB"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Imp.: Nov-19</w:t>
            </w:r>
          </w:p>
        </w:tc>
        <w:tc>
          <w:tcPr>
            <w:tcW w:w="992" w:type="dxa"/>
            <w:tcMar>
              <w:left w:w="57" w:type="dxa"/>
              <w:right w:w="57" w:type="dxa"/>
            </w:tcMar>
            <w:vAlign w:val="center"/>
          </w:tcPr>
          <w:p w14:paraId="20C23382"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Plastics, Paper and cardboard, metals, glass, hazardous waste, tyres, other. </w:t>
            </w:r>
          </w:p>
        </w:tc>
        <w:tc>
          <w:tcPr>
            <w:tcW w:w="1134" w:type="dxa"/>
            <w:tcMar>
              <w:left w:w="57" w:type="dxa"/>
              <w:right w:w="57" w:type="dxa"/>
            </w:tcMar>
            <w:vAlign w:val="center"/>
          </w:tcPr>
          <w:p w14:paraId="553EBB05" w14:textId="77777777" w:rsidR="003F0D69" w:rsidRDefault="003F0D69" w:rsidP="00BF2F78">
            <w:pPr>
              <w:pStyle w:val="BodyText"/>
              <w:spacing w:before="40" w:after="40"/>
              <w:contextualSpacing/>
              <w:cnfStyle w:val="000000000000" w:firstRow="0" w:lastRow="0" w:firstColumn="0" w:lastColumn="0" w:oddVBand="0" w:evenVBand="0" w:oddHBand="0" w:evenHBand="0" w:firstRowFirstColumn="0" w:firstRowLastColumn="0" w:lastRowFirstColumn="0" w:lastRowLastColumn="0"/>
            </w:pPr>
            <w:r>
              <w:t>725,700 (60,500/</w:t>
            </w:r>
          </w:p>
          <w:p w14:paraId="6299A2E1" w14:textId="77777777" w:rsidR="003F0D69" w:rsidRDefault="003F0D69" w:rsidP="00BF2F78">
            <w:pPr>
              <w:pStyle w:val="BodyText"/>
              <w:spacing w:before="40" w:after="40"/>
              <w:contextualSpacing/>
              <w:cnfStyle w:val="000000000000" w:firstRow="0" w:lastRow="0" w:firstColumn="0" w:lastColumn="0" w:oddVBand="0" w:evenVBand="0" w:oddHBand="0" w:evenHBand="0" w:firstRowFirstColumn="0" w:firstRowLastColumn="0" w:lastRowFirstColumn="0" w:lastRowLastColumn="0"/>
            </w:pPr>
            <w:r>
              <w:t>month)</w:t>
            </w:r>
          </w:p>
        </w:tc>
        <w:tc>
          <w:tcPr>
            <w:tcW w:w="709" w:type="dxa"/>
            <w:tcMar>
              <w:left w:w="57" w:type="dxa"/>
              <w:right w:w="57" w:type="dxa"/>
            </w:tcMar>
            <w:vAlign w:val="center"/>
          </w:tcPr>
          <w:p w14:paraId="3B0A7971"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77,300</w:t>
            </w:r>
          </w:p>
        </w:tc>
        <w:tc>
          <w:tcPr>
            <w:tcW w:w="2409" w:type="dxa"/>
            <w:tcMar>
              <w:left w:w="57" w:type="dxa"/>
              <w:right w:w="57" w:type="dxa"/>
            </w:tcMar>
            <w:vAlign w:val="center"/>
          </w:tcPr>
          <w:p w14:paraId="1BE1A684"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Impact uncertain. </w:t>
            </w:r>
          </w:p>
        </w:tc>
      </w:tr>
      <w:tr w:rsidR="003F0D69" w14:paraId="207530A6" w14:textId="77777777" w:rsidTr="00C54D8A">
        <w:trPr>
          <w:trHeight w:val="436"/>
        </w:trPr>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1E8EEB01" w14:textId="77777777" w:rsidR="003F0D69" w:rsidRDefault="003F0D69" w:rsidP="00BF2F78">
            <w:pPr>
              <w:pStyle w:val="BodyText"/>
              <w:spacing w:before="40" w:after="40"/>
            </w:pPr>
            <w:r>
              <w:t>Malaysia</w:t>
            </w:r>
          </w:p>
        </w:tc>
        <w:tc>
          <w:tcPr>
            <w:tcW w:w="7087" w:type="dxa"/>
            <w:tcMar>
              <w:left w:w="57" w:type="dxa"/>
              <w:right w:w="57" w:type="dxa"/>
            </w:tcMar>
            <w:vAlign w:val="center"/>
          </w:tcPr>
          <w:p w14:paraId="318096B7" w14:textId="40B43B20" w:rsidR="003F0D69" w:rsidRPr="00CC7075" w:rsidRDefault="003F0D69" w:rsidP="003F0D69">
            <w:pPr>
              <w:pStyle w:val="BodyText"/>
              <w:widowControl w:val="0"/>
              <w:cnfStyle w:val="000000000000" w:firstRow="0" w:lastRow="0" w:firstColumn="0" w:lastColumn="0" w:oddVBand="0" w:evenVBand="0" w:oddHBand="0" w:evenHBand="0" w:firstRowFirstColumn="0" w:firstRowLastColumn="0" w:lastRowFirstColumn="0" w:lastRowLastColumn="0"/>
              <w:rPr>
                <w:color w:val="000000" w:themeColor="text1"/>
              </w:rPr>
            </w:pPr>
            <w:r w:rsidRPr="00CC7075">
              <w:rPr>
                <w:color w:val="000000" w:themeColor="text1"/>
              </w:rPr>
              <w:t>Import permits revoked from 114 factories that process imported plastic waste</w:t>
            </w:r>
            <w:r w:rsidRPr="00CC7075">
              <w:rPr>
                <w:rStyle w:val="FootnoteReference"/>
                <w:color w:val="000000" w:themeColor="text1"/>
              </w:rPr>
              <w:footnoteReference w:id="21"/>
            </w:r>
            <w:r w:rsidRPr="00CC7075">
              <w:rPr>
                <w:color w:val="000000" w:themeColor="text1"/>
                <w:vertAlign w:val="superscript"/>
              </w:rPr>
              <w:t>,</w:t>
            </w:r>
            <w:bookmarkStart w:id="15" w:name="_Ref5797604"/>
            <w:r w:rsidRPr="00CC7075">
              <w:rPr>
                <w:rStyle w:val="FootnoteReference"/>
                <w:color w:val="000000" w:themeColor="text1"/>
              </w:rPr>
              <w:footnoteReference w:id="22"/>
            </w:r>
            <w:bookmarkEnd w:id="15"/>
            <w:r w:rsidRPr="00CC7075">
              <w:rPr>
                <w:color w:val="000000" w:themeColor="text1"/>
              </w:rPr>
              <w:t>. Import of non-recyclable plastic waste to be banned by 2021</w:t>
            </w:r>
            <w:r w:rsidRPr="00CC7075">
              <w:rPr>
                <w:rStyle w:val="FootnoteReference"/>
                <w:color w:val="000000" w:themeColor="text1"/>
              </w:rPr>
              <w:footnoteReference w:id="23"/>
            </w:r>
            <w:r w:rsidRPr="00CC7075">
              <w:rPr>
                <w:color w:val="000000" w:themeColor="text1"/>
              </w:rPr>
              <w:t>. Contaminated, mislabelled or illegally imported plastic waste loads to be sent back to source</w:t>
            </w:r>
            <w:r w:rsidRPr="00CC7075">
              <w:rPr>
                <w:rStyle w:val="FootnoteReference"/>
                <w:color w:val="000000" w:themeColor="text1"/>
              </w:rPr>
              <w:footnoteReference w:id="24"/>
            </w:r>
            <w:r w:rsidRPr="00CC7075">
              <w:rPr>
                <w:color w:val="000000" w:themeColor="text1"/>
              </w:rPr>
              <w:t xml:space="preserve"> </w:t>
            </w:r>
            <w:r w:rsidRPr="00CC7075">
              <w:rPr>
                <w:rStyle w:val="FootnoteReference"/>
                <w:color w:val="000000" w:themeColor="text1"/>
              </w:rPr>
              <w:footnoteReference w:id="25"/>
            </w:r>
            <w:r w:rsidRPr="00CC7075">
              <w:rPr>
                <w:color w:val="000000" w:themeColor="text1"/>
              </w:rPr>
              <w:t>.</w:t>
            </w:r>
            <w:r w:rsidR="00C54D8A">
              <w:rPr>
                <w:color w:val="000000" w:themeColor="text1"/>
              </w:rPr>
              <w:t xml:space="preserve"> </w:t>
            </w:r>
            <w:r w:rsidRPr="00CC7075">
              <w:rPr>
                <w:color w:val="000000" w:themeColor="text1"/>
              </w:rPr>
              <w:t xml:space="preserve">Malaysia has continued returning contaminated containers of plastic waste to countries of origin with 150 returned and another 110 to be sent back by midyear. </w:t>
            </w:r>
            <w:r w:rsidRPr="00CC7075">
              <w:rPr>
                <w:color w:val="000000" w:themeColor="text1"/>
              </w:rPr>
              <w:lastRenderedPageBreak/>
              <w:t xml:space="preserve">Enforcement at ports has improved and over 200 illegal plastic recycling facilities closed down in a bid to crackdown on illegal waste </w:t>
            </w:r>
            <w:r w:rsidR="00CC7075" w:rsidRPr="00CC7075">
              <w:rPr>
                <w:color w:val="000000" w:themeColor="text1"/>
              </w:rPr>
              <w:t>imports</w:t>
            </w:r>
            <w:r w:rsidRPr="00CC7075">
              <w:rPr>
                <w:color w:val="000000" w:themeColor="text1"/>
              </w:rPr>
              <w:t>.</w:t>
            </w:r>
            <w:r w:rsidRPr="00CC7075">
              <w:rPr>
                <w:rStyle w:val="FootnoteReference"/>
                <w:color w:val="000000" w:themeColor="text1"/>
              </w:rPr>
              <w:footnoteReference w:id="26"/>
            </w:r>
          </w:p>
        </w:tc>
        <w:tc>
          <w:tcPr>
            <w:tcW w:w="1418" w:type="dxa"/>
            <w:tcMar>
              <w:left w:w="57" w:type="dxa"/>
              <w:right w:w="57" w:type="dxa"/>
            </w:tcMar>
            <w:vAlign w:val="center"/>
          </w:tcPr>
          <w:p w14:paraId="2D22A65A"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lastRenderedPageBreak/>
              <w:t>Jul-18.</w:t>
            </w:r>
          </w:p>
          <w:p w14:paraId="25548331"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3639C6FE"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p>
        </w:tc>
        <w:tc>
          <w:tcPr>
            <w:tcW w:w="992" w:type="dxa"/>
            <w:tcMar>
              <w:left w:w="57" w:type="dxa"/>
              <w:right w:w="57" w:type="dxa"/>
            </w:tcMar>
            <w:vAlign w:val="center"/>
          </w:tcPr>
          <w:p w14:paraId="6193D018"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134" w:type="dxa"/>
            <w:tcMar>
              <w:left w:w="57" w:type="dxa"/>
              <w:right w:w="57" w:type="dxa"/>
            </w:tcMar>
            <w:vAlign w:val="center"/>
          </w:tcPr>
          <w:p w14:paraId="7EA3100B" w14:textId="77777777" w:rsidR="003F0D69" w:rsidRDefault="003F0D69" w:rsidP="00BF2F78">
            <w:pPr>
              <w:pStyle w:val="BodyText"/>
              <w:spacing w:before="20" w:after="20"/>
              <w:cnfStyle w:val="000000000000" w:firstRow="0" w:lastRow="0" w:firstColumn="0" w:lastColumn="0" w:oddVBand="0" w:evenVBand="0" w:oddHBand="0" w:evenHBand="0" w:firstRowFirstColumn="0" w:firstRowLastColumn="0" w:lastRowFirstColumn="0" w:lastRowLastColumn="0"/>
            </w:pPr>
            <w:r>
              <w:t>55,200 (4,600/</w:t>
            </w:r>
          </w:p>
          <w:p w14:paraId="50AB6257" w14:textId="77777777" w:rsidR="003F0D69" w:rsidRDefault="003F0D69" w:rsidP="00BF2F78">
            <w:pPr>
              <w:pStyle w:val="BodyText"/>
              <w:spacing w:before="20" w:after="20"/>
              <w:cnfStyle w:val="000000000000" w:firstRow="0" w:lastRow="0" w:firstColumn="0" w:lastColumn="0" w:oddVBand="0" w:evenVBand="0" w:oddHBand="0" w:evenHBand="0" w:firstRowFirstColumn="0" w:firstRowLastColumn="0" w:lastRowFirstColumn="0" w:lastRowLastColumn="0"/>
            </w:pPr>
            <w:r>
              <w:t>month)</w:t>
            </w:r>
          </w:p>
        </w:tc>
        <w:tc>
          <w:tcPr>
            <w:tcW w:w="709" w:type="dxa"/>
            <w:tcMar>
              <w:left w:w="57" w:type="dxa"/>
              <w:right w:w="57" w:type="dxa"/>
            </w:tcMar>
            <w:vAlign w:val="center"/>
          </w:tcPr>
          <w:p w14:paraId="59E8969E" w14:textId="77777777" w:rsidR="003F0D69" w:rsidRPr="00B224F5"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5,800</w:t>
            </w:r>
          </w:p>
        </w:tc>
        <w:tc>
          <w:tcPr>
            <w:tcW w:w="2409" w:type="dxa"/>
            <w:tcMar>
              <w:left w:w="57" w:type="dxa"/>
              <w:right w:w="57" w:type="dxa"/>
            </w:tcMar>
            <w:vAlign w:val="center"/>
          </w:tcPr>
          <w:p w14:paraId="4AE724A2" w14:textId="612F1C3F"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r w:rsidR="00CC7075">
              <w:t>.</w:t>
            </w:r>
          </w:p>
        </w:tc>
      </w:tr>
      <w:tr w:rsidR="003F0D69" w14:paraId="2DE66F52" w14:textId="77777777" w:rsidTr="00C54D8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4AD802F5" w14:textId="025EEFF6" w:rsidR="003F0D69" w:rsidRDefault="003F0D69" w:rsidP="00BF2F78">
            <w:pPr>
              <w:pStyle w:val="BodyText"/>
              <w:spacing w:before="40" w:after="40"/>
            </w:pPr>
            <w:r>
              <w:t>Philipp</w:t>
            </w:r>
            <w:r w:rsidR="00CC7075">
              <w:t>-</w:t>
            </w:r>
            <w:r>
              <w:t>ines</w:t>
            </w:r>
          </w:p>
        </w:tc>
        <w:tc>
          <w:tcPr>
            <w:tcW w:w="7087" w:type="dxa"/>
            <w:vAlign w:val="center"/>
          </w:tcPr>
          <w:p w14:paraId="5BF642C0" w14:textId="77777777" w:rsidR="003F0D69" w:rsidRDefault="003F0D69" w:rsidP="003F0D69">
            <w:pPr>
              <w:pStyle w:val="BodyText"/>
              <w:cnfStyle w:val="000000000000" w:firstRow="0" w:lastRow="0" w:firstColumn="0" w:lastColumn="0" w:oddVBand="0" w:evenVBand="0" w:oddHBand="0" w:evenHBand="0" w:firstRowFirstColumn="0" w:firstRowLastColumn="0" w:lastRowFirstColumn="0" w:lastRowLastColumn="0"/>
            </w:pPr>
            <w:r>
              <w:t>To issue a 3-month moratorium on recyclable waste imports including scrap metals, plastics, electronic waste, used oil and fly ash.</w:t>
            </w:r>
            <w:r>
              <w:rPr>
                <w:rStyle w:val="FootnoteReference"/>
              </w:rPr>
              <w:footnoteReference w:id="27"/>
            </w:r>
          </w:p>
        </w:tc>
        <w:tc>
          <w:tcPr>
            <w:tcW w:w="1418" w:type="dxa"/>
            <w:vAlign w:val="center"/>
          </w:tcPr>
          <w:p w14:paraId="116BA01C"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Ann.: Aug 19</w:t>
            </w:r>
          </w:p>
        </w:tc>
        <w:tc>
          <w:tcPr>
            <w:tcW w:w="992" w:type="dxa"/>
            <w:vAlign w:val="center"/>
          </w:tcPr>
          <w:p w14:paraId="68EA1C46"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Plastic, metals</w:t>
            </w:r>
          </w:p>
        </w:tc>
        <w:tc>
          <w:tcPr>
            <w:tcW w:w="1134" w:type="dxa"/>
            <w:tcMar>
              <w:left w:w="57" w:type="dxa"/>
              <w:right w:w="57" w:type="dxa"/>
            </w:tcMar>
            <w:vAlign w:val="center"/>
          </w:tcPr>
          <w:p w14:paraId="07A97532" w14:textId="0B00E304" w:rsidR="003F0D69" w:rsidDel="00B930AD"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18,800 (1600/</w:t>
            </w:r>
            <w:r w:rsidR="00CC7075">
              <w:t>mth)</w:t>
            </w:r>
          </w:p>
        </w:tc>
        <w:tc>
          <w:tcPr>
            <w:tcW w:w="709" w:type="dxa"/>
            <w:vAlign w:val="center"/>
          </w:tcPr>
          <w:p w14:paraId="0B01A528"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600</w:t>
            </w:r>
          </w:p>
        </w:tc>
        <w:tc>
          <w:tcPr>
            <w:tcW w:w="2409" w:type="dxa"/>
            <w:vAlign w:val="center"/>
          </w:tcPr>
          <w:p w14:paraId="5929A687"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Impact uncertain.</w:t>
            </w:r>
          </w:p>
        </w:tc>
      </w:tr>
      <w:tr w:rsidR="003F0D69" w14:paraId="6665D2D6" w14:textId="77777777" w:rsidTr="00C54D8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7C49744D" w14:textId="77777777" w:rsidR="003F0D69" w:rsidRDefault="003F0D69" w:rsidP="00BF2F78">
            <w:pPr>
              <w:pStyle w:val="BodyText"/>
              <w:spacing w:before="40" w:after="40"/>
            </w:pPr>
            <w:r>
              <w:t>Taiwan</w:t>
            </w:r>
          </w:p>
        </w:tc>
        <w:tc>
          <w:tcPr>
            <w:tcW w:w="7087" w:type="dxa"/>
            <w:vAlign w:val="center"/>
          </w:tcPr>
          <w:p w14:paraId="28FFB42C" w14:textId="77777777" w:rsidR="003F0D69" w:rsidRDefault="003F0D69" w:rsidP="003F0D69">
            <w:pPr>
              <w:pStyle w:val="BodyText"/>
              <w:cnfStyle w:val="000000000000" w:firstRow="0" w:lastRow="0" w:firstColumn="0" w:lastColumn="0" w:oddVBand="0" w:evenVBand="0" w:oddHBand="0" w:evenHBand="0" w:firstRowFirstColumn="0" w:firstRowLastColumn="0" w:lastRowFirstColumn="0" w:lastRowLastColumn="0"/>
            </w:pPr>
            <w:r>
              <w:t>Import of plastic waste is banned. Exceptions are made to licensed local firms that import plastic waste originating from their own overseas production processes or are a single material, but not from original production processes</w:t>
            </w:r>
            <w:r>
              <w:rPr>
                <w:rStyle w:val="FootnoteReference"/>
              </w:rPr>
              <w:footnoteReference w:id="28"/>
            </w:r>
            <w:r>
              <w:t xml:space="preserve">. Paper imports restricted to only deinked paper, kraft paper, corrugated paper or cardboard that is not bleached. Import of waste newspapers and magazines </w:t>
            </w:r>
            <w:r w:rsidRPr="0020021B">
              <w:t>banned</w:t>
            </w:r>
            <w:r>
              <w:t>.</w:t>
            </w:r>
          </w:p>
        </w:tc>
        <w:tc>
          <w:tcPr>
            <w:tcW w:w="1418" w:type="dxa"/>
            <w:vAlign w:val="center"/>
          </w:tcPr>
          <w:p w14:paraId="74AFBBBF"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Ann.: Aug-18</w:t>
            </w:r>
          </w:p>
          <w:p w14:paraId="14C27E55"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Imp.: Oct-18</w:t>
            </w:r>
          </w:p>
        </w:tc>
        <w:tc>
          <w:tcPr>
            <w:tcW w:w="992" w:type="dxa"/>
            <w:vAlign w:val="center"/>
          </w:tcPr>
          <w:p w14:paraId="047544BF"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w:t>
            </w:r>
          </w:p>
        </w:tc>
        <w:tc>
          <w:tcPr>
            <w:tcW w:w="1134" w:type="dxa"/>
            <w:tcMar>
              <w:left w:w="57" w:type="dxa"/>
              <w:right w:w="57" w:type="dxa"/>
            </w:tcMar>
            <w:vAlign w:val="center"/>
          </w:tcPr>
          <w:p w14:paraId="21DAF9E7"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17,700 (1,500/month)</w:t>
            </w:r>
          </w:p>
        </w:tc>
        <w:tc>
          <w:tcPr>
            <w:tcW w:w="709" w:type="dxa"/>
            <w:vAlign w:val="center"/>
          </w:tcPr>
          <w:p w14:paraId="68B1D454" w14:textId="77777777" w:rsidR="003F0D69" w:rsidDel="00825E9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1,000</w:t>
            </w:r>
          </w:p>
        </w:tc>
        <w:tc>
          <w:tcPr>
            <w:tcW w:w="2409" w:type="dxa"/>
            <w:vAlign w:val="center"/>
          </w:tcPr>
          <w:p w14:paraId="092B8A50" w14:textId="065760F4"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r w:rsidR="00CC7075">
              <w:t>.</w:t>
            </w:r>
          </w:p>
        </w:tc>
      </w:tr>
      <w:tr w:rsidR="003F0D69" w14:paraId="5ACA041D" w14:textId="77777777" w:rsidTr="00C54D8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6B564949" w14:textId="77777777" w:rsidR="003F0D69" w:rsidRDefault="003F0D69" w:rsidP="00BF2F78">
            <w:pPr>
              <w:pStyle w:val="BodyText"/>
              <w:spacing w:before="40" w:after="40"/>
            </w:pPr>
            <w:r>
              <w:t>Thailand</w:t>
            </w:r>
          </w:p>
        </w:tc>
        <w:tc>
          <w:tcPr>
            <w:tcW w:w="7087" w:type="dxa"/>
            <w:vAlign w:val="center"/>
          </w:tcPr>
          <w:p w14:paraId="684664C9" w14:textId="5C36BFDC" w:rsidR="003F0D69" w:rsidRDefault="003F0D69" w:rsidP="003F0D69">
            <w:pPr>
              <w:pStyle w:val="BodyText"/>
              <w:cnfStyle w:val="000000000000" w:firstRow="0" w:lastRow="0" w:firstColumn="0" w:lastColumn="0" w:oddVBand="0" w:evenVBand="0" w:oddHBand="0" w:evenHBand="0" w:firstRowFirstColumn="0" w:firstRowLastColumn="0" w:lastRowFirstColumn="0" w:lastRowLastColumn="0"/>
            </w:pPr>
            <w:r>
              <w:t>R</w:t>
            </w:r>
            <w:r w:rsidRPr="00750BDD">
              <w:t>evoked a broad plastic scrap import allowance</w:t>
            </w:r>
            <w:r>
              <w:t>, meaning plastic waste and scrap is banned from import by 2021</w:t>
            </w:r>
            <w:r>
              <w:rPr>
                <w:rStyle w:val="FootnoteReference"/>
              </w:rPr>
              <w:footnoteReference w:id="29"/>
            </w:r>
            <w:r>
              <w:rPr>
                <w:vertAlign w:val="superscript"/>
              </w:rPr>
              <w:t>,</w:t>
            </w:r>
            <w:r>
              <w:rPr>
                <w:rStyle w:val="FootnoteReference"/>
              </w:rPr>
              <w:footnoteReference w:id="30"/>
            </w:r>
            <w:r>
              <w:rPr>
                <w:vertAlign w:val="superscript"/>
              </w:rPr>
              <w:t>,</w:t>
            </w:r>
            <w:r>
              <w:rPr>
                <w:rStyle w:val="FootnoteReference"/>
              </w:rPr>
              <w:footnoteReference w:id="31"/>
            </w:r>
            <w:r>
              <w:t>. Looking to ban e</w:t>
            </w:r>
            <w:r>
              <w:noBreakHyphen/>
              <w:t>waste imports within 2 years</w:t>
            </w:r>
            <w:r w:rsidRPr="00105F0F">
              <w:rPr>
                <w:vertAlign w:val="superscript"/>
              </w:rPr>
              <w:fldChar w:fldCharType="begin"/>
            </w:r>
            <w:r w:rsidRPr="00105F0F">
              <w:rPr>
                <w:vertAlign w:val="superscript"/>
              </w:rPr>
              <w:instrText xml:space="preserve"> NOTEREF _Ref5797604 \h </w:instrText>
            </w:r>
            <w:r>
              <w:rPr>
                <w:vertAlign w:val="superscript"/>
              </w:rPr>
              <w:instrText xml:space="preserve"> \* MERGEFORMAT </w:instrText>
            </w:r>
            <w:r w:rsidRPr="00105F0F">
              <w:rPr>
                <w:vertAlign w:val="superscript"/>
              </w:rPr>
            </w:r>
            <w:r w:rsidRPr="00105F0F">
              <w:rPr>
                <w:vertAlign w:val="superscript"/>
              </w:rPr>
              <w:fldChar w:fldCharType="separate"/>
            </w:r>
            <w:r w:rsidR="005823AE">
              <w:rPr>
                <w:vertAlign w:val="superscript"/>
              </w:rPr>
              <w:t>22</w:t>
            </w:r>
            <w:r w:rsidRPr="00105F0F">
              <w:rPr>
                <w:vertAlign w:val="superscript"/>
              </w:rPr>
              <w:fldChar w:fldCharType="end"/>
            </w:r>
            <w:r>
              <w:t xml:space="preserve">. </w:t>
            </w:r>
          </w:p>
        </w:tc>
        <w:tc>
          <w:tcPr>
            <w:tcW w:w="1418" w:type="dxa"/>
            <w:vAlign w:val="center"/>
          </w:tcPr>
          <w:p w14:paraId="6F95692E" w14:textId="6894F16B" w:rsidR="003F0D69" w:rsidRDefault="00CC7075"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A</w:t>
            </w:r>
            <w:r w:rsidR="003F0D69">
              <w:t xml:space="preserve">nn. Aug-18, plastic imp. Aug-18, e-waste </w:t>
            </w:r>
            <w:r>
              <w:t>&lt;</w:t>
            </w:r>
            <w:r w:rsidR="003F0D69">
              <w:t>2 yrs.</w:t>
            </w:r>
          </w:p>
        </w:tc>
        <w:tc>
          <w:tcPr>
            <w:tcW w:w="992" w:type="dxa"/>
            <w:vAlign w:val="center"/>
          </w:tcPr>
          <w:p w14:paraId="51F0F4B5" w14:textId="77777777"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134" w:type="dxa"/>
            <w:tcMar>
              <w:left w:w="57" w:type="dxa"/>
              <w:right w:w="57" w:type="dxa"/>
            </w:tcMar>
            <w:vAlign w:val="center"/>
          </w:tcPr>
          <w:p w14:paraId="23E8AC48" w14:textId="77777777" w:rsidR="003F0D69" w:rsidRDefault="003F0D69" w:rsidP="00BF2F78">
            <w:pPr>
              <w:pStyle w:val="BodyText"/>
              <w:spacing w:before="40" w:after="40"/>
              <w:contextualSpacing/>
              <w:cnfStyle w:val="000000000000" w:firstRow="0" w:lastRow="0" w:firstColumn="0" w:lastColumn="0" w:oddVBand="0" w:evenVBand="0" w:oddHBand="0" w:evenHBand="0" w:firstRowFirstColumn="0" w:firstRowLastColumn="0" w:lastRowFirstColumn="0" w:lastRowLastColumn="0"/>
            </w:pPr>
            <w:r>
              <w:t>11,200 (900/</w:t>
            </w:r>
          </w:p>
          <w:p w14:paraId="3026088B" w14:textId="77777777" w:rsidR="003F0D69" w:rsidRDefault="003F0D69" w:rsidP="00BF2F78">
            <w:pPr>
              <w:pStyle w:val="BodyText"/>
              <w:spacing w:before="40" w:after="40"/>
              <w:contextualSpacing/>
              <w:cnfStyle w:val="000000000000" w:firstRow="0" w:lastRow="0" w:firstColumn="0" w:lastColumn="0" w:oddVBand="0" w:evenVBand="0" w:oddHBand="0" w:evenHBand="0" w:firstRowFirstColumn="0" w:firstRowLastColumn="0" w:lastRowFirstColumn="0" w:lastRowLastColumn="0"/>
            </w:pPr>
            <w:r>
              <w:t>month)</w:t>
            </w:r>
          </w:p>
        </w:tc>
        <w:tc>
          <w:tcPr>
            <w:tcW w:w="709" w:type="dxa"/>
            <w:vAlign w:val="center"/>
          </w:tcPr>
          <w:p w14:paraId="3E2293CA" w14:textId="77777777" w:rsidR="003F0D69" w:rsidRPr="00B224F5"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1,000</w:t>
            </w:r>
          </w:p>
        </w:tc>
        <w:tc>
          <w:tcPr>
            <w:tcW w:w="2409" w:type="dxa"/>
            <w:vAlign w:val="center"/>
          </w:tcPr>
          <w:p w14:paraId="4F8C774F" w14:textId="5811C771"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No impact apparent </w:t>
            </w:r>
            <w:r w:rsidR="00C54D8A">
              <w:t>A</w:t>
            </w:r>
            <w:r>
              <w:t>nnouncement available in Thai only.</w:t>
            </w:r>
          </w:p>
        </w:tc>
      </w:tr>
      <w:tr w:rsidR="003F0D69" w14:paraId="343C9426" w14:textId="77777777" w:rsidTr="00C54D8A">
        <w:trPr>
          <w:trHeight w:val="436"/>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Mar>
              <w:left w:w="57" w:type="dxa"/>
              <w:right w:w="57" w:type="dxa"/>
            </w:tcMar>
          </w:tcPr>
          <w:p w14:paraId="130CB464" w14:textId="77777777" w:rsidR="003F0D69" w:rsidRPr="00B224F5" w:rsidRDefault="003F0D69" w:rsidP="00BF2F78">
            <w:pPr>
              <w:pStyle w:val="BodyText"/>
              <w:spacing w:before="40" w:after="40"/>
            </w:pPr>
            <w:r w:rsidRPr="00B224F5">
              <w:t>Vietnam</w:t>
            </w:r>
          </w:p>
        </w:tc>
        <w:tc>
          <w:tcPr>
            <w:tcW w:w="7087" w:type="dxa"/>
            <w:shd w:val="clear" w:color="auto" w:fill="auto"/>
            <w:vAlign w:val="center"/>
          </w:tcPr>
          <w:p w14:paraId="21461165" w14:textId="1E2C87FA" w:rsidR="003F0D69" w:rsidRPr="00DD7C65" w:rsidRDefault="003F0D69" w:rsidP="00CC7075">
            <w:pPr>
              <w:pStyle w:val="BodyText"/>
              <w:cnfStyle w:val="000000000000" w:firstRow="0" w:lastRow="0" w:firstColumn="0" w:lastColumn="0" w:oddVBand="0" w:evenVBand="0" w:oddHBand="0" w:evenHBand="0" w:firstRowFirstColumn="0" w:firstRowLastColumn="0" w:lastRowFirstColumn="0" w:lastRowLastColumn="0"/>
            </w:pPr>
            <w:r w:rsidRPr="00B224F5">
              <w:t xml:space="preserve">Tighter controls over imports of plastic, paper and metals. </w:t>
            </w:r>
            <w:r w:rsidR="00CC7075">
              <w:t>A</w:t>
            </w:r>
            <w:r w:rsidRPr="00B224F5">
              <w:t>ccepted</w:t>
            </w:r>
            <w:r w:rsidR="00CC7075">
              <w:t xml:space="preserve"> only</w:t>
            </w:r>
            <w:r w:rsidRPr="00B224F5">
              <w:t xml:space="preserve"> if importers prove their shipment meets specified environmental standards and there is capacity to process the </w:t>
            </w:r>
            <w:r w:rsidRPr="0020021B">
              <w:t>materials</w:t>
            </w:r>
            <w:r>
              <w:rPr>
                <w:rStyle w:val="FootnoteReference"/>
              </w:rPr>
              <w:footnoteReference w:id="32"/>
            </w:r>
            <w:r w:rsidRPr="00B224F5">
              <w:t xml:space="preserve">. </w:t>
            </w:r>
            <w:r>
              <w:t>No new licences issued for waste imports</w:t>
            </w:r>
            <w:r w:rsidRPr="0020021B">
              <w:rPr>
                <w:vertAlign w:val="superscript"/>
              </w:rPr>
              <w:fldChar w:fldCharType="begin"/>
            </w:r>
            <w:r w:rsidRPr="0020021B">
              <w:rPr>
                <w:vertAlign w:val="superscript"/>
              </w:rPr>
              <w:instrText xml:space="preserve"> NOTEREF _Ref5797604 \h </w:instrText>
            </w:r>
            <w:r>
              <w:rPr>
                <w:vertAlign w:val="superscript"/>
              </w:rPr>
              <w:instrText xml:space="preserve"> \* MERGEFORMAT </w:instrText>
            </w:r>
            <w:r w:rsidRPr="0020021B">
              <w:rPr>
                <w:vertAlign w:val="superscript"/>
              </w:rPr>
            </w:r>
            <w:r w:rsidRPr="0020021B">
              <w:rPr>
                <w:vertAlign w:val="superscript"/>
              </w:rPr>
              <w:fldChar w:fldCharType="separate"/>
            </w:r>
            <w:r w:rsidR="005823AE">
              <w:rPr>
                <w:vertAlign w:val="superscript"/>
              </w:rPr>
              <w:t>22</w:t>
            </w:r>
            <w:r w:rsidRPr="0020021B">
              <w:rPr>
                <w:vertAlign w:val="superscript"/>
              </w:rPr>
              <w:fldChar w:fldCharType="end"/>
            </w:r>
            <w:r>
              <w:t>. Plastic scrap imports to be banned by 2025</w:t>
            </w:r>
            <w:r>
              <w:rPr>
                <w:rStyle w:val="FootnoteReference"/>
              </w:rPr>
              <w:footnoteReference w:id="33"/>
            </w:r>
            <w:r>
              <w:t>.</w:t>
            </w:r>
            <w:r w:rsidR="00CC7075">
              <w:t xml:space="preserve"> </w:t>
            </w:r>
            <w:r w:rsidRPr="00B224F5">
              <w:t xml:space="preserve">Under new national standard QCVN 32: 2019/BTNMT, </w:t>
            </w:r>
            <w:r>
              <w:t xml:space="preserve">import of </w:t>
            </w:r>
            <w:r w:rsidRPr="00B224F5">
              <w:t xml:space="preserve">e-waste plastics </w:t>
            </w:r>
            <w:r>
              <w:t>(e.g.</w:t>
            </w:r>
            <w:r w:rsidRPr="00B224F5">
              <w:t xml:space="preserve"> cases of TVs</w:t>
            </w:r>
            <w:r>
              <w:t xml:space="preserve"> and</w:t>
            </w:r>
            <w:r w:rsidRPr="00B224F5">
              <w:t xml:space="preserve"> computers</w:t>
            </w:r>
            <w:r>
              <w:t>)</w:t>
            </w:r>
            <w:r w:rsidRPr="00B224F5">
              <w:t xml:space="preserve"> would be </w:t>
            </w:r>
            <w:r>
              <w:t>forbidden</w:t>
            </w:r>
            <w:r>
              <w:rPr>
                <w:rStyle w:val="FootnoteReference"/>
              </w:rPr>
              <w:footnoteReference w:id="34"/>
            </w:r>
            <w:r w:rsidRPr="00B224F5">
              <w:t>.</w:t>
            </w:r>
            <w:r w:rsidR="00CC7075">
              <w:t xml:space="preserve"> </w:t>
            </w:r>
            <w:r>
              <w:t>From 22 February 2019, all imports through road and railway border gates to be banned</w:t>
            </w:r>
            <w:r>
              <w:rPr>
                <w:rStyle w:val="FootnoteReference"/>
              </w:rPr>
              <w:footnoteReference w:id="35"/>
            </w:r>
            <w:r>
              <w:t>.Import of mixed metal waste (containing any plastic, paper, other non-metallic metals) now understood to be restricted. Composition of metal waste needs to be 99% metal to be allowed in</w:t>
            </w:r>
            <w:r>
              <w:rPr>
                <w:rStyle w:val="FootnoteReference"/>
              </w:rPr>
              <w:footnoteReference w:id="36"/>
            </w:r>
            <w:r>
              <w:t>.</w:t>
            </w:r>
          </w:p>
        </w:tc>
        <w:tc>
          <w:tcPr>
            <w:tcW w:w="1418" w:type="dxa"/>
            <w:shd w:val="clear" w:color="auto" w:fill="auto"/>
            <w:vAlign w:val="center"/>
          </w:tcPr>
          <w:p w14:paraId="18161514" w14:textId="6218DB90"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Ann. in Aug-18</w:t>
            </w:r>
            <w:r w:rsidR="00CC7075">
              <w:t xml:space="preserve"> apparently</w:t>
            </w:r>
            <w:r w:rsidRPr="00B224F5">
              <w:t xml:space="preserve"> implemented.</w:t>
            </w:r>
          </w:p>
          <w:p w14:paraId="22335B63" w14:textId="62313D2D" w:rsidR="003F0D69" w:rsidRPr="00B224F5"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Mixed metal waste restricted from Oct 2018.</w:t>
            </w:r>
          </w:p>
        </w:tc>
        <w:tc>
          <w:tcPr>
            <w:tcW w:w="992" w:type="dxa"/>
            <w:shd w:val="clear" w:color="auto" w:fill="auto"/>
            <w:vAlign w:val="center"/>
          </w:tcPr>
          <w:p w14:paraId="2745A482" w14:textId="77777777" w:rsidR="003F0D69" w:rsidRPr="00B224F5"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Plastic, paper, metals</w:t>
            </w:r>
          </w:p>
        </w:tc>
        <w:tc>
          <w:tcPr>
            <w:tcW w:w="1134" w:type="dxa"/>
            <w:shd w:val="clear" w:color="auto" w:fill="auto"/>
            <w:tcMar>
              <w:left w:w="57" w:type="dxa"/>
              <w:right w:w="57" w:type="dxa"/>
            </w:tcMar>
            <w:vAlign w:val="center"/>
          </w:tcPr>
          <w:p w14:paraId="35C4C3E7" w14:textId="77777777" w:rsidR="003F0D69" w:rsidRDefault="003F0D69" w:rsidP="00BF2F78">
            <w:pPr>
              <w:pStyle w:val="BodyText"/>
              <w:spacing w:before="20" w:after="20"/>
              <w:contextualSpacing/>
              <w:cnfStyle w:val="000000000000" w:firstRow="0" w:lastRow="0" w:firstColumn="0" w:lastColumn="0" w:oddVBand="0" w:evenVBand="0" w:oddHBand="0" w:evenHBand="0" w:firstRowFirstColumn="0" w:firstRowLastColumn="0" w:lastRowFirstColumn="0" w:lastRowLastColumn="0"/>
            </w:pPr>
            <w:r>
              <w:t>732,600</w:t>
            </w:r>
            <w:r w:rsidRPr="00B224F5">
              <w:t xml:space="preserve"> (</w:t>
            </w:r>
            <w:r>
              <w:t>61,100/</w:t>
            </w:r>
          </w:p>
          <w:p w14:paraId="589C42FE" w14:textId="77777777" w:rsidR="003F0D69" w:rsidRPr="00B224F5" w:rsidRDefault="003F0D69" w:rsidP="00BF2F78">
            <w:pPr>
              <w:pStyle w:val="BodyText"/>
              <w:spacing w:before="20" w:after="20"/>
              <w:contextualSpacing/>
              <w:cnfStyle w:val="000000000000" w:firstRow="0" w:lastRow="0" w:firstColumn="0" w:lastColumn="0" w:oddVBand="0" w:evenVBand="0" w:oddHBand="0" w:evenHBand="0" w:firstRowFirstColumn="0" w:firstRowLastColumn="0" w:lastRowFirstColumn="0" w:lastRowLastColumn="0"/>
            </w:pPr>
            <w:r>
              <w:t>month</w:t>
            </w:r>
            <w:r w:rsidRPr="00B224F5">
              <w:t>)</w:t>
            </w:r>
          </w:p>
        </w:tc>
        <w:tc>
          <w:tcPr>
            <w:tcW w:w="709" w:type="dxa"/>
            <w:shd w:val="clear" w:color="auto" w:fill="auto"/>
            <w:vAlign w:val="center"/>
          </w:tcPr>
          <w:p w14:paraId="7DC2EE73" w14:textId="77777777" w:rsidR="003F0D69" w:rsidRPr="00E7284D"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rsidRPr="00E7284D">
              <w:t>5,500</w:t>
            </w:r>
          </w:p>
        </w:tc>
        <w:tc>
          <w:tcPr>
            <w:tcW w:w="2409" w:type="dxa"/>
            <w:shd w:val="clear" w:color="auto" w:fill="auto"/>
            <w:vAlign w:val="center"/>
          </w:tcPr>
          <w:p w14:paraId="3A42AC5C" w14:textId="72017F12" w:rsidR="003F0D69" w:rsidRDefault="00C54D8A"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Has a</w:t>
            </w:r>
            <w:r w:rsidR="003F0D69">
              <w:t>pparent</w:t>
            </w:r>
            <w:r>
              <w:t>ly affected</w:t>
            </w:r>
            <w:r w:rsidR="003F0D69">
              <w:t xml:space="preserve"> </w:t>
            </w:r>
            <w:r>
              <w:t xml:space="preserve">imports of scrap </w:t>
            </w:r>
            <w:r w:rsidR="003F0D69">
              <w:t xml:space="preserve">plastic and metal from Australia. </w:t>
            </w:r>
          </w:p>
          <w:p w14:paraId="2ADB258E" w14:textId="2DDD5B62" w:rsidR="003F0D69" w:rsidRDefault="003F0D69" w:rsidP="00BF2F78">
            <w:pPr>
              <w:pStyle w:val="BodyText"/>
              <w:spacing w:before="40" w:after="40"/>
              <w:cnfStyle w:val="000000000000" w:firstRow="0" w:lastRow="0" w:firstColumn="0" w:lastColumn="0" w:oddVBand="0" w:evenVBand="0" w:oddHBand="0" w:evenHBand="0" w:firstRowFirstColumn="0" w:firstRowLastColumn="0" w:lastRowFirstColumn="0" w:lastRowLastColumn="0"/>
            </w:pPr>
            <w:r>
              <w:t>E</w:t>
            </w:r>
            <w:r w:rsidRPr="00B224F5">
              <w:t xml:space="preserve">nvironmental </w:t>
            </w:r>
            <w:r w:rsidR="00C54D8A">
              <w:t xml:space="preserve">reference </w:t>
            </w:r>
            <w:r w:rsidRPr="00B224F5">
              <w:t xml:space="preserve">standards </w:t>
            </w:r>
            <w:r w:rsidR="00C54D8A">
              <w:t xml:space="preserve">are </w:t>
            </w:r>
            <w:r>
              <w:t>unavailable in English</w:t>
            </w:r>
            <w:r w:rsidRPr="00B224F5">
              <w:t>.</w:t>
            </w:r>
          </w:p>
        </w:tc>
      </w:tr>
      <w:bookmarkEnd w:id="12"/>
      <w:bookmarkEnd w:id="14"/>
    </w:tbl>
    <w:p w14:paraId="130C4E4C" w14:textId="77777777" w:rsidR="003F0D69" w:rsidRDefault="003F0D69" w:rsidP="00C54D8A">
      <w:pPr>
        <w:pStyle w:val="BodyText"/>
      </w:pPr>
    </w:p>
    <w:sectPr w:rsidR="003F0D69" w:rsidSect="00BE0C2A">
      <w:pgSz w:w="16838" w:h="11906" w:orient="landscape" w:code="9"/>
      <w:pgMar w:top="1134"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91EEE" w14:textId="77777777" w:rsidR="00BF2F78" w:rsidRDefault="00BF2F78" w:rsidP="00547C1A">
      <w:r>
        <w:separator/>
      </w:r>
    </w:p>
  </w:endnote>
  <w:endnote w:type="continuationSeparator" w:id="0">
    <w:p w14:paraId="5C8F68AD" w14:textId="77777777" w:rsidR="00BF2F78" w:rsidRDefault="00BF2F78"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5A420" w14:textId="77777777" w:rsidR="00BF2F78" w:rsidRDefault="00BF2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BF2F78" w:rsidRPr="00A71209" w:rsidRDefault="00BF2F78">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sidR="003130FB">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BF2F78" w:rsidRPr="00305B22" w:rsidRDefault="00BF2F78" w:rsidP="00305B22">
    <w:pPr>
      <w:pStyle w:val="Footer"/>
      <w:pBdr>
        <w:top w:val="none" w:sz="0" w:space="0" w:color="auto"/>
      </w:pBdr>
      <w:rPr>
        <w:rStyle w:val="PageNumber"/>
        <w:rFonts w:ascii="Arial" w:hAnsi="Arial"/>
        <w:b w:val="0"/>
        <w:color w:val="7F7F7F"/>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3811" w14:textId="77777777" w:rsidR="00BF2F78" w:rsidRDefault="00BF2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9FAD1" w14:textId="77777777" w:rsidR="00BF2F78" w:rsidRPr="00477147" w:rsidRDefault="00BF2F78" w:rsidP="00547C1A">
      <w:pPr>
        <w:rPr>
          <w:color w:val="4D4DB8" w:themeColor="accent1"/>
        </w:rPr>
      </w:pPr>
      <w:bookmarkStart w:id="0" w:name="_Hlk487465832"/>
      <w:bookmarkEnd w:id="0"/>
      <w:r w:rsidRPr="00477147">
        <w:rPr>
          <w:color w:val="4D4DB8" w:themeColor="accent1"/>
        </w:rPr>
        <w:separator/>
      </w:r>
    </w:p>
  </w:footnote>
  <w:footnote w:type="continuationSeparator" w:id="0">
    <w:p w14:paraId="593EA3A5" w14:textId="77777777" w:rsidR="00BF2F78" w:rsidRDefault="00BF2F78" w:rsidP="00547C1A">
      <w:r>
        <w:continuationSeparator/>
      </w:r>
    </w:p>
  </w:footnote>
  <w:footnote w:id="1">
    <w:p w14:paraId="033822EB" w14:textId="222F3AB3" w:rsidR="00BF2F78" w:rsidRDefault="00BF2F78" w:rsidP="00054717">
      <w:pPr>
        <w:pStyle w:val="FootnoteText"/>
        <w:spacing w:after="60"/>
      </w:pPr>
      <w:r>
        <w:rPr>
          <w:rStyle w:val="FootnoteReference"/>
        </w:rPr>
        <w:footnoteRef/>
      </w:r>
      <w:r>
        <w:t xml:space="preserve"> </w:t>
      </w:r>
      <w:r w:rsidRPr="004259D3">
        <w:t>Data in these summaries is sourced from the Australian Bureau of Statistics and is originally entered by exporters or their agents. It cannot be guaranteed that exporters use the correct codes</w:t>
      </w:r>
      <w:r>
        <w:t xml:space="preserve"> or values</w:t>
      </w:r>
      <w:r w:rsidRPr="004259D3">
        <w:t xml:space="preserve"> for their exports, so this data should be used with caution.</w:t>
      </w:r>
      <w:r>
        <w:t xml:space="preserve"> </w:t>
      </w:r>
      <w:r w:rsidRPr="00054717">
        <w:t>Data in these summaries is sourced from the Australian Bureau of Statistics and is originally entered by exporters or their agents. It cannot be guaranteed that exporters use the correct codes or values for their exports, so this data should be used with caution. Data may be revised for up to six months after initial publication as customs declarations are amended by individual traders. Due to these revisions, there may be discrepancies between this and preceding reports.</w:t>
      </w:r>
    </w:p>
  </w:footnote>
  <w:footnote w:id="2">
    <w:p w14:paraId="45CA29CA" w14:textId="0233C021" w:rsidR="00BF2F78" w:rsidRDefault="00BF2F78">
      <w:pPr>
        <w:pStyle w:val="FootnoteText"/>
      </w:pPr>
      <w:r>
        <w:rPr>
          <w:rStyle w:val="FootnoteReference"/>
        </w:rPr>
        <w:footnoteRef/>
      </w:r>
      <w:r>
        <w:t xml:space="preserve"> Some of these recovered materials contain a proportion of contamination (or ‘off-spec’ content) that needs to be extracted before the material can be used. </w:t>
      </w:r>
    </w:p>
  </w:footnote>
  <w:footnote w:id="3">
    <w:p w14:paraId="3CA0914A" w14:textId="0569E900" w:rsidR="00BF2F78" w:rsidRDefault="00BF2F78" w:rsidP="00EF1770">
      <w:pPr>
        <w:pStyle w:val="FootnoteText"/>
      </w:pPr>
      <w:r w:rsidRPr="005B07BD">
        <w:rPr>
          <w:rStyle w:val="FootnoteReference"/>
        </w:rPr>
        <w:footnoteRef/>
      </w:r>
      <w:r w:rsidRPr="005B07BD">
        <w:t xml:space="preserve"> </w:t>
      </w:r>
      <w:r w:rsidRPr="00CF3DA3">
        <w:t>Based on an analysis of Australian Border Force exports data for 2018-19. This data set contained differences from the ABS data analysed here, and neither are consistent with industry-reported export quantities. Further investigations are underway at the time of writing</w:t>
      </w:r>
      <w:r w:rsidRPr="005B07BD">
        <w:t>.</w:t>
      </w:r>
    </w:p>
  </w:footnote>
  <w:footnote w:id="4">
    <w:p w14:paraId="1E15BBE0" w14:textId="0414110A" w:rsidR="00BF2F78" w:rsidRDefault="00BF2F78" w:rsidP="005B160F">
      <w:pPr>
        <w:pStyle w:val="FootnoteText"/>
      </w:pPr>
    </w:p>
  </w:footnote>
  <w:footnote w:id="5">
    <w:p w14:paraId="45737465" w14:textId="77777777" w:rsidR="00BF2F78" w:rsidRDefault="00BF2F78" w:rsidP="003F0D69">
      <w:pPr>
        <w:pStyle w:val="FootnoteText"/>
      </w:pPr>
      <w:r>
        <w:rPr>
          <w:rStyle w:val="FootnoteReference"/>
        </w:rPr>
        <w:footnoteRef/>
      </w:r>
      <w:r>
        <w:t xml:space="preserve"> </w:t>
      </w:r>
      <w:r w:rsidRPr="00872A00">
        <w:t>Blue Environment (2018)</w:t>
      </w:r>
      <w:r w:rsidRPr="00191D6A">
        <w:t xml:space="preserve"> </w:t>
      </w:r>
      <w:hyperlink r:id="rId1" w:history="1">
        <w:r w:rsidRPr="005A5B49">
          <w:rPr>
            <w:rStyle w:val="Hyperlink"/>
            <w:sz w:val="18"/>
          </w:rPr>
          <w:t>Data on exports of recyclables from Australia to China</w:t>
        </w:r>
      </w:hyperlink>
    </w:p>
  </w:footnote>
  <w:footnote w:id="6">
    <w:p w14:paraId="79450E2B" w14:textId="77777777" w:rsidR="00BF2F78" w:rsidRPr="00105F0F" w:rsidRDefault="00BF2F78" w:rsidP="003F0D69">
      <w:pPr>
        <w:pStyle w:val="FootnoteText"/>
      </w:pPr>
      <w:r>
        <w:rPr>
          <w:rStyle w:val="FootnoteReference"/>
        </w:rPr>
        <w:footnoteRef/>
      </w:r>
      <w:r>
        <w:t xml:space="preserve"> </w:t>
      </w:r>
      <w:r w:rsidRPr="00E50A59">
        <w:rPr>
          <w:iCs/>
        </w:rPr>
        <w:t>Ministry of Commerce, State Development &amp; Reform Commission (incl. former State Development Planning Commission), General Administration of Customs (2018)</w:t>
      </w:r>
      <w:r w:rsidRPr="00105F0F">
        <w:rPr>
          <w:i/>
          <w:iCs/>
        </w:rPr>
        <w:t xml:space="preserve"> </w:t>
      </w:r>
      <w:r w:rsidRPr="00E50A59">
        <w:rPr>
          <w:i/>
          <w:iCs/>
        </w:rPr>
        <w:t>Announcement No. 6 [2018] of the Ministry of Ecology and Environment, the Ministry of Commerce, the National Development and Reform Commission and the General Administration of Customs</w:t>
      </w:r>
    </w:p>
  </w:footnote>
  <w:footnote w:id="7">
    <w:p w14:paraId="693D92C3" w14:textId="77777777" w:rsidR="00BF2F78" w:rsidRDefault="00BF2F78" w:rsidP="003F0D69">
      <w:pPr>
        <w:pStyle w:val="FootnoteText"/>
      </w:pPr>
      <w:r>
        <w:rPr>
          <w:rStyle w:val="FootnoteReference"/>
        </w:rPr>
        <w:footnoteRef/>
      </w:r>
      <w:r>
        <w:t xml:space="preserve"> Ministry of Ecology and Environment of the People’s Republic of China (2018) </w:t>
      </w:r>
      <w:hyperlink r:id="rId2" w:history="1">
        <w:r w:rsidRPr="00755BF9">
          <w:rPr>
            <w:rStyle w:val="Hyperlink"/>
            <w:sz w:val="18"/>
          </w:rPr>
          <w:t>Announcement on adjusting the catalogue of imported waste management</w:t>
        </w:r>
      </w:hyperlink>
    </w:p>
  </w:footnote>
  <w:footnote w:id="8">
    <w:p w14:paraId="7A342884" w14:textId="77777777" w:rsidR="00BF2F78" w:rsidRDefault="00BF2F78" w:rsidP="003F0D69">
      <w:pPr>
        <w:pStyle w:val="FootnoteText"/>
      </w:pPr>
      <w:r>
        <w:rPr>
          <w:rStyle w:val="FootnoteReference"/>
        </w:rPr>
        <w:footnoteRef/>
      </w:r>
      <w:r>
        <w:t xml:space="preserve"> Closed Loop Partners (6 October 2019) </w:t>
      </w:r>
      <w:hyperlink r:id="rId3" w:history="1">
        <w:r w:rsidRPr="00F25A23">
          <w:rPr>
            <w:rStyle w:val="Hyperlink"/>
            <w:sz w:val="18"/>
          </w:rPr>
          <w:t>The latest insights and analysis from Chris Cui, Director of Asia Programs</w:t>
        </w:r>
      </w:hyperlink>
    </w:p>
  </w:footnote>
  <w:footnote w:id="9">
    <w:p w14:paraId="3E033C73" w14:textId="77777777" w:rsidR="00BF2F78" w:rsidRDefault="00BF2F78" w:rsidP="003F0D69">
      <w:pPr>
        <w:pStyle w:val="FootnoteText"/>
      </w:pPr>
      <w:r>
        <w:rPr>
          <w:rStyle w:val="FootnoteReference"/>
        </w:rPr>
        <w:footnoteRef/>
      </w:r>
      <w:r>
        <w:t xml:space="preserve"> Resource Recycling (3 December 2019) </w:t>
      </w:r>
      <w:hyperlink r:id="rId4" w:history="1">
        <w:r w:rsidRPr="009819E3">
          <w:rPr>
            <w:rStyle w:val="Hyperlink"/>
            <w:sz w:val="18"/>
          </w:rPr>
          <w:t>Signals point to all-out recycled fiber ban in China</w:t>
        </w:r>
      </w:hyperlink>
    </w:p>
  </w:footnote>
  <w:footnote w:id="10">
    <w:p w14:paraId="1D32E238" w14:textId="77777777" w:rsidR="00BF2F78" w:rsidRDefault="00BF2F78" w:rsidP="003F0D69">
      <w:pPr>
        <w:pStyle w:val="FootnoteText"/>
      </w:pPr>
      <w:r>
        <w:rPr>
          <w:rStyle w:val="FootnoteReference"/>
        </w:rPr>
        <w:footnoteRef/>
      </w:r>
      <w:r>
        <w:t xml:space="preserve"> Bureau of International Recycling (24 December 2019) </w:t>
      </w:r>
      <w:hyperlink r:id="rId5" w:history="1">
        <w:r w:rsidRPr="007C0DAC">
          <w:rPr>
            <w:rStyle w:val="Hyperlink"/>
            <w:sz w:val="18"/>
          </w:rPr>
          <w:t>Chinese quotas for waste &amp; scrap imports: full list of 1</w:t>
        </w:r>
        <w:r w:rsidRPr="002F026E">
          <w:rPr>
            <w:rStyle w:val="Hyperlink"/>
            <w:sz w:val="18"/>
            <w:vertAlign w:val="superscript"/>
          </w:rPr>
          <w:t>st</w:t>
        </w:r>
        <w:r w:rsidRPr="007C0DAC">
          <w:rPr>
            <w:rStyle w:val="Hyperlink"/>
            <w:sz w:val="18"/>
          </w:rPr>
          <w:t xml:space="preserve"> batch 2020</w:t>
        </w:r>
      </w:hyperlink>
    </w:p>
  </w:footnote>
  <w:footnote w:id="11">
    <w:p w14:paraId="441D3B09" w14:textId="77777777" w:rsidR="00BF2F78" w:rsidRDefault="00BF2F78" w:rsidP="003F0D69">
      <w:pPr>
        <w:pStyle w:val="FootnoteText"/>
      </w:pPr>
      <w:r>
        <w:rPr>
          <w:rStyle w:val="FootnoteReference"/>
        </w:rPr>
        <w:footnoteRef/>
      </w:r>
      <w:r>
        <w:t xml:space="preserve"> Bureau of International Recycling (8 January 2020) </w:t>
      </w:r>
      <w:hyperlink r:id="rId6" w:history="1">
        <w:r w:rsidRPr="007C0DAC">
          <w:rPr>
            <w:rStyle w:val="Hyperlink"/>
            <w:sz w:val="18"/>
          </w:rPr>
          <w:t>Chinese quotas for waste &amp; scrap imports: full list of 2</w:t>
        </w:r>
        <w:r w:rsidRPr="002F026E">
          <w:rPr>
            <w:rStyle w:val="Hyperlink"/>
            <w:sz w:val="18"/>
            <w:vertAlign w:val="superscript"/>
          </w:rPr>
          <w:t>nd</w:t>
        </w:r>
        <w:r w:rsidRPr="007C0DAC">
          <w:rPr>
            <w:rStyle w:val="Hyperlink"/>
            <w:sz w:val="18"/>
          </w:rPr>
          <w:t xml:space="preserve"> batch 2020</w:t>
        </w:r>
      </w:hyperlink>
    </w:p>
  </w:footnote>
  <w:footnote w:id="12">
    <w:p w14:paraId="306EA70E" w14:textId="77777777" w:rsidR="00BF2F78" w:rsidRDefault="00BF2F78" w:rsidP="003F0D69">
      <w:pPr>
        <w:pStyle w:val="FootnoteText"/>
      </w:pPr>
      <w:r>
        <w:rPr>
          <w:rStyle w:val="FootnoteReference"/>
        </w:rPr>
        <w:footnoteRef/>
      </w:r>
      <w:r>
        <w:t xml:space="preserve"> Recycling Today (10 January 2020) </w:t>
      </w:r>
      <w:hyperlink r:id="rId7" w:history="1">
        <w:r w:rsidRPr="003E4F17">
          <w:rPr>
            <w:rStyle w:val="Hyperlink"/>
            <w:sz w:val="18"/>
          </w:rPr>
          <w:t>China issues second batch of scrap import quotas</w:t>
        </w:r>
      </w:hyperlink>
    </w:p>
  </w:footnote>
  <w:footnote w:id="13">
    <w:p w14:paraId="200B954F" w14:textId="77777777" w:rsidR="00BF2F78" w:rsidRDefault="00BF2F78" w:rsidP="003F0D69">
      <w:pPr>
        <w:pStyle w:val="FootnoteText"/>
      </w:pPr>
      <w:r>
        <w:rPr>
          <w:rStyle w:val="FootnoteReference"/>
        </w:rPr>
        <w:footnoteRef/>
      </w:r>
      <w:r>
        <w:t xml:space="preserve"> Business Today, (24 June 2019) </w:t>
      </w:r>
      <w:hyperlink r:id="rId8" w:history="1">
        <w:r w:rsidRPr="000D09E3">
          <w:rPr>
            <w:rStyle w:val="Hyperlink"/>
            <w:sz w:val="18"/>
          </w:rPr>
          <w:t>India bans import of plastic waste from August this year to curb pollution</w:t>
        </w:r>
      </w:hyperlink>
    </w:p>
  </w:footnote>
  <w:footnote w:id="14">
    <w:p w14:paraId="776BCDA4" w14:textId="77777777" w:rsidR="00BF2F78" w:rsidRDefault="00BF2F78" w:rsidP="003F0D69">
      <w:pPr>
        <w:pStyle w:val="FootnoteText"/>
      </w:pPr>
      <w:r>
        <w:rPr>
          <w:rStyle w:val="FootnoteReference"/>
        </w:rPr>
        <w:footnoteRef/>
      </w:r>
      <w:r>
        <w:t xml:space="preserve"> </w:t>
      </w:r>
      <w:r w:rsidRPr="00E50A59">
        <w:rPr>
          <w:iCs/>
        </w:rPr>
        <w:t>Ministry of Environment, Forest and Climate Change (2019)</w:t>
      </w:r>
      <w:r>
        <w:rPr>
          <w:i/>
          <w:iCs/>
        </w:rPr>
        <w:t xml:space="preserve"> </w:t>
      </w:r>
      <w:hyperlink r:id="rId9" w:history="1">
        <w:r w:rsidRPr="005A5B49">
          <w:rPr>
            <w:rStyle w:val="Hyperlink"/>
            <w:sz w:val="18"/>
          </w:rPr>
          <w:t>Amendment in Hazardous Waste (Management &amp; Transboundary Movement Rules, 2016)</w:t>
        </w:r>
      </w:hyperlink>
    </w:p>
  </w:footnote>
  <w:footnote w:id="15">
    <w:p w14:paraId="7DBCF387" w14:textId="77777777" w:rsidR="00BF2F78" w:rsidRDefault="00BF2F78" w:rsidP="003F0D69">
      <w:pPr>
        <w:pStyle w:val="FootnoteText"/>
      </w:pPr>
      <w:r>
        <w:rPr>
          <w:rStyle w:val="FootnoteReference"/>
        </w:rPr>
        <w:footnoteRef/>
      </w:r>
      <w:r>
        <w:t xml:space="preserve"> Business Standard, (2 December 2019) </w:t>
      </w:r>
      <w:hyperlink r:id="rId10" w:history="1">
        <w:r w:rsidRPr="00B674B5">
          <w:rPr>
            <w:rStyle w:val="Hyperlink"/>
            <w:sz w:val="18"/>
          </w:rPr>
          <w:t>Govt grants six month extension to plastic scrap imports in three SEZs</w:t>
        </w:r>
      </w:hyperlink>
    </w:p>
  </w:footnote>
  <w:footnote w:id="16">
    <w:p w14:paraId="54D7720F" w14:textId="77777777" w:rsidR="00BF2F78" w:rsidRDefault="00BF2F78" w:rsidP="003F0D69">
      <w:pPr>
        <w:pStyle w:val="FootnoteText"/>
      </w:pPr>
      <w:r>
        <w:rPr>
          <w:rStyle w:val="FootnoteReference"/>
        </w:rPr>
        <w:footnoteRef/>
      </w:r>
      <w:r>
        <w:t xml:space="preserve"> Waste Dive, (15 January 2020), </w:t>
      </w:r>
      <w:hyperlink r:id="rId11" w:history="1">
        <w:r w:rsidRPr="00316997">
          <w:rPr>
            <w:rStyle w:val="Hyperlink"/>
            <w:sz w:val="18"/>
          </w:rPr>
          <w:t>India to enforce 1% contamination rate on paper imports, conduct random inspections</w:t>
        </w:r>
      </w:hyperlink>
    </w:p>
  </w:footnote>
  <w:footnote w:id="17">
    <w:p w14:paraId="683F9891" w14:textId="77777777" w:rsidR="00BF2F78" w:rsidRDefault="00BF2F78" w:rsidP="003F0D69">
      <w:pPr>
        <w:pStyle w:val="FootnoteText"/>
      </w:pPr>
      <w:r>
        <w:rPr>
          <w:rStyle w:val="FootnoteReference"/>
        </w:rPr>
        <w:footnoteRef/>
      </w:r>
      <w:r>
        <w:t xml:space="preserve"> Argus (21 November 2019), </w:t>
      </w:r>
      <w:hyperlink r:id="rId12" w:history="1">
        <w:r w:rsidRPr="00E33E3D">
          <w:rPr>
            <w:rStyle w:val="Hyperlink"/>
            <w:sz w:val="18"/>
          </w:rPr>
          <w:t>Indonesia suspends scrap imports amid new policy</w:t>
        </w:r>
      </w:hyperlink>
    </w:p>
  </w:footnote>
  <w:footnote w:id="18">
    <w:p w14:paraId="6ACCDAD3" w14:textId="77777777" w:rsidR="00BF2F78" w:rsidRDefault="00BF2F78" w:rsidP="003F0D69">
      <w:pPr>
        <w:pStyle w:val="FootnoteText"/>
      </w:pPr>
      <w:r>
        <w:rPr>
          <w:rStyle w:val="FootnoteReference"/>
        </w:rPr>
        <w:footnoteRef/>
      </w:r>
      <w:r>
        <w:t xml:space="preserve"> VOA news (2019) </w:t>
      </w:r>
      <w:hyperlink r:id="rId13" w:history="1">
        <w:r w:rsidRPr="00CA1E1A">
          <w:rPr>
            <w:rStyle w:val="Hyperlink"/>
            <w:sz w:val="18"/>
          </w:rPr>
          <w:t>Indonesia vows to send back illegal plastic waste</w:t>
        </w:r>
      </w:hyperlink>
      <w:r>
        <w:t xml:space="preserve"> </w:t>
      </w:r>
    </w:p>
  </w:footnote>
  <w:footnote w:id="19">
    <w:p w14:paraId="4FF3BCEC" w14:textId="77777777" w:rsidR="00BF2F78" w:rsidRDefault="00BF2F78" w:rsidP="003F0D69">
      <w:pPr>
        <w:pStyle w:val="FootnoteText"/>
      </w:pPr>
      <w:r>
        <w:rPr>
          <w:rStyle w:val="FootnoteReference"/>
        </w:rPr>
        <w:footnoteRef/>
      </w:r>
      <w:r>
        <w:t xml:space="preserve"> Sydney Morning Herald (18 September 2019), </w:t>
      </w:r>
      <w:hyperlink r:id="rId14" w:history="1">
        <w:r w:rsidRPr="00944A36">
          <w:rPr>
            <w:rStyle w:val="Hyperlink"/>
            <w:sz w:val="18"/>
          </w:rPr>
          <w:t>Indonesia to ship 100 containers of contaminated waste to Australia</w:t>
        </w:r>
      </w:hyperlink>
    </w:p>
  </w:footnote>
  <w:footnote w:id="20">
    <w:p w14:paraId="54A395B5" w14:textId="77777777" w:rsidR="00BF2F78" w:rsidRDefault="00BF2F78" w:rsidP="003F0D69">
      <w:pPr>
        <w:pStyle w:val="FootnoteText"/>
      </w:pPr>
      <w:r>
        <w:rPr>
          <w:rStyle w:val="FootnoteReference"/>
        </w:rPr>
        <w:footnoteRef/>
      </w:r>
      <w:r>
        <w:t xml:space="preserve"> </w:t>
      </w:r>
      <w:r w:rsidRPr="0057619E">
        <w:t xml:space="preserve">Indonesia will ease rules on scrap metal imports, </w:t>
      </w:r>
      <w:hyperlink r:id="rId15" w:history="1">
        <w:r w:rsidRPr="0057619E">
          <w:rPr>
            <w:rStyle w:val="Hyperlink"/>
            <w:sz w:val="18"/>
          </w:rPr>
          <w:t>https://www.wastetodaymagazine.com/article/indonesia-will-ease-rules-on-import-of-scrap-metal/</w:t>
        </w:r>
      </w:hyperlink>
    </w:p>
  </w:footnote>
  <w:footnote w:id="21">
    <w:p w14:paraId="4A977BD5" w14:textId="77777777" w:rsidR="00BF2F78" w:rsidRDefault="00BF2F78" w:rsidP="003F0D69">
      <w:pPr>
        <w:pStyle w:val="FootnoteText"/>
      </w:pPr>
      <w:r>
        <w:rPr>
          <w:rStyle w:val="FootnoteReference"/>
        </w:rPr>
        <w:footnoteRef/>
      </w:r>
      <w:r>
        <w:t xml:space="preserve"> </w:t>
      </w:r>
      <w:r w:rsidRPr="00E50A59">
        <w:rPr>
          <w:iCs/>
        </w:rPr>
        <w:t>FMT News (2018)</w:t>
      </w:r>
      <w:r w:rsidRPr="00191D6A">
        <w:t xml:space="preserve"> </w:t>
      </w:r>
      <w:hyperlink r:id="rId16" w:history="1">
        <w:r w:rsidRPr="005A5B49">
          <w:rPr>
            <w:rStyle w:val="Hyperlink"/>
            <w:sz w:val="18"/>
          </w:rPr>
          <w:t>Permits to import plastic waste for 114 factories revoked</w:t>
        </w:r>
      </w:hyperlink>
    </w:p>
  </w:footnote>
  <w:footnote w:id="22">
    <w:p w14:paraId="3076768B" w14:textId="77777777" w:rsidR="00BF2F78" w:rsidRDefault="00BF2F78" w:rsidP="003F0D69">
      <w:pPr>
        <w:pStyle w:val="FootnoteText"/>
      </w:pPr>
      <w:r>
        <w:rPr>
          <w:rStyle w:val="FootnoteReference"/>
        </w:rPr>
        <w:footnoteRef/>
      </w:r>
      <w:r>
        <w:t xml:space="preserve"> </w:t>
      </w:r>
      <w:r w:rsidRPr="00E50A59">
        <w:rPr>
          <w:iCs/>
        </w:rPr>
        <w:t xml:space="preserve">Waste Management Review (2018) </w:t>
      </w:r>
      <w:hyperlink r:id="rId17" w:history="1">
        <w:r w:rsidRPr="00105F0F">
          <w:rPr>
            <w:rStyle w:val="Hyperlink"/>
            <w:iCs/>
            <w:sz w:val="18"/>
          </w:rPr>
          <w:t>Malaysia, Thailand and Vietnam waste import</w:t>
        </w:r>
        <w:r>
          <w:rPr>
            <w:rStyle w:val="Hyperlink"/>
            <w:iCs/>
            <w:sz w:val="18"/>
          </w:rPr>
          <w:t>s crackdown</w:t>
        </w:r>
      </w:hyperlink>
    </w:p>
  </w:footnote>
  <w:footnote w:id="23">
    <w:p w14:paraId="4BAE7602" w14:textId="77777777" w:rsidR="00BF2F78" w:rsidRPr="00105F0F" w:rsidRDefault="00BF2F78" w:rsidP="003F0D69">
      <w:pPr>
        <w:pStyle w:val="Notes"/>
        <w:ind w:left="0" w:firstLine="0"/>
        <w:rPr>
          <w:i w:val="0"/>
          <w:sz w:val="18"/>
        </w:rPr>
      </w:pPr>
      <w:r w:rsidRPr="00E50A59">
        <w:rPr>
          <w:rStyle w:val="FootnoteReference"/>
          <w:i w:val="0"/>
          <w:color w:val="auto"/>
        </w:rPr>
        <w:footnoteRef/>
      </w:r>
      <w:r>
        <w:t xml:space="preserve"> </w:t>
      </w:r>
      <w:r w:rsidRPr="00E50A59">
        <w:rPr>
          <w:i w:val="0"/>
          <w:color w:val="auto"/>
          <w:sz w:val="18"/>
        </w:rPr>
        <w:t xml:space="preserve">The Star Online (2018) </w:t>
      </w:r>
      <w:hyperlink r:id="rId18" w:history="1">
        <w:r w:rsidRPr="0020021B">
          <w:rPr>
            <w:rStyle w:val="Hyperlink"/>
            <w:i/>
            <w:sz w:val="18"/>
          </w:rPr>
          <w:t>Govt to ban import of all non-recyclable waste</w:t>
        </w:r>
      </w:hyperlink>
      <w:r w:rsidRPr="002D5CF7">
        <w:rPr>
          <w:i w:val="0"/>
          <w:sz w:val="18"/>
        </w:rPr>
        <w:t xml:space="preserve"> </w:t>
      </w:r>
    </w:p>
  </w:footnote>
  <w:footnote w:id="24">
    <w:p w14:paraId="7EF1F773" w14:textId="77777777" w:rsidR="00BF2F78" w:rsidRDefault="00BF2F78" w:rsidP="003F0D69">
      <w:pPr>
        <w:pStyle w:val="FootnoteText"/>
      </w:pPr>
      <w:r>
        <w:rPr>
          <w:rStyle w:val="FootnoteReference"/>
        </w:rPr>
        <w:footnoteRef/>
      </w:r>
      <w:r>
        <w:t xml:space="preserve"> </w:t>
      </w:r>
      <w:r w:rsidRPr="00CA1E1A">
        <w:rPr>
          <w:iCs/>
        </w:rPr>
        <w:t>The Australian (2019)</w:t>
      </w:r>
      <w:r w:rsidRPr="00CA1E1A">
        <w:rPr>
          <w:i/>
        </w:rPr>
        <w:t xml:space="preserve"> </w:t>
      </w:r>
      <w:hyperlink r:id="rId19" w:history="1">
        <w:r w:rsidRPr="00CA1E1A">
          <w:rPr>
            <w:rStyle w:val="Hyperlink"/>
            <w:sz w:val="18"/>
          </w:rPr>
          <w:t>Australia would vet any waste returns, says Ley</w:t>
        </w:r>
      </w:hyperlink>
      <w:r>
        <w:t xml:space="preserve"> </w:t>
      </w:r>
    </w:p>
  </w:footnote>
  <w:footnote w:id="25">
    <w:p w14:paraId="23AEF6FB" w14:textId="77777777" w:rsidR="00BF2F78" w:rsidRDefault="00BF2F78" w:rsidP="003F0D69">
      <w:pPr>
        <w:pStyle w:val="FootnoteText"/>
      </w:pPr>
      <w:r>
        <w:rPr>
          <w:rStyle w:val="FootnoteReference"/>
        </w:rPr>
        <w:footnoteRef/>
      </w:r>
      <w:r>
        <w:t xml:space="preserve"> Malaymail (2019) </w:t>
      </w:r>
      <w:hyperlink r:id="rId20" w:history="1">
        <w:r w:rsidRPr="00CA1E1A">
          <w:rPr>
            <w:rStyle w:val="Hyperlink"/>
            <w:sz w:val="18"/>
          </w:rPr>
          <w:t>Yeo Bee Yin moots RM1,500 charge per shipping container to cut illegal imported plastic waste</w:t>
        </w:r>
      </w:hyperlink>
      <w:r>
        <w:t xml:space="preserve"> </w:t>
      </w:r>
    </w:p>
  </w:footnote>
  <w:footnote w:id="26">
    <w:p w14:paraId="0A45CCEF" w14:textId="77777777" w:rsidR="00BF2F78" w:rsidRDefault="00BF2F78" w:rsidP="003F0D69">
      <w:pPr>
        <w:pStyle w:val="FootnoteText"/>
      </w:pPr>
      <w:r>
        <w:rPr>
          <w:rStyle w:val="FootnoteReference"/>
        </w:rPr>
        <w:footnoteRef/>
      </w:r>
      <w:r>
        <w:t xml:space="preserve"> EcoWatch</w:t>
      </w:r>
      <w:r w:rsidRPr="007A1452">
        <w:t xml:space="preserve"> (21 January 2020)</w:t>
      </w:r>
      <w:r>
        <w:t xml:space="preserve"> </w:t>
      </w:r>
      <w:hyperlink r:id="rId21" w:history="1">
        <w:r w:rsidRPr="007A1452">
          <w:rPr>
            <w:rStyle w:val="Hyperlink"/>
            <w:sz w:val="18"/>
          </w:rPr>
          <w:t>Malaysia sends plastic waste back to 13 wealthy countries, says it won’t be ‘the rubbish dump of the world’</w:t>
        </w:r>
      </w:hyperlink>
      <w:r w:rsidRPr="007A1452">
        <w:t>.</w:t>
      </w:r>
    </w:p>
  </w:footnote>
  <w:footnote w:id="27">
    <w:p w14:paraId="32D3A6D2" w14:textId="77777777" w:rsidR="00BF2F78" w:rsidRDefault="00BF2F78" w:rsidP="003F0D69">
      <w:pPr>
        <w:pStyle w:val="FootnoteText"/>
      </w:pPr>
      <w:r>
        <w:rPr>
          <w:rStyle w:val="FootnoteReference"/>
        </w:rPr>
        <w:footnoteRef/>
      </w:r>
      <w:r>
        <w:t xml:space="preserve"> ABS-CBN News (11 August 2019) </w:t>
      </w:r>
      <w:hyperlink r:id="rId22" w:history="1">
        <w:r w:rsidRPr="001A58FE">
          <w:rPr>
            <w:rStyle w:val="Hyperlink"/>
            <w:sz w:val="18"/>
          </w:rPr>
          <w:t>‘Pirma na lang kulang’: DENR all set to implement ban on waste imports</w:t>
        </w:r>
      </w:hyperlink>
    </w:p>
  </w:footnote>
  <w:footnote w:id="28">
    <w:p w14:paraId="7CB39064" w14:textId="77777777" w:rsidR="00BF2F78" w:rsidRPr="00105F0F" w:rsidRDefault="00BF2F78" w:rsidP="003F0D69">
      <w:pPr>
        <w:pStyle w:val="FootnoteText"/>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23" w:history="1">
        <w:r w:rsidRPr="0020021B">
          <w:rPr>
            <w:rStyle w:val="Hyperlink"/>
            <w:sz w:val="18"/>
          </w:rPr>
          <w:t>New waste plastic, paper import rules to take effect</w:t>
        </w:r>
      </w:hyperlink>
    </w:p>
  </w:footnote>
  <w:footnote w:id="29">
    <w:p w14:paraId="0FB73ED2" w14:textId="77777777" w:rsidR="00BF2F78" w:rsidRDefault="00BF2F78" w:rsidP="003F0D69">
      <w:pPr>
        <w:pStyle w:val="FootnoteText"/>
      </w:pPr>
      <w:r>
        <w:rPr>
          <w:rStyle w:val="FootnoteReference"/>
        </w:rPr>
        <w:footnoteRef/>
      </w:r>
      <w:r>
        <w:t xml:space="preserve"> </w:t>
      </w:r>
      <w:r w:rsidRPr="00191D6A">
        <w:rPr>
          <w:i/>
        </w:rPr>
        <w:t xml:space="preserve">The Nation (2018) </w:t>
      </w:r>
      <w:hyperlink r:id="rId24" w:history="1">
        <w:r w:rsidRPr="00105F0F">
          <w:rPr>
            <w:rStyle w:val="Hyperlink"/>
            <w:sz w:val="18"/>
          </w:rPr>
          <w:t>Import of plastic waste banned</w:t>
        </w:r>
      </w:hyperlink>
      <w:r w:rsidRPr="00191D6A">
        <w:rPr>
          <w:i/>
        </w:rPr>
        <w:t xml:space="preserve"> </w:t>
      </w:r>
    </w:p>
  </w:footnote>
  <w:footnote w:id="30">
    <w:p w14:paraId="03F1C6C0" w14:textId="77777777" w:rsidR="00BF2F78" w:rsidRPr="00105F0F" w:rsidRDefault="00BF2F78" w:rsidP="003F0D69">
      <w:pPr>
        <w:pStyle w:val="Notes"/>
        <w:ind w:left="0" w:firstLine="0"/>
        <w:rPr>
          <w:i w:val="0"/>
          <w:sz w:val="18"/>
        </w:rPr>
      </w:pPr>
      <w:r w:rsidRPr="00E50A59">
        <w:rPr>
          <w:rStyle w:val="FootnoteReference"/>
          <w:i w:val="0"/>
          <w:color w:val="auto"/>
          <w:sz w:val="18"/>
        </w:rPr>
        <w:footnoteRef/>
      </w:r>
      <w:r w:rsidRPr="00E50A59">
        <w:rPr>
          <w:i w:val="0"/>
          <w:color w:val="auto"/>
          <w:sz w:val="18"/>
        </w:rPr>
        <w:t xml:space="preserve"> CIWM (2018) </w:t>
      </w:r>
      <w:hyperlink r:id="rId25" w:history="1">
        <w:r w:rsidRPr="0020021B">
          <w:rPr>
            <w:rStyle w:val="Hyperlink"/>
            <w:i/>
            <w:sz w:val="18"/>
          </w:rPr>
          <w:t>Thailand set to ban plastic waste imports by 2021</w:t>
        </w:r>
      </w:hyperlink>
      <w:r>
        <w:rPr>
          <w:i w:val="0"/>
          <w:sz w:val="18"/>
        </w:rPr>
        <w:t xml:space="preserve"> </w:t>
      </w:r>
    </w:p>
  </w:footnote>
  <w:footnote w:id="31">
    <w:p w14:paraId="6D6259A9" w14:textId="77777777" w:rsidR="00BF2F78" w:rsidRDefault="00BF2F78" w:rsidP="003F0D69">
      <w:pPr>
        <w:pStyle w:val="FootnoteText"/>
      </w:pPr>
      <w:r>
        <w:rPr>
          <w:rStyle w:val="FootnoteReference"/>
        </w:rPr>
        <w:footnoteRef/>
      </w:r>
      <w:r>
        <w:t xml:space="preserve"> </w:t>
      </w:r>
      <w:hyperlink r:id="rId26" w:history="1">
        <w:r w:rsidRPr="00105F0F">
          <w:rPr>
            <w:rStyle w:val="Hyperlink"/>
            <w:sz w:val="18"/>
          </w:rPr>
          <w:t>Government Gazette Thailand</w:t>
        </w:r>
      </w:hyperlink>
      <w:r w:rsidRPr="00191D6A">
        <w:t xml:space="preserve"> (2018) </w:t>
      </w:r>
    </w:p>
  </w:footnote>
  <w:footnote w:id="32">
    <w:p w14:paraId="7116A526" w14:textId="77777777" w:rsidR="00BF2F78" w:rsidRDefault="00BF2F78" w:rsidP="003F0D69">
      <w:pPr>
        <w:pStyle w:val="FootnoteText"/>
      </w:pPr>
      <w:r w:rsidRPr="00E50A59">
        <w:rPr>
          <w:rStyle w:val="FootnoteReference"/>
          <w:color w:val="000000" w:themeColor="text1"/>
        </w:rPr>
        <w:footnoteRef/>
      </w:r>
      <w:r w:rsidRPr="00E50A59">
        <w:rPr>
          <w:color w:val="000000" w:themeColor="text1"/>
        </w:rPr>
        <w:t xml:space="preserve"> </w:t>
      </w:r>
      <w:r w:rsidRPr="00E50A59">
        <w:rPr>
          <w:iCs/>
        </w:rPr>
        <w:t>Vietnam Briefing (2018)</w:t>
      </w:r>
      <w:r w:rsidRPr="00E50A59">
        <w:t xml:space="preserve"> </w:t>
      </w:r>
      <w:hyperlink r:id="rId27" w:history="1">
        <w:r w:rsidRPr="00105F0F">
          <w:rPr>
            <w:rStyle w:val="Hyperlink"/>
            <w:iCs/>
            <w:sz w:val="18"/>
          </w:rPr>
          <w:t>Vietnam to Restrict Surging Scrap Imports</w:t>
        </w:r>
      </w:hyperlink>
      <w:r w:rsidRPr="00191D6A">
        <w:t xml:space="preserve"> </w:t>
      </w:r>
    </w:p>
  </w:footnote>
  <w:footnote w:id="33">
    <w:p w14:paraId="0CCA8D48" w14:textId="77777777" w:rsidR="00BF2F78" w:rsidRDefault="00BF2F78" w:rsidP="003F0D69">
      <w:pPr>
        <w:pStyle w:val="FootnoteText"/>
      </w:pPr>
      <w:r>
        <w:rPr>
          <w:rStyle w:val="FootnoteReference"/>
        </w:rPr>
        <w:footnoteRef/>
      </w:r>
      <w:r>
        <w:t xml:space="preserve"> VN Express International (2019) </w:t>
      </w:r>
      <w:r w:rsidRPr="005904C7">
        <w:rPr>
          <w:i/>
        </w:rPr>
        <w:t>Vietnam to end plastic scrap imports from 2025</w:t>
      </w:r>
    </w:p>
  </w:footnote>
  <w:footnote w:id="34">
    <w:p w14:paraId="519ABAFA" w14:textId="77777777" w:rsidR="00BF2F78" w:rsidRDefault="00BF2F78" w:rsidP="003F0D69">
      <w:pPr>
        <w:pStyle w:val="FootnoteText"/>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28" w:history="1">
        <w:r w:rsidRPr="00105F0F">
          <w:rPr>
            <w:rStyle w:val="Hyperlink"/>
            <w:iCs/>
            <w:sz w:val="18"/>
          </w:rPr>
          <w:t>Vietnam to ban imports of plastic from used electronics</w:t>
        </w:r>
      </w:hyperlink>
      <w:r w:rsidRPr="003827FC">
        <w:rPr>
          <w:color w:val="4D4DB8" w:themeColor="accent1"/>
        </w:rPr>
        <w:t xml:space="preserve"> </w:t>
      </w:r>
    </w:p>
  </w:footnote>
  <w:footnote w:id="35">
    <w:p w14:paraId="3803EF06" w14:textId="77777777" w:rsidR="00BF2F78" w:rsidRPr="00105F0F" w:rsidRDefault="00BF2F78" w:rsidP="003F0D69">
      <w:pPr>
        <w:rPr>
          <w:i/>
          <w:iCs/>
          <w:color w:val="0000FF"/>
          <w:sz w:val="18"/>
          <w:szCs w:val="18"/>
          <w:u w:val="single"/>
        </w:rPr>
      </w:pPr>
      <w:r w:rsidRPr="00E50A59">
        <w:rPr>
          <w:rStyle w:val="FootnoteReference"/>
          <w:sz w:val="18"/>
        </w:rPr>
        <w:footnoteRef/>
      </w:r>
      <w:r w:rsidRPr="00E50A59">
        <w:rPr>
          <w:sz w:val="18"/>
        </w:rPr>
        <w:t xml:space="preserve"> </w:t>
      </w:r>
      <w:r w:rsidRPr="00E50A59">
        <w:rPr>
          <w:iCs/>
          <w:sz w:val="18"/>
          <w:szCs w:val="18"/>
        </w:rPr>
        <w:t xml:space="preserve">VietnamPlus (2019) </w:t>
      </w:r>
      <w:hyperlink r:id="rId29" w:history="1">
        <w:r w:rsidRPr="00105F0F">
          <w:rPr>
            <w:rStyle w:val="Hyperlink"/>
            <w:iCs/>
            <w:sz w:val="18"/>
            <w:szCs w:val="18"/>
          </w:rPr>
          <w:t>Scrap imports through road, railway border gates to be banned</w:t>
        </w:r>
      </w:hyperlink>
      <w:r w:rsidRPr="003332A9">
        <w:rPr>
          <w:iCs/>
          <w:color w:val="000000" w:themeColor="text1"/>
          <w:sz w:val="18"/>
          <w:szCs w:val="18"/>
        </w:rPr>
        <w:t>,</w:t>
      </w:r>
      <w:r>
        <w:rPr>
          <w:iCs/>
          <w:color w:val="4D4DB8" w:themeColor="accent1"/>
          <w:sz w:val="18"/>
          <w:szCs w:val="18"/>
        </w:rPr>
        <w:t xml:space="preserve"> </w:t>
      </w:r>
      <w:r w:rsidRPr="0020021B">
        <w:rPr>
          <w:iCs/>
          <w:color w:val="000000" w:themeColor="text1"/>
          <w:sz w:val="18"/>
          <w:szCs w:val="18"/>
        </w:rPr>
        <w:t>Ministry of Information and Communications</w:t>
      </w:r>
    </w:p>
  </w:footnote>
  <w:footnote w:id="36">
    <w:p w14:paraId="09F589BB" w14:textId="77777777" w:rsidR="00BF2F78" w:rsidRPr="00105F0F" w:rsidRDefault="00BF2F78" w:rsidP="003F0D69">
      <w:pPr>
        <w:pStyle w:val="FootnoteText"/>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30" w:history="1">
        <w:r w:rsidRPr="00105F0F">
          <w:rPr>
            <w:rStyle w:val="Hyperlink"/>
            <w:iCs/>
            <w:sz w:val="18"/>
          </w:rPr>
          <w:t>Vietnam’s Jan scrap imports plunge amid stricter government rules</w:t>
        </w:r>
      </w:hyperlink>
      <w:r w:rsidRPr="00105F0F">
        <w:rPr>
          <w:rStyle w:val="Hyperlink"/>
          <w:i w:val="0"/>
          <w:iCs/>
          <w:color w:val="auto"/>
          <w:sz w:val="18"/>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52006" w14:textId="77777777" w:rsidR="00BF2F78" w:rsidRDefault="00BF2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DC01" w14:textId="33ECAE69" w:rsidR="00BF2F78" w:rsidRDefault="00BF2F78" w:rsidP="00F255F5">
    <w:pPr>
      <w:pStyle w:val="Header"/>
      <w:jc w:val="right"/>
    </w:pPr>
    <w:r>
      <w:rPr>
        <w:noProof/>
        <w:lang w:eastAsia="en-AU"/>
      </w:rPr>
      <w:drawing>
        <wp:inline distT="0" distB="0" distL="0" distR="0" wp14:anchorId="501D369F" wp14:editId="0BC5527F">
          <wp:extent cx="1692000" cy="291600"/>
          <wp:effectExtent l="0" t="0" r="3810" b="0"/>
          <wp:docPr id="1" name="Picture 1"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D248" w14:textId="77777777" w:rsidR="00BF2F78" w:rsidRDefault="00BF2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5"/>
  </w:num>
  <w:num w:numId="14">
    <w:abstractNumId w:val="21"/>
  </w:num>
  <w:num w:numId="15">
    <w:abstractNumId w:val="21"/>
    <w:lvlOverride w:ilvl="0">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14"/>
  </w:num>
  <w:num w:numId="21">
    <w:abstractNumId w:val="1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0E"/>
    <w:rsid w:val="000023DB"/>
    <w:rsid w:val="00006858"/>
    <w:rsid w:val="00007F34"/>
    <w:rsid w:val="000107D9"/>
    <w:rsid w:val="00013771"/>
    <w:rsid w:val="00014326"/>
    <w:rsid w:val="00014661"/>
    <w:rsid w:val="00014D20"/>
    <w:rsid w:val="00015680"/>
    <w:rsid w:val="00016958"/>
    <w:rsid w:val="00017CE2"/>
    <w:rsid w:val="000200AA"/>
    <w:rsid w:val="0002458A"/>
    <w:rsid w:val="00027BF6"/>
    <w:rsid w:val="000314C2"/>
    <w:rsid w:val="00031E18"/>
    <w:rsid w:val="00034E04"/>
    <w:rsid w:val="00034E49"/>
    <w:rsid w:val="00042878"/>
    <w:rsid w:val="00043891"/>
    <w:rsid w:val="00043904"/>
    <w:rsid w:val="00047756"/>
    <w:rsid w:val="00050375"/>
    <w:rsid w:val="00050D40"/>
    <w:rsid w:val="00051040"/>
    <w:rsid w:val="00051315"/>
    <w:rsid w:val="00051B6E"/>
    <w:rsid w:val="000522BD"/>
    <w:rsid w:val="00054717"/>
    <w:rsid w:val="000548F7"/>
    <w:rsid w:val="00055860"/>
    <w:rsid w:val="00055F20"/>
    <w:rsid w:val="000606D8"/>
    <w:rsid w:val="0006188C"/>
    <w:rsid w:val="0006462D"/>
    <w:rsid w:val="000649A6"/>
    <w:rsid w:val="000652A8"/>
    <w:rsid w:val="00065F58"/>
    <w:rsid w:val="00066339"/>
    <w:rsid w:val="000741BE"/>
    <w:rsid w:val="000774B8"/>
    <w:rsid w:val="00077859"/>
    <w:rsid w:val="0008116C"/>
    <w:rsid w:val="00081A6E"/>
    <w:rsid w:val="000839C7"/>
    <w:rsid w:val="00084A66"/>
    <w:rsid w:val="00085DEB"/>
    <w:rsid w:val="000861EA"/>
    <w:rsid w:val="000934A9"/>
    <w:rsid w:val="000946CC"/>
    <w:rsid w:val="00096145"/>
    <w:rsid w:val="0009631E"/>
    <w:rsid w:val="000A1226"/>
    <w:rsid w:val="000A4807"/>
    <w:rsid w:val="000A699D"/>
    <w:rsid w:val="000A6DC0"/>
    <w:rsid w:val="000B1B45"/>
    <w:rsid w:val="000B279D"/>
    <w:rsid w:val="000B70E6"/>
    <w:rsid w:val="000C10AF"/>
    <w:rsid w:val="000C2908"/>
    <w:rsid w:val="000C2E15"/>
    <w:rsid w:val="000C3953"/>
    <w:rsid w:val="000C3D48"/>
    <w:rsid w:val="000D09E3"/>
    <w:rsid w:val="000D1DD0"/>
    <w:rsid w:val="000D318A"/>
    <w:rsid w:val="000D59D5"/>
    <w:rsid w:val="000D5C62"/>
    <w:rsid w:val="000D7BAE"/>
    <w:rsid w:val="000E0DCE"/>
    <w:rsid w:val="000E12DA"/>
    <w:rsid w:val="000E25E2"/>
    <w:rsid w:val="000E33C6"/>
    <w:rsid w:val="000E3E5E"/>
    <w:rsid w:val="000E3ECE"/>
    <w:rsid w:val="000E58CE"/>
    <w:rsid w:val="000E66E1"/>
    <w:rsid w:val="000E701C"/>
    <w:rsid w:val="000E7A91"/>
    <w:rsid w:val="000F0866"/>
    <w:rsid w:val="000F0D44"/>
    <w:rsid w:val="000F315D"/>
    <w:rsid w:val="000F3C58"/>
    <w:rsid w:val="000F41D1"/>
    <w:rsid w:val="000F5668"/>
    <w:rsid w:val="000F5E99"/>
    <w:rsid w:val="000F730D"/>
    <w:rsid w:val="000F7B61"/>
    <w:rsid w:val="00104E96"/>
    <w:rsid w:val="0010581B"/>
    <w:rsid w:val="00105927"/>
    <w:rsid w:val="00105F0F"/>
    <w:rsid w:val="00106FFD"/>
    <w:rsid w:val="001136A4"/>
    <w:rsid w:val="00115E81"/>
    <w:rsid w:val="00116EF5"/>
    <w:rsid w:val="0011783B"/>
    <w:rsid w:val="00121B6C"/>
    <w:rsid w:val="00122A4F"/>
    <w:rsid w:val="00122C59"/>
    <w:rsid w:val="001231DB"/>
    <w:rsid w:val="00123654"/>
    <w:rsid w:val="00131654"/>
    <w:rsid w:val="00132EE2"/>
    <w:rsid w:val="00133D29"/>
    <w:rsid w:val="001366C5"/>
    <w:rsid w:val="00136CCB"/>
    <w:rsid w:val="001375D7"/>
    <w:rsid w:val="00137604"/>
    <w:rsid w:val="001431F2"/>
    <w:rsid w:val="00143570"/>
    <w:rsid w:val="00143698"/>
    <w:rsid w:val="00144EAA"/>
    <w:rsid w:val="001469F7"/>
    <w:rsid w:val="001535C3"/>
    <w:rsid w:val="00153E95"/>
    <w:rsid w:val="0015519B"/>
    <w:rsid w:val="001553AE"/>
    <w:rsid w:val="00157C85"/>
    <w:rsid w:val="00160076"/>
    <w:rsid w:val="0016119B"/>
    <w:rsid w:val="00163D4C"/>
    <w:rsid w:val="001656C3"/>
    <w:rsid w:val="00166F3F"/>
    <w:rsid w:val="00172B6E"/>
    <w:rsid w:val="00175583"/>
    <w:rsid w:val="0017623C"/>
    <w:rsid w:val="00176D89"/>
    <w:rsid w:val="00177B4E"/>
    <w:rsid w:val="00180FF6"/>
    <w:rsid w:val="0018220D"/>
    <w:rsid w:val="0019139B"/>
    <w:rsid w:val="00191D6A"/>
    <w:rsid w:val="00192FBE"/>
    <w:rsid w:val="001942C6"/>
    <w:rsid w:val="00194C0F"/>
    <w:rsid w:val="0019506F"/>
    <w:rsid w:val="0019594A"/>
    <w:rsid w:val="001963F3"/>
    <w:rsid w:val="001970F8"/>
    <w:rsid w:val="001971DA"/>
    <w:rsid w:val="00197629"/>
    <w:rsid w:val="001A2FCD"/>
    <w:rsid w:val="001A38D7"/>
    <w:rsid w:val="001A3DBD"/>
    <w:rsid w:val="001A4FA1"/>
    <w:rsid w:val="001A57A1"/>
    <w:rsid w:val="001A58FE"/>
    <w:rsid w:val="001A6A49"/>
    <w:rsid w:val="001B208E"/>
    <w:rsid w:val="001B3845"/>
    <w:rsid w:val="001B40C7"/>
    <w:rsid w:val="001B4275"/>
    <w:rsid w:val="001B7EA7"/>
    <w:rsid w:val="001C0F90"/>
    <w:rsid w:val="001C1171"/>
    <w:rsid w:val="001C2471"/>
    <w:rsid w:val="001C36FC"/>
    <w:rsid w:val="001C3828"/>
    <w:rsid w:val="001C39D1"/>
    <w:rsid w:val="001C4FE6"/>
    <w:rsid w:val="001C6967"/>
    <w:rsid w:val="001D0455"/>
    <w:rsid w:val="001D40D7"/>
    <w:rsid w:val="001D4217"/>
    <w:rsid w:val="001E0118"/>
    <w:rsid w:val="001E0B3F"/>
    <w:rsid w:val="001E2C16"/>
    <w:rsid w:val="001E554E"/>
    <w:rsid w:val="001E6B7B"/>
    <w:rsid w:val="001F036C"/>
    <w:rsid w:val="001F0D42"/>
    <w:rsid w:val="001F137E"/>
    <w:rsid w:val="001F17C8"/>
    <w:rsid w:val="001F1F2C"/>
    <w:rsid w:val="001F6713"/>
    <w:rsid w:val="001F7B08"/>
    <w:rsid w:val="00200153"/>
    <w:rsid w:val="0020021B"/>
    <w:rsid w:val="002018D5"/>
    <w:rsid w:val="00201F87"/>
    <w:rsid w:val="00202222"/>
    <w:rsid w:val="002045AC"/>
    <w:rsid w:val="0021020D"/>
    <w:rsid w:val="00213BD8"/>
    <w:rsid w:val="00215B3A"/>
    <w:rsid w:val="00217DFA"/>
    <w:rsid w:val="002216DF"/>
    <w:rsid w:val="00222291"/>
    <w:rsid w:val="0022408C"/>
    <w:rsid w:val="0022523F"/>
    <w:rsid w:val="00225C83"/>
    <w:rsid w:val="002264E8"/>
    <w:rsid w:val="00231550"/>
    <w:rsid w:val="0023197E"/>
    <w:rsid w:val="00231FF3"/>
    <w:rsid w:val="00236E59"/>
    <w:rsid w:val="002434AE"/>
    <w:rsid w:val="00244D2C"/>
    <w:rsid w:val="00247DB2"/>
    <w:rsid w:val="00250458"/>
    <w:rsid w:val="00250D19"/>
    <w:rsid w:val="002517A1"/>
    <w:rsid w:val="00253E7C"/>
    <w:rsid w:val="00254A4D"/>
    <w:rsid w:val="00255077"/>
    <w:rsid w:val="00255205"/>
    <w:rsid w:val="002563F5"/>
    <w:rsid w:val="00256665"/>
    <w:rsid w:val="00257A39"/>
    <w:rsid w:val="002611E3"/>
    <w:rsid w:val="002615D4"/>
    <w:rsid w:val="00261FD6"/>
    <w:rsid w:val="00262898"/>
    <w:rsid w:val="00262C2C"/>
    <w:rsid w:val="002640DC"/>
    <w:rsid w:val="00264EAA"/>
    <w:rsid w:val="00265249"/>
    <w:rsid w:val="00265675"/>
    <w:rsid w:val="00266398"/>
    <w:rsid w:val="0026691B"/>
    <w:rsid w:val="00266D4C"/>
    <w:rsid w:val="002671B4"/>
    <w:rsid w:val="00267775"/>
    <w:rsid w:val="0027261E"/>
    <w:rsid w:val="00273BFA"/>
    <w:rsid w:val="00276674"/>
    <w:rsid w:val="00276C0F"/>
    <w:rsid w:val="00277E9A"/>
    <w:rsid w:val="0028017F"/>
    <w:rsid w:val="002808F6"/>
    <w:rsid w:val="0028399E"/>
    <w:rsid w:val="00284DFB"/>
    <w:rsid w:val="00290209"/>
    <w:rsid w:val="00290FED"/>
    <w:rsid w:val="0029322D"/>
    <w:rsid w:val="002956B7"/>
    <w:rsid w:val="00296B46"/>
    <w:rsid w:val="00297755"/>
    <w:rsid w:val="002A04C7"/>
    <w:rsid w:val="002A1FC6"/>
    <w:rsid w:val="002A3EEE"/>
    <w:rsid w:val="002A4789"/>
    <w:rsid w:val="002A4B1D"/>
    <w:rsid w:val="002A6BD6"/>
    <w:rsid w:val="002A7D62"/>
    <w:rsid w:val="002A7FC6"/>
    <w:rsid w:val="002B0A12"/>
    <w:rsid w:val="002B0A1C"/>
    <w:rsid w:val="002B1C11"/>
    <w:rsid w:val="002B3841"/>
    <w:rsid w:val="002B5D38"/>
    <w:rsid w:val="002B6855"/>
    <w:rsid w:val="002C1FCE"/>
    <w:rsid w:val="002C6513"/>
    <w:rsid w:val="002C79D3"/>
    <w:rsid w:val="002C7FCC"/>
    <w:rsid w:val="002D3048"/>
    <w:rsid w:val="002D5CF7"/>
    <w:rsid w:val="002D5EC9"/>
    <w:rsid w:val="002D7EAE"/>
    <w:rsid w:val="002E0503"/>
    <w:rsid w:val="002E0839"/>
    <w:rsid w:val="002E19D0"/>
    <w:rsid w:val="002E3BAB"/>
    <w:rsid w:val="002E413D"/>
    <w:rsid w:val="002E44F5"/>
    <w:rsid w:val="002E5092"/>
    <w:rsid w:val="002E50A2"/>
    <w:rsid w:val="002E646C"/>
    <w:rsid w:val="002E73CE"/>
    <w:rsid w:val="002F026E"/>
    <w:rsid w:val="002F0992"/>
    <w:rsid w:val="002F0A4E"/>
    <w:rsid w:val="002F21C0"/>
    <w:rsid w:val="002F2F10"/>
    <w:rsid w:val="002F63DB"/>
    <w:rsid w:val="002F673E"/>
    <w:rsid w:val="00301125"/>
    <w:rsid w:val="00301ECE"/>
    <w:rsid w:val="0030202E"/>
    <w:rsid w:val="003020CC"/>
    <w:rsid w:val="00304F93"/>
    <w:rsid w:val="00305B22"/>
    <w:rsid w:val="00306728"/>
    <w:rsid w:val="00310533"/>
    <w:rsid w:val="003109EB"/>
    <w:rsid w:val="00311B2F"/>
    <w:rsid w:val="003130FB"/>
    <w:rsid w:val="00313D56"/>
    <w:rsid w:val="00314373"/>
    <w:rsid w:val="00315A6B"/>
    <w:rsid w:val="00320095"/>
    <w:rsid w:val="003318A6"/>
    <w:rsid w:val="0033301F"/>
    <w:rsid w:val="003332A9"/>
    <w:rsid w:val="0033455F"/>
    <w:rsid w:val="00334DD5"/>
    <w:rsid w:val="003354D5"/>
    <w:rsid w:val="0033615A"/>
    <w:rsid w:val="003364B1"/>
    <w:rsid w:val="00336883"/>
    <w:rsid w:val="00336889"/>
    <w:rsid w:val="00341996"/>
    <w:rsid w:val="00344366"/>
    <w:rsid w:val="003505D5"/>
    <w:rsid w:val="003522E8"/>
    <w:rsid w:val="00354F01"/>
    <w:rsid w:val="003555F8"/>
    <w:rsid w:val="0035674A"/>
    <w:rsid w:val="003609B9"/>
    <w:rsid w:val="00360F6D"/>
    <w:rsid w:val="00361CA1"/>
    <w:rsid w:val="00365DA2"/>
    <w:rsid w:val="00366627"/>
    <w:rsid w:val="00366EF8"/>
    <w:rsid w:val="00367049"/>
    <w:rsid w:val="003705B5"/>
    <w:rsid w:val="00370946"/>
    <w:rsid w:val="00370989"/>
    <w:rsid w:val="003719CE"/>
    <w:rsid w:val="003723CE"/>
    <w:rsid w:val="00373F48"/>
    <w:rsid w:val="003766C8"/>
    <w:rsid w:val="0038008F"/>
    <w:rsid w:val="0038250B"/>
    <w:rsid w:val="003827FC"/>
    <w:rsid w:val="00382BD3"/>
    <w:rsid w:val="0038378E"/>
    <w:rsid w:val="0038678C"/>
    <w:rsid w:val="0038755B"/>
    <w:rsid w:val="003905AB"/>
    <w:rsid w:val="00393835"/>
    <w:rsid w:val="00394F07"/>
    <w:rsid w:val="00396E64"/>
    <w:rsid w:val="00397378"/>
    <w:rsid w:val="00397677"/>
    <w:rsid w:val="003A1072"/>
    <w:rsid w:val="003A2728"/>
    <w:rsid w:val="003A3106"/>
    <w:rsid w:val="003A4F41"/>
    <w:rsid w:val="003A67D8"/>
    <w:rsid w:val="003A6C54"/>
    <w:rsid w:val="003B0ED0"/>
    <w:rsid w:val="003B181B"/>
    <w:rsid w:val="003B1B8A"/>
    <w:rsid w:val="003B3436"/>
    <w:rsid w:val="003B3CFA"/>
    <w:rsid w:val="003B469B"/>
    <w:rsid w:val="003B4A97"/>
    <w:rsid w:val="003C1174"/>
    <w:rsid w:val="003C1F67"/>
    <w:rsid w:val="003C4D4E"/>
    <w:rsid w:val="003C5EAE"/>
    <w:rsid w:val="003C6AC7"/>
    <w:rsid w:val="003D0563"/>
    <w:rsid w:val="003D1A4F"/>
    <w:rsid w:val="003D1E13"/>
    <w:rsid w:val="003D2515"/>
    <w:rsid w:val="003D2DDC"/>
    <w:rsid w:val="003D33AB"/>
    <w:rsid w:val="003D4044"/>
    <w:rsid w:val="003D6C47"/>
    <w:rsid w:val="003E20DE"/>
    <w:rsid w:val="003E301C"/>
    <w:rsid w:val="003E3DD9"/>
    <w:rsid w:val="003E405B"/>
    <w:rsid w:val="003E4F17"/>
    <w:rsid w:val="003E59EA"/>
    <w:rsid w:val="003F0185"/>
    <w:rsid w:val="003F0D69"/>
    <w:rsid w:val="003F3AD3"/>
    <w:rsid w:val="003F494C"/>
    <w:rsid w:val="003F4D50"/>
    <w:rsid w:val="003F4FB0"/>
    <w:rsid w:val="003F6A76"/>
    <w:rsid w:val="00401A62"/>
    <w:rsid w:val="00401DFB"/>
    <w:rsid w:val="00402ED9"/>
    <w:rsid w:val="004031A9"/>
    <w:rsid w:val="00403648"/>
    <w:rsid w:val="004049FC"/>
    <w:rsid w:val="00410421"/>
    <w:rsid w:val="00410587"/>
    <w:rsid w:val="00417E73"/>
    <w:rsid w:val="00420935"/>
    <w:rsid w:val="004219AE"/>
    <w:rsid w:val="004256CC"/>
    <w:rsid w:val="004259D3"/>
    <w:rsid w:val="0042604B"/>
    <w:rsid w:val="004263D5"/>
    <w:rsid w:val="0043219D"/>
    <w:rsid w:val="004368A9"/>
    <w:rsid w:val="00437FF2"/>
    <w:rsid w:val="004408F6"/>
    <w:rsid w:val="004412D9"/>
    <w:rsid w:val="00441371"/>
    <w:rsid w:val="00441933"/>
    <w:rsid w:val="00442670"/>
    <w:rsid w:val="00442ED0"/>
    <w:rsid w:val="00443603"/>
    <w:rsid w:val="004446F3"/>
    <w:rsid w:val="004463A1"/>
    <w:rsid w:val="00447505"/>
    <w:rsid w:val="00451269"/>
    <w:rsid w:val="00457D8E"/>
    <w:rsid w:val="00460A12"/>
    <w:rsid w:val="00461BB4"/>
    <w:rsid w:val="004646A2"/>
    <w:rsid w:val="00465F75"/>
    <w:rsid w:val="0046685C"/>
    <w:rsid w:val="004713B0"/>
    <w:rsid w:val="00474E0C"/>
    <w:rsid w:val="00475DC9"/>
    <w:rsid w:val="00477147"/>
    <w:rsid w:val="00481E0F"/>
    <w:rsid w:val="00482477"/>
    <w:rsid w:val="00482856"/>
    <w:rsid w:val="0048299E"/>
    <w:rsid w:val="00482EF7"/>
    <w:rsid w:val="00484DFB"/>
    <w:rsid w:val="00486797"/>
    <w:rsid w:val="004867B8"/>
    <w:rsid w:val="00490D7E"/>
    <w:rsid w:val="00491214"/>
    <w:rsid w:val="0049132A"/>
    <w:rsid w:val="00493FA0"/>
    <w:rsid w:val="00495C3F"/>
    <w:rsid w:val="00496CD5"/>
    <w:rsid w:val="00497733"/>
    <w:rsid w:val="00497EE5"/>
    <w:rsid w:val="004A3DD6"/>
    <w:rsid w:val="004A46CD"/>
    <w:rsid w:val="004A5E7A"/>
    <w:rsid w:val="004A77F6"/>
    <w:rsid w:val="004B2354"/>
    <w:rsid w:val="004B27C7"/>
    <w:rsid w:val="004B3734"/>
    <w:rsid w:val="004B6823"/>
    <w:rsid w:val="004B6E4C"/>
    <w:rsid w:val="004B7CBE"/>
    <w:rsid w:val="004C0DC4"/>
    <w:rsid w:val="004C0F5B"/>
    <w:rsid w:val="004C1CA3"/>
    <w:rsid w:val="004C1D5F"/>
    <w:rsid w:val="004C3B41"/>
    <w:rsid w:val="004C4856"/>
    <w:rsid w:val="004C5A2C"/>
    <w:rsid w:val="004C6D06"/>
    <w:rsid w:val="004C75E0"/>
    <w:rsid w:val="004D0434"/>
    <w:rsid w:val="004D32F7"/>
    <w:rsid w:val="004D4A33"/>
    <w:rsid w:val="004D5093"/>
    <w:rsid w:val="004D5578"/>
    <w:rsid w:val="004E148C"/>
    <w:rsid w:val="004E1FC6"/>
    <w:rsid w:val="004E4C1B"/>
    <w:rsid w:val="004E5976"/>
    <w:rsid w:val="004E688C"/>
    <w:rsid w:val="004E6A2E"/>
    <w:rsid w:val="004E7AA6"/>
    <w:rsid w:val="004F19D5"/>
    <w:rsid w:val="004F24B8"/>
    <w:rsid w:val="004F2E03"/>
    <w:rsid w:val="004F329B"/>
    <w:rsid w:val="004F442E"/>
    <w:rsid w:val="004F4E2F"/>
    <w:rsid w:val="004F779A"/>
    <w:rsid w:val="0050015F"/>
    <w:rsid w:val="00501E45"/>
    <w:rsid w:val="00503A65"/>
    <w:rsid w:val="00504672"/>
    <w:rsid w:val="005079FD"/>
    <w:rsid w:val="00510A11"/>
    <w:rsid w:val="0051139B"/>
    <w:rsid w:val="005117F0"/>
    <w:rsid w:val="00513E03"/>
    <w:rsid w:val="00516295"/>
    <w:rsid w:val="00516C79"/>
    <w:rsid w:val="005172DB"/>
    <w:rsid w:val="00517A38"/>
    <w:rsid w:val="0052052F"/>
    <w:rsid w:val="00520FC2"/>
    <w:rsid w:val="00521A3D"/>
    <w:rsid w:val="00521AE2"/>
    <w:rsid w:val="00521EA8"/>
    <w:rsid w:val="00523405"/>
    <w:rsid w:val="005262CD"/>
    <w:rsid w:val="00526B65"/>
    <w:rsid w:val="005277C3"/>
    <w:rsid w:val="0053592C"/>
    <w:rsid w:val="00536866"/>
    <w:rsid w:val="00536908"/>
    <w:rsid w:val="00537D30"/>
    <w:rsid w:val="00541B11"/>
    <w:rsid w:val="00543B80"/>
    <w:rsid w:val="00545999"/>
    <w:rsid w:val="00545CCF"/>
    <w:rsid w:val="00547C1A"/>
    <w:rsid w:val="0055017E"/>
    <w:rsid w:val="00552D4C"/>
    <w:rsid w:val="00552FE4"/>
    <w:rsid w:val="00553D3C"/>
    <w:rsid w:val="00556303"/>
    <w:rsid w:val="00557B1F"/>
    <w:rsid w:val="0056030E"/>
    <w:rsid w:val="00560CC1"/>
    <w:rsid w:val="00561237"/>
    <w:rsid w:val="00562DE7"/>
    <w:rsid w:val="00563C8B"/>
    <w:rsid w:val="00565389"/>
    <w:rsid w:val="0056599B"/>
    <w:rsid w:val="00565AC8"/>
    <w:rsid w:val="00570A0A"/>
    <w:rsid w:val="00571A19"/>
    <w:rsid w:val="00573A5A"/>
    <w:rsid w:val="00573CC4"/>
    <w:rsid w:val="00575150"/>
    <w:rsid w:val="00575654"/>
    <w:rsid w:val="0057619E"/>
    <w:rsid w:val="00576B04"/>
    <w:rsid w:val="00577455"/>
    <w:rsid w:val="00580908"/>
    <w:rsid w:val="005823AE"/>
    <w:rsid w:val="005824D7"/>
    <w:rsid w:val="005830D2"/>
    <w:rsid w:val="00584D11"/>
    <w:rsid w:val="00585A9B"/>
    <w:rsid w:val="00586128"/>
    <w:rsid w:val="00586267"/>
    <w:rsid w:val="00586F34"/>
    <w:rsid w:val="005904C7"/>
    <w:rsid w:val="00590562"/>
    <w:rsid w:val="00591FF1"/>
    <w:rsid w:val="00595644"/>
    <w:rsid w:val="00596392"/>
    <w:rsid w:val="00596FCB"/>
    <w:rsid w:val="005A0ECD"/>
    <w:rsid w:val="005A2A30"/>
    <w:rsid w:val="005A40AE"/>
    <w:rsid w:val="005A4E17"/>
    <w:rsid w:val="005A5B49"/>
    <w:rsid w:val="005A7AD1"/>
    <w:rsid w:val="005B07BD"/>
    <w:rsid w:val="005B15C7"/>
    <w:rsid w:val="005B160F"/>
    <w:rsid w:val="005B483C"/>
    <w:rsid w:val="005B5FFA"/>
    <w:rsid w:val="005B6A95"/>
    <w:rsid w:val="005B6C44"/>
    <w:rsid w:val="005B731E"/>
    <w:rsid w:val="005C315D"/>
    <w:rsid w:val="005C412D"/>
    <w:rsid w:val="005C6724"/>
    <w:rsid w:val="005C67B9"/>
    <w:rsid w:val="005D0755"/>
    <w:rsid w:val="005D1638"/>
    <w:rsid w:val="005D178B"/>
    <w:rsid w:val="005D2265"/>
    <w:rsid w:val="005D3783"/>
    <w:rsid w:val="005D3814"/>
    <w:rsid w:val="005D4EA3"/>
    <w:rsid w:val="005D617C"/>
    <w:rsid w:val="005D75C7"/>
    <w:rsid w:val="005D787D"/>
    <w:rsid w:val="005D7FF8"/>
    <w:rsid w:val="005E12C6"/>
    <w:rsid w:val="005E1702"/>
    <w:rsid w:val="005E1BEF"/>
    <w:rsid w:val="005E39FD"/>
    <w:rsid w:val="005E50C3"/>
    <w:rsid w:val="005E59B0"/>
    <w:rsid w:val="005E5A3C"/>
    <w:rsid w:val="005E5F46"/>
    <w:rsid w:val="005F14FE"/>
    <w:rsid w:val="005F2419"/>
    <w:rsid w:val="005F3024"/>
    <w:rsid w:val="005F4829"/>
    <w:rsid w:val="005F4BDB"/>
    <w:rsid w:val="005F6BF5"/>
    <w:rsid w:val="005F6EFF"/>
    <w:rsid w:val="005F7EEB"/>
    <w:rsid w:val="0060601B"/>
    <w:rsid w:val="00610014"/>
    <w:rsid w:val="006104FE"/>
    <w:rsid w:val="00612C28"/>
    <w:rsid w:val="00612D59"/>
    <w:rsid w:val="006162CD"/>
    <w:rsid w:val="0062038E"/>
    <w:rsid w:val="00623AD1"/>
    <w:rsid w:val="00625053"/>
    <w:rsid w:val="006251E9"/>
    <w:rsid w:val="006261B0"/>
    <w:rsid w:val="00626CAF"/>
    <w:rsid w:val="00630519"/>
    <w:rsid w:val="00630F97"/>
    <w:rsid w:val="00631434"/>
    <w:rsid w:val="00631749"/>
    <w:rsid w:val="00631D0D"/>
    <w:rsid w:val="00632DE1"/>
    <w:rsid w:val="0063431F"/>
    <w:rsid w:val="006345C1"/>
    <w:rsid w:val="006371CB"/>
    <w:rsid w:val="00640D49"/>
    <w:rsid w:val="00642752"/>
    <w:rsid w:val="0064473D"/>
    <w:rsid w:val="00644B42"/>
    <w:rsid w:val="0064528E"/>
    <w:rsid w:val="006475A9"/>
    <w:rsid w:val="006476D3"/>
    <w:rsid w:val="00650E8A"/>
    <w:rsid w:val="00651DFE"/>
    <w:rsid w:val="006547CD"/>
    <w:rsid w:val="00656530"/>
    <w:rsid w:val="006631D5"/>
    <w:rsid w:val="00663C3A"/>
    <w:rsid w:val="00664264"/>
    <w:rsid w:val="00664415"/>
    <w:rsid w:val="00665063"/>
    <w:rsid w:val="0067118E"/>
    <w:rsid w:val="00671A53"/>
    <w:rsid w:val="00672009"/>
    <w:rsid w:val="0067231D"/>
    <w:rsid w:val="006737A1"/>
    <w:rsid w:val="00675759"/>
    <w:rsid w:val="0068174D"/>
    <w:rsid w:val="00686D9E"/>
    <w:rsid w:val="006901E8"/>
    <w:rsid w:val="00691DDE"/>
    <w:rsid w:val="0069256F"/>
    <w:rsid w:val="00692A52"/>
    <w:rsid w:val="00693880"/>
    <w:rsid w:val="00693E99"/>
    <w:rsid w:val="00695DC1"/>
    <w:rsid w:val="00697462"/>
    <w:rsid w:val="006A0847"/>
    <w:rsid w:val="006A1417"/>
    <w:rsid w:val="006A1A5B"/>
    <w:rsid w:val="006A2F6E"/>
    <w:rsid w:val="006A3543"/>
    <w:rsid w:val="006B0D83"/>
    <w:rsid w:val="006B238A"/>
    <w:rsid w:val="006B2DAC"/>
    <w:rsid w:val="006B3F22"/>
    <w:rsid w:val="006B4A0C"/>
    <w:rsid w:val="006B50B9"/>
    <w:rsid w:val="006B7391"/>
    <w:rsid w:val="006B76BB"/>
    <w:rsid w:val="006B7DF4"/>
    <w:rsid w:val="006C08A5"/>
    <w:rsid w:val="006C0A94"/>
    <w:rsid w:val="006C19FD"/>
    <w:rsid w:val="006C1E19"/>
    <w:rsid w:val="006C6C29"/>
    <w:rsid w:val="006C6C97"/>
    <w:rsid w:val="006C74ED"/>
    <w:rsid w:val="006D11BA"/>
    <w:rsid w:val="006D1602"/>
    <w:rsid w:val="006D29AB"/>
    <w:rsid w:val="006D33AE"/>
    <w:rsid w:val="006E03D8"/>
    <w:rsid w:val="006E0DB6"/>
    <w:rsid w:val="006E269A"/>
    <w:rsid w:val="006E315C"/>
    <w:rsid w:val="006E4B05"/>
    <w:rsid w:val="006E6F4D"/>
    <w:rsid w:val="006E6F9A"/>
    <w:rsid w:val="006E734B"/>
    <w:rsid w:val="006F31B4"/>
    <w:rsid w:val="006F3380"/>
    <w:rsid w:val="006F6612"/>
    <w:rsid w:val="006F6913"/>
    <w:rsid w:val="006F6C28"/>
    <w:rsid w:val="006F6D2B"/>
    <w:rsid w:val="00700716"/>
    <w:rsid w:val="00702B60"/>
    <w:rsid w:val="00703F4D"/>
    <w:rsid w:val="007055D4"/>
    <w:rsid w:val="0071141D"/>
    <w:rsid w:val="00711753"/>
    <w:rsid w:val="00713D44"/>
    <w:rsid w:val="0071574A"/>
    <w:rsid w:val="00715A1B"/>
    <w:rsid w:val="00716423"/>
    <w:rsid w:val="0071690A"/>
    <w:rsid w:val="00716B02"/>
    <w:rsid w:val="00720C59"/>
    <w:rsid w:val="00721788"/>
    <w:rsid w:val="00723D0A"/>
    <w:rsid w:val="00725E8F"/>
    <w:rsid w:val="00727060"/>
    <w:rsid w:val="00727DA1"/>
    <w:rsid w:val="0073030C"/>
    <w:rsid w:val="00731617"/>
    <w:rsid w:val="007324B7"/>
    <w:rsid w:val="0073416B"/>
    <w:rsid w:val="00736431"/>
    <w:rsid w:val="00736DE2"/>
    <w:rsid w:val="007374F2"/>
    <w:rsid w:val="00740031"/>
    <w:rsid w:val="0074180C"/>
    <w:rsid w:val="00742904"/>
    <w:rsid w:val="00745106"/>
    <w:rsid w:val="00750819"/>
    <w:rsid w:val="00750BDD"/>
    <w:rsid w:val="007512CB"/>
    <w:rsid w:val="0075133C"/>
    <w:rsid w:val="00752905"/>
    <w:rsid w:val="007546EA"/>
    <w:rsid w:val="00755BF9"/>
    <w:rsid w:val="00755DA7"/>
    <w:rsid w:val="00762252"/>
    <w:rsid w:val="00767CBE"/>
    <w:rsid w:val="00771C77"/>
    <w:rsid w:val="0077452F"/>
    <w:rsid w:val="00776E0E"/>
    <w:rsid w:val="00777F54"/>
    <w:rsid w:val="00781943"/>
    <w:rsid w:val="00782F3B"/>
    <w:rsid w:val="00783169"/>
    <w:rsid w:val="0078324A"/>
    <w:rsid w:val="00783F02"/>
    <w:rsid w:val="00784028"/>
    <w:rsid w:val="0078517F"/>
    <w:rsid w:val="00786763"/>
    <w:rsid w:val="0079092B"/>
    <w:rsid w:val="007928A3"/>
    <w:rsid w:val="00793B55"/>
    <w:rsid w:val="007949F6"/>
    <w:rsid w:val="00795D05"/>
    <w:rsid w:val="007A0C03"/>
    <w:rsid w:val="007A1857"/>
    <w:rsid w:val="007A43BA"/>
    <w:rsid w:val="007B3736"/>
    <w:rsid w:val="007B39FB"/>
    <w:rsid w:val="007B3A98"/>
    <w:rsid w:val="007C0DAC"/>
    <w:rsid w:val="007C1276"/>
    <w:rsid w:val="007C3F3D"/>
    <w:rsid w:val="007C4044"/>
    <w:rsid w:val="007C425C"/>
    <w:rsid w:val="007C45B4"/>
    <w:rsid w:val="007C497D"/>
    <w:rsid w:val="007C7DE7"/>
    <w:rsid w:val="007D0211"/>
    <w:rsid w:val="007D1E63"/>
    <w:rsid w:val="007D33A0"/>
    <w:rsid w:val="007D37FC"/>
    <w:rsid w:val="007D4090"/>
    <w:rsid w:val="007D58DE"/>
    <w:rsid w:val="007E063A"/>
    <w:rsid w:val="007E5F8F"/>
    <w:rsid w:val="007E7FD6"/>
    <w:rsid w:val="007F145E"/>
    <w:rsid w:val="007F2123"/>
    <w:rsid w:val="007F2140"/>
    <w:rsid w:val="007F25E4"/>
    <w:rsid w:val="007F3865"/>
    <w:rsid w:val="007F7C59"/>
    <w:rsid w:val="0080052F"/>
    <w:rsid w:val="00801789"/>
    <w:rsid w:val="00802BBD"/>
    <w:rsid w:val="00804D06"/>
    <w:rsid w:val="00807842"/>
    <w:rsid w:val="00810C2E"/>
    <w:rsid w:val="00811306"/>
    <w:rsid w:val="00814A71"/>
    <w:rsid w:val="00816EE5"/>
    <w:rsid w:val="0082296E"/>
    <w:rsid w:val="00823A6A"/>
    <w:rsid w:val="00823D18"/>
    <w:rsid w:val="008248D2"/>
    <w:rsid w:val="00825E99"/>
    <w:rsid w:val="008272A4"/>
    <w:rsid w:val="00827E2D"/>
    <w:rsid w:val="0083200E"/>
    <w:rsid w:val="00833524"/>
    <w:rsid w:val="0083490A"/>
    <w:rsid w:val="00834E74"/>
    <w:rsid w:val="0083650A"/>
    <w:rsid w:val="00837CF1"/>
    <w:rsid w:val="00840806"/>
    <w:rsid w:val="008446E0"/>
    <w:rsid w:val="00845EAB"/>
    <w:rsid w:val="00847BBC"/>
    <w:rsid w:val="00850B51"/>
    <w:rsid w:val="0085170E"/>
    <w:rsid w:val="008523B0"/>
    <w:rsid w:val="00852AE7"/>
    <w:rsid w:val="00855F59"/>
    <w:rsid w:val="00857AD7"/>
    <w:rsid w:val="008606EB"/>
    <w:rsid w:val="00861D95"/>
    <w:rsid w:val="00861E89"/>
    <w:rsid w:val="00862033"/>
    <w:rsid w:val="00862833"/>
    <w:rsid w:val="00863038"/>
    <w:rsid w:val="00872A00"/>
    <w:rsid w:val="00874868"/>
    <w:rsid w:val="00874D3D"/>
    <w:rsid w:val="00876684"/>
    <w:rsid w:val="00880891"/>
    <w:rsid w:val="00880F41"/>
    <w:rsid w:val="00884766"/>
    <w:rsid w:val="00885649"/>
    <w:rsid w:val="00885D18"/>
    <w:rsid w:val="008879E5"/>
    <w:rsid w:val="0089181D"/>
    <w:rsid w:val="008919C7"/>
    <w:rsid w:val="008937A4"/>
    <w:rsid w:val="00895804"/>
    <w:rsid w:val="00896252"/>
    <w:rsid w:val="00896EB8"/>
    <w:rsid w:val="008A0D3C"/>
    <w:rsid w:val="008A16FB"/>
    <w:rsid w:val="008A1D9F"/>
    <w:rsid w:val="008A49C3"/>
    <w:rsid w:val="008A4E9B"/>
    <w:rsid w:val="008B177A"/>
    <w:rsid w:val="008B1DA0"/>
    <w:rsid w:val="008B21A5"/>
    <w:rsid w:val="008B2842"/>
    <w:rsid w:val="008B3C77"/>
    <w:rsid w:val="008B646C"/>
    <w:rsid w:val="008B6593"/>
    <w:rsid w:val="008C0048"/>
    <w:rsid w:val="008C3D68"/>
    <w:rsid w:val="008C6B84"/>
    <w:rsid w:val="008C6D41"/>
    <w:rsid w:val="008C7057"/>
    <w:rsid w:val="008D15AD"/>
    <w:rsid w:val="008D516F"/>
    <w:rsid w:val="008D646F"/>
    <w:rsid w:val="008D77C5"/>
    <w:rsid w:val="008D7C70"/>
    <w:rsid w:val="008E153A"/>
    <w:rsid w:val="008E2C98"/>
    <w:rsid w:val="008E5F9C"/>
    <w:rsid w:val="008E67E6"/>
    <w:rsid w:val="008E6FF4"/>
    <w:rsid w:val="008F0305"/>
    <w:rsid w:val="008F121D"/>
    <w:rsid w:val="008F1ED6"/>
    <w:rsid w:val="008F26D9"/>
    <w:rsid w:val="008F31FE"/>
    <w:rsid w:val="008F4C02"/>
    <w:rsid w:val="008F5145"/>
    <w:rsid w:val="008F748B"/>
    <w:rsid w:val="008F7A17"/>
    <w:rsid w:val="00902041"/>
    <w:rsid w:val="0090278C"/>
    <w:rsid w:val="00902AF0"/>
    <w:rsid w:val="009047BC"/>
    <w:rsid w:val="00905908"/>
    <w:rsid w:val="009064CB"/>
    <w:rsid w:val="0091002F"/>
    <w:rsid w:val="009114DF"/>
    <w:rsid w:val="00912344"/>
    <w:rsid w:val="00913C37"/>
    <w:rsid w:val="00915F93"/>
    <w:rsid w:val="0092100C"/>
    <w:rsid w:val="00922B5B"/>
    <w:rsid w:val="00923764"/>
    <w:rsid w:val="00930441"/>
    <w:rsid w:val="00933C8A"/>
    <w:rsid w:val="009350B9"/>
    <w:rsid w:val="00935BC8"/>
    <w:rsid w:val="00940D53"/>
    <w:rsid w:val="00940DD2"/>
    <w:rsid w:val="00941AE1"/>
    <w:rsid w:val="0094285D"/>
    <w:rsid w:val="00944A36"/>
    <w:rsid w:val="00945681"/>
    <w:rsid w:val="00945E63"/>
    <w:rsid w:val="0094793E"/>
    <w:rsid w:val="00947FCD"/>
    <w:rsid w:val="009505E6"/>
    <w:rsid w:val="00951F53"/>
    <w:rsid w:val="009524F9"/>
    <w:rsid w:val="00952B75"/>
    <w:rsid w:val="009530D1"/>
    <w:rsid w:val="009552E9"/>
    <w:rsid w:val="00956115"/>
    <w:rsid w:val="00960CEF"/>
    <w:rsid w:val="00960FF7"/>
    <w:rsid w:val="0096184D"/>
    <w:rsid w:val="009645E9"/>
    <w:rsid w:val="00964AB4"/>
    <w:rsid w:val="00964AC0"/>
    <w:rsid w:val="00965509"/>
    <w:rsid w:val="009667B2"/>
    <w:rsid w:val="00967DEE"/>
    <w:rsid w:val="00973E3D"/>
    <w:rsid w:val="009741F3"/>
    <w:rsid w:val="00976D0A"/>
    <w:rsid w:val="00976ECA"/>
    <w:rsid w:val="0097771C"/>
    <w:rsid w:val="00980A91"/>
    <w:rsid w:val="00981458"/>
    <w:rsid w:val="00984A69"/>
    <w:rsid w:val="00985CC9"/>
    <w:rsid w:val="009863A9"/>
    <w:rsid w:val="00987346"/>
    <w:rsid w:val="00987416"/>
    <w:rsid w:val="00991B38"/>
    <w:rsid w:val="00992D94"/>
    <w:rsid w:val="00996685"/>
    <w:rsid w:val="00997A7D"/>
    <w:rsid w:val="009A103F"/>
    <w:rsid w:val="009A18DD"/>
    <w:rsid w:val="009A33A3"/>
    <w:rsid w:val="009A4DB5"/>
    <w:rsid w:val="009A5030"/>
    <w:rsid w:val="009A50E1"/>
    <w:rsid w:val="009B11C1"/>
    <w:rsid w:val="009B1926"/>
    <w:rsid w:val="009B1F51"/>
    <w:rsid w:val="009B29C4"/>
    <w:rsid w:val="009B47F5"/>
    <w:rsid w:val="009B5609"/>
    <w:rsid w:val="009B642A"/>
    <w:rsid w:val="009C0FDB"/>
    <w:rsid w:val="009C0FFC"/>
    <w:rsid w:val="009C19BC"/>
    <w:rsid w:val="009C2E6B"/>
    <w:rsid w:val="009C2EA2"/>
    <w:rsid w:val="009C3A4B"/>
    <w:rsid w:val="009C3A74"/>
    <w:rsid w:val="009C3D34"/>
    <w:rsid w:val="009C42B6"/>
    <w:rsid w:val="009C465E"/>
    <w:rsid w:val="009C712E"/>
    <w:rsid w:val="009C7A35"/>
    <w:rsid w:val="009C7AAF"/>
    <w:rsid w:val="009D0155"/>
    <w:rsid w:val="009D04F9"/>
    <w:rsid w:val="009D1226"/>
    <w:rsid w:val="009D36AE"/>
    <w:rsid w:val="009D38AD"/>
    <w:rsid w:val="009D493F"/>
    <w:rsid w:val="009D58DF"/>
    <w:rsid w:val="009D64DD"/>
    <w:rsid w:val="009E2447"/>
    <w:rsid w:val="009E3FF9"/>
    <w:rsid w:val="009E56D2"/>
    <w:rsid w:val="009E5752"/>
    <w:rsid w:val="009E6EAE"/>
    <w:rsid w:val="009E7DBE"/>
    <w:rsid w:val="009F212A"/>
    <w:rsid w:val="009F4BC2"/>
    <w:rsid w:val="009F560F"/>
    <w:rsid w:val="009F614F"/>
    <w:rsid w:val="009F7431"/>
    <w:rsid w:val="009F7E35"/>
    <w:rsid w:val="00A013C9"/>
    <w:rsid w:val="00A02FFD"/>
    <w:rsid w:val="00A050E2"/>
    <w:rsid w:val="00A1122A"/>
    <w:rsid w:val="00A134CA"/>
    <w:rsid w:val="00A16B0B"/>
    <w:rsid w:val="00A176B0"/>
    <w:rsid w:val="00A214E5"/>
    <w:rsid w:val="00A23B8D"/>
    <w:rsid w:val="00A24ED9"/>
    <w:rsid w:val="00A34DD3"/>
    <w:rsid w:val="00A362ED"/>
    <w:rsid w:val="00A37319"/>
    <w:rsid w:val="00A37673"/>
    <w:rsid w:val="00A420D2"/>
    <w:rsid w:val="00A433D1"/>
    <w:rsid w:val="00A435B5"/>
    <w:rsid w:val="00A4384D"/>
    <w:rsid w:val="00A453CB"/>
    <w:rsid w:val="00A4674D"/>
    <w:rsid w:val="00A46CCA"/>
    <w:rsid w:val="00A5001F"/>
    <w:rsid w:val="00A517CF"/>
    <w:rsid w:val="00A5533E"/>
    <w:rsid w:val="00A55896"/>
    <w:rsid w:val="00A57D87"/>
    <w:rsid w:val="00A600A6"/>
    <w:rsid w:val="00A612F7"/>
    <w:rsid w:val="00A624C9"/>
    <w:rsid w:val="00A669F1"/>
    <w:rsid w:val="00A675B6"/>
    <w:rsid w:val="00A71209"/>
    <w:rsid w:val="00A71807"/>
    <w:rsid w:val="00A73D3E"/>
    <w:rsid w:val="00A7504E"/>
    <w:rsid w:val="00A7645B"/>
    <w:rsid w:val="00A77312"/>
    <w:rsid w:val="00A77E8B"/>
    <w:rsid w:val="00A81460"/>
    <w:rsid w:val="00A81990"/>
    <w:rsid w:val="00A82D58"/>
    <w:rsid w:val="00A83CD5"/>
    <w:rsid w:val="00A84DAF"/>
    <w:rsid w:val="00A85C7C"/>
    <w:rsid w:val="00A8638A"/>
    <w:rsid w:val="00A87F19"/>
    <w:rsid w:val="00A9103D"/>
    <w:rsid w:val="00A92656"/>
    <w:rsid w:val="00A92D63"/>
    <w:rsid w:val="00A9344A"/>
    <w:rsid w:val="00A95735"/>
    <w:rsid w:val="00A95FBD"/>
    <w:rsid w:val="00A9619C"/>
    <w:rsid w:val="00A9680F"/>
    <w:rsid w:val="00AA22AF"/>
    <w:rsid w:val="00AA2363"/>
    <w:rsid w:val="00AA57C9"/>
    <w:rsid w:val="00AA7BD3"/>
    <w:rsid w:val="00AB236F"/>
    <w:rsid w:val="00AB2574"/>
    <w:rsid w:val="00AB26A6"/>
    <w:rsid w:val="00AB4EB8"/>
    <w:rsid w:val="00AC14A5"/>
    <w:rsid w:val="00AC3BAB"/>
    <w:rsid w:val="00AC3DB7"/>
    <w:rsid w:val="00AC4863"/>
    <w:rsid w:val="00AC5947"/>
    <w:rsid w:val="00AD1354"/>
    <w:rsid w:val="00AD2429"/>
    <w:rsid w:val="00AD2911"/>
    <w:rsid w:val="00AD3D97"/>
    <w:rsid w:val="00AD5E6D"/>
    <w:rsid w:val="00AD65C5"/>
    <w:rsid w:val="00AE1086"/>
    <w:rsid w:val="00AE299D"/>
    <w:rsid w:val="00AE3329"/>
    <w:rsid w:val="00AE5451"/>
    <w:rsid w:val="00AE799D"/>
    <w:rsid w:val="00AF0FF8"/>
    <w:rsid w:val="00AF1D05"/>
    <w:rsid w:val="00AF26D0"/>
    <w:rsid w:val="00AF302E"/>
    <w:rsid w:val="00AF4310"/>
    <w:rsid w:val="00AF5036"/>
    <w:rsid w:val="00AF5622"/>
    <w:rsid w:val="00AF7A55"/>
    <w:rsid w:val="00B00AED"/>
    <w:rsid w:val="00B019BC"/>
    <w:rsid w:val="00B02451"/>
    <w:rsid w:val="00B02A2E"/>
    <w:rsid w:val="00B07DF6"/>
    <w:rsid w:val="00B11172"/>
    <w:rsid w:val="00B145AC"/>
    <w:rsid w:val="00B16888"/>
    <w:rsid w:val="00B17DC8"/>
    <w:rsid w:val="00B20ADC"/>
    <w:rsid w:val="00B21745"/>
    <w:rsid w:val="00B224F5"/>
    <w:rsid w:val="00B25C64"/>
    <w:rsid w:val="00B2685C"/>
    <w:rsid w:val="00B30925"/>
    <w:rsid w:val="00B35626"/>
    <w:rsid w:val="00B43145"/>
    <w:rsid w:val="00B431B5"/>
    <w:rsid w:val="00B4323F"/>
    <w:rsid w:val="00B4774E"/>
    <w:rsid w:val="00B47CDD"/>
    <w:rsid w:val="00B50BE7"/>
    <w:rsid w:val="00B5155E"/>
    <w:rsid w:val="00B568A9"/>
    <w:rsid w:val="00B60941"/>
    <w:rsid w:val="00B60EA5"/>
    <w:rsid w:val="00B619C3"/>
    <w:rsid w:val="00B65019"/>
    <w:rsid w:val="00B65D6C"/>
    <w:rsid w:val="00B668E8"/>
    <w:rsid w:val="00B674BC"/>
    <w:rsid w:val="00B70EF1"/>
    <w:rsid w:val="00B71CDE"/>
    <w:rsid w:val="00B72250"/>
    <w:rsid w:val="00B732B7"/>
    <w:rsid w:val="00B74934"/>
    <w:rsid w:val="00B80137"/>
    <w:rsid w:val="00B80468"/>
    <w:rsid w:val="00B81344"/>
    <w:rsid w:val="00B81754"/>
    <w:rsid w:val="00B81A1E"/>
    <w:rsid w:val="00B81C50"/>
    <w:rsid w:val="00B82CE6"/>
    <w:rsid w:val="00B840BF"/>
    <w:rsid w:val="00B86C1B"/>
    <w:rsid w:val="00B86F3F"/>
    <w:rsid w:val="00B87C9E"/>
    <w:rsid w:val="00B9046D"/>
    <w:rsid w:val="00B914B5"/>
    <w:rsid w:val="00B930AD"/>
    <w:rsid w:val="00B954D9"/>
    <w:rsid w:val="00B96BDD"/>
    <w:rsid w:val="00BA00B7"/>
    <w:rsid w:val="00BA0569"/>
    <w:rsid w:val="00BA1283"/>
    <w:rsid w:val="00BA1E28"/>
    <w:rsid w:val="00BA46C3"/>
    <w:rsid w:val="00BA4A65"/>
    <w:rsid w:val="00BA4F19"/>
    <w:rsid w:val="00BA5B73"/>
    <w:rsid w:val="00BA74E7"/>
    <w:rsid w:val="00BB05A8"/>
    <w:rsid w:val="00BB0D07"/>
    <w:rsid w:val="00BB4CCC"/>
    <w:rsid w:val="00BB546E"/>
    <w:rsid w:val="00BB578F"/>
    <w:rsid w:val="00BB6687"/>
    <w:rsid w:val="00BB77FD"/>
    <w:rsid w:val="00BC1924"/>
    <w:rsid w:val="00BC53F5"/>
    <w:rsid w:val="00BC75BA"/>
    <w:rsid w:val="00BD0A52"/>
    <w:rsid w:val="00BD1381"/>
    <w:rsid w:val="00BD16B3"/>
    <w:rsid w:val="00BD6C57"/>
    <w:rsid w:val="00BD7426"/>
    <w:rsid w:val="00BE0C2A"/>
    <w:rsid w:val="00BE2496"/>
    <w:rsid w:val="00BE2A5E"/>
    <w:rsid w:val="00BE4154"/>
    <w:rsid w:val="00BF1A01"/>
    <w:rsid w:val="00BF2F78"/>
    <w:rsid w:val="00BF3F8B"/>
    <w:rsid w:val="00BF6F2A"/>
    <w:rsid w:val="00C00A71"/>
    <w:rsid w:val="00C02264"/>
    <w:rsid w:val="00C03B0F"/>
    <w:rsid w:val="00C03B5B"/>
    <w:rsid w:val="00C03D50"/>
    <w:rsid w:val="00C06176"/>
    <w:rsid w:val="00C113C7"/>
    <w:rsid w:val="00C12E6D"/>
    <w:rsid w:val="00C12FBC"/>
    <w:rsid w:val="00C13522"/>
    <w:rsid w:val="00C149A9"/>
    <w:rsid w:val="00C15929"/>
    <w:rsid w:val="00C20588"/>
    <w:rsid w:val="00C22FDA"/>
    <w:rsid w:val="00C23CE2"/>
    <w:rsid w:val="00C270CB"/>
    <w:rsid w:val="00C27AA1"/>
    <w:rsid w:val="00C30151"/>
    <w:rsid w:val="00C31AA9"/>
    <w:rsid w:val="00C32BAF"/>
    <w:rsid w:val="00C33528"/>
    <w:rsid w:val="00C338C5"/>
    <w:rsid w:val="00C33951"/>
    <w:rsid w:val="00C35732"/>
    <w:rsid w:val="00C3658F"/>
    <w:rsid w:val="00C41E5C"/>
    <w:rsid w:val="00C43496"/>
    <w:rsid w:val="00C456A8"/>
    <w:rsid w:val="00C45B62"/>
    <w:rsid w:val="00C4663F"/>
    <w:rsid w:val="00C5423E"/>
    <w:rsid w:val="00C54D8A"/>
    <w:rsid w:val="00C627DA"/>
    <w:rsid w:val="00C64D4A"/>
    <w:rsid w:val="00C64D86"/>
    <w:rsid w:val="00C650E9"/>
    <w:rsid w:val="00C66BAD"/>
    <w:rsid w:val="00C7031E"/>
    <w:rsid w:val="00C70F65"/>
    <w:rsid w:val="00C73328"/>
    <w:rsid w:val="00C75C2B"/>
    <w:rsid w:val="00C764CC"/>
    <w:rsid w:val="00C76574"/>
    <w:rsid w:val="00C77A3A"/>
    <w:rsid w:val="00C77CC3"/>
    <w:rsid w:val="00C84522"/>
    <w:rsid w:val="00C84755"/>
    <w:rsid w:val="00C84784"/>
    <w:rsid w:val="00C86CB1"/>
    <w:rsid w:val="00C875EE"/>
    <w:rsid w:val="00C9177E"/>
    <w:rsid w:val="00C95848"/>
    <w:rsid w:val="00C970DF"/>
    <w:rsid w:val="00CA1E1A"/>
    <w:rsid w:val="00CA3AA7"/>
    <w:rsid w:val="00CA3F7D"/>
    <w:rsid w:val="00CA480B"/>
    <w:rsid w:val="00CA4D2A"/>
    <w:rsid w:val="00CA5ADF"/>
    <w:rsid w:val="00CA6A5B"/>
    <w:rsid w:val="00CA7438"/>
    <w:rsid w:val="00CA7904"/>
    <w:rsid w:val="00CB2117"/>
    <w:rsid w:val="00CB3C05"/>
    <w:rsid w:val="00CB41BD"/>
    <w:rsid w:val="00CB444B"/>
    <w:rsid w:val="00CB5862"/>
    <w:rsid w:val="00CB5EAF"/>
    <w:rsid w:val="00CB5EF2"/>
    <w:rsid w:val="00CC06A4"/>
    <w:rsid w:val="00CC0B24"/>
    <w:rsid w:val="00CC0C7C"/>
    <w:rsid w:val="00CC1D63"/>
    <w:rsid w:val="00CC3870"/>
    <w:rsid w:val="00CC4310"/>
    <w:rsid w:val="00CC4449"/>
    <w:rsid w:val="00CC4CC2"/>
    <w:rsid w:val="00CC6832"/>
    <w:rsid w:val="00CC7075"/>
    <w:rsid w:val="00CD1D4D"/>
    <w:rsid w:val="00CD7582"/>
    <w:rsid w:val="00CE1024"/>
    <w:rsid w:val="00CE1D25"/>
    <w:rsid w:val="00CE23C4"/>
    <w:rsid w:val="00CE458C"/>
    <w:rsid w:val="00CE6853"/>
    <w:rsid w:val="00CE720D"/>
    <w:rsid w:val="00CE79C7"/>
    <w:rsid w:val="00CF0CED"/>
    <w:rsid w:val="00CF1664"/>
    <w:rsid w:val="00CF3DA3"/>
    <w:rsid w:val="00CF46A0"/>
    <w:rsid w:val="00CF4C43"/>
    <w:rsid w:val="00CF61B1"/>
    <w:rsid w:val="00D0606C"/>
    <w:rsid w:val="00D06147"/>
    <w:rsid w:val="00D065ED"/>
    <w:rsid w:val="00D07276"/>
    <w:rsid w:val="00D0788D"/>
    <w:rsid w:val="00D12C15"/>
    <w:rsid w:val="00D13C61"/>
    <w:rsid w:val="00D14347"/>
    <w:rsid w:val="00D14ED6"/>
    <w:rsid w:val="00D15841"/>
    <w:rsid w:val="00D16A39"/>
    <w:rsid w:val="00D213F0"/>
    <w:rsid w:val="00D22CE2"/>
    <w:rsid w:val="00D23A0A"/>
    <w:rsid w:val="00D24493"/>
    <w:rsid w:val="00D248F5"/>
    <w:rsid w:val="00D2588B"/>
    <w:rsid w:val="00D26CF3"/>
    <w:rsid w:val="00D270D3"/>
    <w:rsid w:val="00D27736"/>
    <w:rsid w:val="00D30A18"/>
    <w:rsid w:val="00D31113"/>
    <w:rsid w:val="00D35053"/>
    <w:rsid w:val="00D3704A"/>
    <w:rsid w:val="00D370D7"/>
    <w:rsid w:val="00D41F0C"/>
    <w:rsid w:val="00D43383"/>
    <w:rsid w:val="00D4370B"/>
    <w:rsid w:val="00D43E18"/>
    <w:rsid w:val="00D45492"/>
    <w:rsid w:val="00D468F6"/>
    <w:rsid w:val="00D50804"/>
    <w:rsid w:val="00D518F4"/>
    <w:rsid w:val="00D5236B"/>
    <w:rsid w:val="00D57743"/>
    <w:rsid w:val="00D62359"/>
    <w:rsid w:val="00D6403B"/>
    <w:rsid w:val="00D659C1"/>
    <w:rsid w:val="00D666CE"/>
    <w:rsid w:val="00D67151"/>
    <w:rsid w:val="00D67F6C"/>
    <w:rsid w:val="00D71ECE"/>
    <w:rsid w:val="00D72581"/>
    <w:rsid w:val="00D7610D"/>
    <w:rsid w:val="00D776E8"/>
    <w:rsid w:val="00D77F74"/>
    <w:rsid w:val="00D80CED"/>
    <w:rsid w:val="00D85B7F"/>
    <w:rsid w:val="00D85E30"/>
    <w:rsid w:val="00D870E4"/>
    <w:rsid w:val="00D900EC"/>
    <w:rsid w:val="00D91B86"/>
    <w:rsid w:val="00D94100"/>
    <w:rsid w:val="00D96499"/>
    <w:rsid w:val="00D97AE1"/>
    <w:rsid w:val="00DA00A9"/>
    <w:rsid w:val="00DA2744"/>
    <w:rsid w:val="00DA2CD0"/>
    <w:rsid w:val="00DA3F37"/>
    <w:rsid w:val="00DA41D7"/>
    <w:rsid w:val="00DA5935"/>
    <w:rsid w:val="00DA6EE1"/>
    <w:rsid w:val="00DB1B5B"/>
    <w:rsid w:val="00DB2A7D"/>
    <w:rsid w:val="00DB3CC0"/>
    <w:rsid w:val="00DB6385"/>
    <w:rsid w:val="00DB651A"/>
    <w:rsid w:val="00DB6872"/>
    <w:rsid w:val="00DC0A7E"/>
    <w:rsid w:val="00DC0E69"/>
    <w:rsid w:val="00DC26A4"/>
    <w:rsid w:val="00DC537F"/>
    <w:rsid w:val="00DC5799"/>
    <w:rsid w:val="00DC62FF"/>
    <w:rsid w:val="00DD1345"/>
    <w:rsid w:val="00DD2EB4"/>
    <w:rsid w:val="00DD3110"/>
    <w:rsid w:val="00DD51FD"/>
    <w:rsid w:val="00DD7262"/>
    <w:rsid w:val="00DD7C65"/>
    <w:rsid w:val="00DE0256"/>
    <w:rsid w:val="00DE093C"/>
    <w:rsid w:val="00DE7725"/>
    <w:rsid w:val="00DE7B91"/>
    <w:rsid w:val="00DF2CC6"/>
    <w:rsid w:val="00DF543A"/>
    <w:rsid w:val="00DF571F"/>
    <w:rsid w:val="00DF64D6"/>
    <w:rsid w:val="00DF79F2"/>
    <w:rsid w:val="00E0334B"/>
    <w:rsid w:val="00E03CB0"/>
    <w:rsid w:val="00E04F3E"/>
    <w:rsid w:val="00E07BFC"/>
    <w:rsid w:val="00E103CB"/>
    <w:rsid w:val="00E13C44"/>
    <w:rsid w:val="00E155D5"/>
    <w:rsid w:val="00E162A4"/>
    <w:rsid w:val="00E16781"/>
    <w:rsid w:val="00E16AE8"/>
    <w:rsid w:val="00E2225F"/>
    <w:rsid w:val="00E2288D"/>
    <w:rsid w:val="00E22E32"/>
    <w:rsid w:val="00E22FDB"/>
    <w:rsid w:val="00E24256"/>
    <w:rsid w:val="00E30A0E"/>
    <w:rsid w:val="00E30EBE"/>
    <w:rsid w:val="00E3108D"/>
    <w:rsid w:val="00E3246B"/>
    <w:rsid w:val="00E33E3D"/>
    <w:rsid w:val="00E34057"/>
    <w:rsid w:val="00E3613A"/>
    <w:rsid w:val="00E36C70"/>
    <w:rsid w:val="00E37793"/>
    <w:rsid w:val="00E40908"/>
    <w:rsid w:val="00E41F50"/>
    <w:rsid w:val="00E430B6"/>
    <w:rsid w:val="00E44679"/>
    <w:rsid w:val="00E46584"/>
    <w:rsid w:val="00E46613"/>
    <w:rsid w:val="00E47E9F"/>
    <w:rsid w:val="00E50A59"/>
    <w:rsid w:val="00E514AB"/>
    <w:rsid w:val="00E53281"/>
    <w:rsid w:val="00E53DE0"/>
    <w:rsid w:val="00E54D77"/>
    <w:rsid w:val="00E55D6E"/>
    <w:rsid w:val="00E56FA1"/>
    <w:rsid w:val="00E60980"/>
    <w:rsid w:val="00E62223"/>
    <w:rsid w:val="00E625E4"/>
    <w:rsid w:val="00E70501"/>
    <w:rsid w:val="00E715E4"/>
    <w:rsid w:val="00E7284D"/>
    <w:rsid w:val="00E736E4"/>
    <w:rsid w:val="00E80E97"/>
    <w:rsid w:val="00E82EA1"/>
    <w:rsid w:val="00E857DD"/>
    <w:rsid w:val="00E869F1"/>
    <w:rsid w:val="00E8731C"/>
    <w:rsid w:val="00E87C1C"/>
    <w:rsid w:val="00E90EC2"/>
    <w:rsid w:val="00E912B1"/>
    <w:rsid w:val="00E91B11"/>
    <w:rsid w:val="00E94109"/>
    <w:rsid w:val="00E94874"/>
    <w:rsid w:val="00EA03E3"/>
    <w:rsid w:val="00EA3267"/>
    <w:rsid w:val="00EA41D1"/>
    <w:rsid w:val="00EA52EE"/>
    <w:rsid w:val="00EA5A96"/>
    <w:rsid w:val="00EA6EA3"/>
    <w:rsid w:val="00EB5C8F"/>
    <w:rsid w:val="00EB7FE9"/>
    <w:rsid w:val="00EC00EE"/>
    <w:rsid w:val="00EC01B5"/>
    <w:rsid w:val="00EC1B1B"/>
    <w:rsid w:val="00EC1C4A"/>
    <w:rsid w:val="00EC2EB9"/>
    <w:rsid w:val="00EC3E48"/>
    <w:rsid w:val="00EC5D7A"/>
    <w:rsid w:val="00EC6280"/>
    <w:rsid w:val="00EC6B5D"/>
    <w:rsid w:val="00ED1A8D"/>
    <w:rsid w:val="00ED317E"/>
    <w:rsid w:val="00ED5244"/>
    <w:rsid w:val="00ED5FE9"/>
    <w:rsid w:val="00ED64BC"/>
    <w:rsid w:val="00EE0FC4"/>
    <w:rsid w:val="00EE3A7D"/>
    <w:rsid w:val="00EE58BB"/>
    <w:rsid w:val="00EE5A38"/>
    <w:rsid w:val="00EF16EF"/>
    <w:rsid w:val="00EF1770"/>
    <w:rsid w:val="00EF409F"/>
    <w:rsid w:val="00EF59F8"/>
    <w:rsid w:val="00EF6CBE"/>
    <w:rsid w:val="00EF7A7F"/>
    <w:rsid w:val="00F014E5"/>
    <w:rsid w:val="00F032E7"/>
    <w:rsid w:val="00F03947"/>
    <w:rsid w:val="00F05C45"/>
    <w:rsid w:val="00F069C9"/>
    <w:rsid w:val="00F122EA"/>
    <w:rsid w:val="00F1233E"/>
    <w:rsid w:val="00F14EEA"/>
    <w:rsid w:val="00F154F6"/>
    <w:rsid w:val="00F16277"/>
    <w:rsid w:val="00F1748F"/>
    <w:rsid w:val="00F179B8"/>
    <w:rsid w:val="00F21515"/>
    <w:rsid w:val="00F2166E"/>
    <w:rsid w:val="00F24911"/>
    <w:rsid w:val="00F255F5"/>
    <w:rsid w:val="00F25A23"/>
    <w:rsid w:val="00F30BEC"/>
    <w:rsid w:val="00F3130A"/>
    <w:rsid w:val="00F32CBA"/>
    <w:rsid w:val="00F3441C"/>
    <w:rsid w:val="00F37A81"/>
    <w:rsid w:val="00F4065B"/>
    <w:rsid w:val="00F40ADA"/>
    <w:rsid w:val="00F40BD9"/>
    <w:rsid w:val="00F40C85"/>
    <w:rsid w:val="00F456AF"/>
    <w:rsid w:val="00F475BA"/>
    <w:rsid w:val="00F47975"/>
    <w:rsid w:val="00F479D6"/>
    <w:rsid w:val="00F52533"/>
    <w:rsid w:val="00F540E0"/>
    <w:rsid w:val="00F54E28"/>
    <w:rsid w:val="00F57A59"/>
    <w:rsid w:val="00F61A8E"/>
    <w:rsid w:val="00F65DB4"/>
    <w:rsid w:val="00F67A12"/>
    <w:rsid w:val="00F72A39"/>
    <w:rsid w:val="00F7455E"/>
    <w:rsid w:val="00F75653"/>
    <w:rsid w:val="00F75B4F"/>
    <w:rsid w:val="00F77000"/>
    <w:rsid w:val="00F7712C"/>
    <w:rsid w:val="00F80132"/>
    <w:rsid w:val="00F804F3"/>
    <w:rsid w:val="00F80722"/>
    <w:rsid w:val="00F84FD3"/>
    <w:rsid w:val="00F92AE7"/>
    <w:rsid w:val="00F92E20"/>
    <w:rsid w:val="00F939B8"/>
    <w:rsid w:val="00F95F3A"/>
    <w:rsid w:val="00F96E69"/>
    <w:rsid w:val="00F972EE"/>
    <w:rsid w:val="00FA1FB3"/>
    <w:rsid w:val="00FA396B"/>
    <w:rsid w:val="00FA4674"/>
    <w:rsid w:val="00FA525A"/>
    <w:rsid w:val="00FA5E63"/>
    <w:rsid w:val="00FB037C"/>
    <w:rsid w:val="00FB3068"/>
    <w:rsid w:val="00FB415B"/>
    <w:rsid w:val="00FB7284"/>
    <w:rsid w:val="00FB72B4"/>
    <w:rsid w:val="00FC3528"/>
    <w:rsid w:val="00FC378A"/>
    <w:rsid w:val="00FC4E11"/>
    <w:rsid w:val="00FC734D"/>
    <w:rsid w:val="00FD10F6"/>
    <w:rsid w:val="00FD2AC8"/>
    <w:rsid w:val="00FD3033"/>
    <w:rsid w:val="00FD30F3"/>
    <w:rsid w:val="00FD31C3"/>
    <w:rsid w:val="00FD31C5"/>
    <w:rsid w:val="00FD59C0"/>
    <w:rsid w:val="00FD63E7"/>
    <w:rsid w:val="00FE192D"/>
    <w:rsid w:val="00FE55FD"/>
    <w:rsid w:val="00FE5B36"/>
    <w:rsid w:val="00FE67BB"/>
    <w:rsid w:val="00FE7A66"/>
    <w:rsid w:val="00FF2734"/>
    <w:rsid w:val="00FF3DDA"/>
    <w:rsid w:val="00FF49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chartTrackingRefBased/>
  <w15:docId w15:val="{82C84B64-3F1C-456C-B3CC-853FFB9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1">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lsdException w:name="index heading" w:semiHidden="1"/>
    <w:lsdException w:name="caption" w:semiHidden="1"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57619E"/>
    <w:rPr>
      <w:rFonts w:eastAsia="Times New Roman" w:cs="Arial"/>
      <w:sz w:val="18"/>
      <w:szCs w:val="18"/>
    </w:rPr>
  </w:style>
  <w:style w:type="character" w:customStyle="1" w:styleId="FootnoteTextChar">
    <w:name w:val="Footnote Text Char"/>
    <w:basedOn w:val="DefaultParagraphFont"/>
    <w:link w:val="FootnoteText"/>
    <w:uiPriority w:val="99"/>
    <w:semiHidden/>
    <w:rsid w:val="0057619E"/>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
    <w:name w:val="Smart Hyperlink"/>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styleId="TableGridLight">
    <w:name w:val="Grid Table Light"/>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466244171">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45607572">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673532646">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268350071">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businesstoday.in/current/policy/india-bans-import-of-plastic-waste-from-august-this-year-to-curb-pollution/story/358778.html" TargetMode="External"/><Relationship Id="rId13" Type="http://schemas.openxmlformats.org/officeDocument/2006/relationships/hyperlink" Target="https://www.voanews.com/east-asia/indonesia-vows-send-back-illegal-plastic-waste" TargetMode="External"/><Relationship Id="rId18" Type="http://schemas.openxmlformats.org/officeDocument/2006/relationships/hyperlink" Target="https://www.thestar.com.my/news/nation/2018/10/17/govt-to-ban-import-of-all-nonrecyclable-waste/" TargetMode="External"/><Relationship Id="rId26" Type="http://schemas.openxmlformats.org/officeDocument/2006/relationships/hyperlink" Target="http://www.ratchakitcha.soc.go.th/DATA/PDF/2561/E/188/T15.PDF" TargetMode="External"/><Relationship Id="rId3" Type="http://schemas.openxmlformats.org/officeDocument/2006/relationships/hyperlink" Target="https://www.closedlooppartners.com/the-latest-insights-and-analysis-from-chris-cui-director-of-asia-programs/" TargetMode="External"/><Relationship Id="rId21" Type="http://schemas.openxmlformats.org/officeDocument/2006/relationships/hyperlink" Target="https://www.ecowatch.com/malaysia-plastic-waste-2644881004.html" TargetMode="External"/><Relationship Id="rId7" Type="http://schemas.openxmlformats.org/officeDocument/2006/relationships/hyperlink" Target="https://www.recyclingtoday.com/article/sennebogen-scrap-recycling-lake-pleasant-michigan/" TargetMode="External"/><Relationship Id="rId12" Type="http://schemas.openxmlformats.org/officeDocument/2006/relationships/hyperlink" Target="https://www.argusmedia.com/en/news/2020587-indonesia-suspends-scrap-imports-amid-new-policy" TargetMode="External"/><Relationship Id="rId17" Type="http://schemas.openxmlformats.org/officeDocument/2006/relationships/hyperlink" Target="http://wastemanagementreview.com.au/battling-sovereign-risk/" TargetMode="External"/><Relationship Id="rId25" Type="http://schemas.openxmlformats.org/officeDocument/2006/relationships/hyperlink" Target="https://ciwm-journal.co.uk/thailand-set-to-ban-plastic-waste-imports-by-2021/" TargetMode="External"/><Relationship Id="rId2" Type="http://schemas.openxmlformats.org/officeDocument/2006/relationships/hyperlink" Target="http://www.mee.gov.cn/xxgk2018/xxgk/xxgk01/201812/t20181227_687488.html" TargetMode="External"/><Relationship Id="rId16" Type="http://schemas.openxmlformats.org/officeDocument/2006/relationships/hyperlink" Target="https://www.freemalaysiatoday.com/category/nation/2018/07/24/permits-to-import-plastic-waste-for-114-factories-revoked/" TargetMode="External"/><Relationship Id="rId20" Type="http://schemas.openxmlformats.org/officeDocument/2006/relationships/hyperlink" Target="https://www.malaymail.com/news/malaysia/2019/05/31/yeo-bee-yin-moots-rm1500-charge-per-shipping-container-to-cut-illegal-impor/1758091" TargetMode="External"/><Relationship Id="rId29" Type="http://schemas.openxmlformats.org/officeDocument/2006/relationships/hyperlink" Target="https://en.vietnamplus.vn/scrap-imports-through-road-railway-border-gates-to-be-banned/145041.vnp" TargetMode="External"/><Relationship Id="rId1" Type="http://schemas.openxmlformats.org/officeDocument/2006/relationships/hyperlink" Target="https://blueenvironment.com.au/wp-content/uploads/2018/05/Exports-of-recyclables-from-Aust-to-China-v2.pdf" TargetMode="External"/><Relationship Id="rId6" Type="http://schemas.openxmlformats.org/officeDocument/2006/relationships/hyperlink" Target="https://www.bir.org/news-press/news/item/1000000055-chinese-quotas-for-waste-scrap-imports-full-list-of-2nd-batch-2020" TargetMode="External"/><Relationship Id="rId11" Type="http://schemas.openxmlformats.org/officeDocument/2006/relationships/hyperlink" Target="https://www.wastedive.com/news/india-enforce-contamination-rate-inspections-paper-imports/570427/" TargetMode="External"/><Relationship Id="rId24" Type="http://schemas.openxmlformats.org/officeDocument/2006/relationships/hyperlink" Target="http://www.nationmultimedia.com/detail/national/30351792" TargetMode="External"/><Relationship Id="rId5" Type="http://schemas.openxmlformats.org/officeDocument/2006/relationships/hyperlink" Target="https://www.bir.org/news-press/news/item/1000000054-chinese-quotas-for-waste-scrap-imports-full-list-of-1st-batch-2020" TargetMode="External"/><Relationship Id="rId15" Type="http://schemas.openxmlformats.org/officeDocument/2006/relationships/hyperlink" Target="https://www.wastetodaymagazine.com/article/indonesia-will-ease-rules-on-import-of-scrap-metal/" TargetMode="External"/><Relationship Id="rId23" Type="http://schemas.openxmlformats.org/officeDocument/2006/relationships/hyperlink" Target="http://www.taipeitimes.com/News/taiwan/archives/2018/10/02/2003701576" TargetMode="External"/><Relationship Id="rId28"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10" Type="http://schemas.openxmlformats.org/officeDocument/2006/relationships/hyperlink" Target="https://www.business-standard.com/article/economy-policy/govt-grants-six-month-extension-to-plastic-scrap-imports-in-three-sezs-119112900554_1.html" TargetMode="External"/><Relationship Id="rId19" Type="http://schemas.openxmlformats.org/officeDocument/2006/relationships/hyperlink" Target="https://www.theaustralian.com.au/nation/world/australia-would-vet-any-waste-returns-says-ley/news-story/96aaa8c05908bca11579908f128cf40e" TargetMode="External"/><Relationship Id="rId4" Type="http://schemas.openxmlformats.org/officeDocument/2006/relationships/hyperlink" Target="https://resource-recycling.com/recycling/2019/12/03/signals-point-to-all-out-recycled-fiber-ban-in-china/" TargetMode="External"/><Relationship Id="rId9" Type="http://schemas.openxmlformats.org/officeDocument/2006/relationships/hyperlink" Target="http://pib.nic.in/PressReleseDetail.aspx?PRID=1567682" TargetMode="External"/><Relationship Id="rId14" Type="http://schemas.openxmlformats.org/officeDocument/2006/relationships/hyperlink" Target="https://www.smh.com.au/world/asia/indonesia-to-ship-100-containers-of-contaminated-waste-to-australia-20190918-p52so8.html" TargetMode="External"/><Relationship Id="rId22" Type="http://schemas.openxmlformats.org/officeDocument/2006/relationships/hyperlink" Target="https://news.abs-cbn.com/news/08/11/19/pirma-na-lang-kulang-denr-all-set-to-implement-total-ban-on-waste-imports" TargetMode="External"/><Relationship Id="rId27" Type="http://schemas.openxmlformats.org/officeDocument/2006/relationships/hyperlink" Target="http://www.vietnam-briefing.com/news/vietnam-to-restrict-surging-scrap-imports.html/" TargetMode="External"/><Relationship Id="rId30" Type="http://schemas.openxmlformats.org/officeDocument/2006/relationships/hyperlink" Target="https://www.spglobal.com/platts/en/market-insights/latest-news/metals/022019-vietnams-jan-scrap-imports-plunge-amid-stricter-government-ru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1092BA7F.dotm</Template>
  <TotalTime>1</TotalTime>
  <Pages>8</Pages>
  <Words>3020</Words>
  <Characters>17215</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Exports of Australian waste-derived products and wastes in December 2019</vt:lpstr>
    </vt:vector>
  </TitlesOfParts>
  <Company/>
  <LinksUpToDate>false</LinksUpToDate>
  <CharactersWithSpaces>20195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waste-derived products and wastes in December 2019</dc:title>
  <dc:subject/>
  <dc:creator>blue environment</dc:creator>
  <cp:keywords/>
  <dc:description/>
  <cp:lastModifiedBy>Bec Durack</cp:lastModifiedBy>
  <cp:revision>2</cp:revision>
  <dcterms:created xsi:type="dcterms:W3CDTF">2020-04-17T05:43:00Z</dcterms:created>
  <dcterms:modified xsi:type="dcterms:W3CDTF">2020-04-17T05:43:00Z</dcterms:modified>
</cp:coreProperties>
</file>