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48DFE708" w:rsidR="00850B51" w:rsidRPr="005C315D" w:rsidRDefault="00305B22" w:rsidP="00305B22">
      <w:pPr>
        <w:pStyle w:val="Heading2nonumber"/>
      </w:pPr>
      <w:r w:rsidRPr="005C315D">
        <w:t xml:space="preserve">Assessment of </w:t>
      </w:r>
      <w:r w:rsidR="003522E8" w:rsidRPr="005C315D">
        <w:t>waste exports</w:t>
      </w:r>
      <w:r w:rsidRPr="005C315D">
        <w:t xml:space="preserve"> from Australia </w:t>
      </w:r>
      <w:r w:rsidR="003522E8" w:rsidRPr="005C315D">
        <w:t xml:space="preserve">in </w:t>
      </w:r>
      <w:r w:rsidR="00DB3CC0">
        <w:t>May</w:t>
      </w:r>
      <w:r w:rsidR="00DB3CC0" w:rsidRPr="005C315D">
        <w:t xml:space="preserve"> </w:t>
      </w:r>
      <w:r w:rsidR="00B4774E">
        <w:t>2019</w:t>
      </w:r>
    </w:p>
    <w:p w14:paraId="2642DFDA" w14:textId="157A5D92" w:rsidR="00305B22" w:rsidRPr="005C315D" w:rsidRDefault="00DB3CC0" w:rsidP="009D1226">
      <w:pPr>
        <w:pStyle w:val="BodyText"/>
        <w:spacing w:after="120"/>
        <w:jc w:val="right"/>
        <w:rPr>
          <w:i/>
        </w:rPr>
      </w:pPr>
      <w:bookmarkStart w:id="1" w:name="_GoBack"/>
      <w:bookmarkEnd w:id="1"/>
      <w:r>
        <w:rPr>
          <w:i/>
        </w:rPr>
        <w:t>1</w:t>
      </w:r>
      <w:r w:rsidR="000A699D">
        <w:rPr>
          <w:i/>
        </w:rPr>
        <w:t>9</w:t>
      </w:r>
      <w:r>
        <w:rPr>
          <w:i/>
        </w:rPr>
        <w:t xml:space="preserve"> July</w:t>
      </w:r>
      <w:r w:rsidR="004412D9" w:rsidRPr="005C315D">
        <w:rPr>
          <w:i/>
        </w:rPr>
        <w:t xml:space="preserve"> </w:t>
      </w:r>
      <w:r w:rsidR="00305B22" w:rsidRPr="005C315D">
        <w:rPr>
          <w:i/>
        </w:rPr>
        <w:t>201</w:t>
      </w:r>
      <w:r w:rsidR="004412D9">
        <w:rPr>
          <w:i/>
        </w:rPr>
        <w:t>9</w:t>
      </w:r>
      <w:r w:rsidR="00B4774E">
        <w:rPr>
          <w:i/>
        </w:rPr>
        <w:tab/>
      </w:r>
      <w:r w:rsidR="00305B22" w:rsidRPr="005C315D">
        <w:rPr>
          <w:i/>
        </w:rPr>
        <w:tab/>
      </w:r>
      <w:r w:rsidR="006261B0">
        <w:rPr>
          <w:i/>
        </w:rPr>
        <w:t>Joe Pickin</w:t>
      </w:r>
      <w:r w:rsidR="00EA03E3">
        <w:rPr>
          <w:i/>
        </w:rPr>
        <w:t xml:space="preserve"> and Jenny Trinh</w:t>
      </w:r>
    </w:p>
    <w:p w14:paraId="38FF74F9" w14:textId="12C04A61" w:rsidR="00F03947" w:rsidRDefault="00AF1D05" w:rsidP="00B50BE7">
      <w:pPr>
        <w:pStyle w:val="BodyText"/>
      </w:pPr>
      <w:r>
        <w:t xml:space="preserve">Blue Environment is commissioned by the Department of the Environment and Energy to </w:t>
      </w:r>
      <w:r w:rsidR="001D40D7">
        <w:t xml:space="preserve">analyse and report on </w:t>
      </w:r>
      <w:r>
        <w:t>waste export</w:t>
      </w:r>
      <w:r w:rsidR="001D40D7">
        <w:t>s monthly</w:t>
      </w:r>
      <w:r>
        <w:t xml:space="preserve"> to </w:t>
      </w:r>
      <w:r w:rsidR="00482EF7">
        <w:t>June</w:t>
      </w:r>
      <w:r w:rsidR="00DB3CC0">
        <w:t xml:space="preserve"> </w:t>
      </w:r>
      <w:r>
        <w:t xml:space="preserve">2019. The data is provided by the Australian Bureau of Statistics, </w:t>
      </w:r>
      <w:r w:rsidR="0033615A">
        <w:t>and comprises</w:t>
      </w:r>
      <w:r>
        <w:t xml:space="preserve"> monthly data covering the previous six months, including any updates.</w:t>
      </w:r>
      <w:r w:rsidR="004B2354">
        <w:t xml:space="preserve"> </w:t>
      </w:r>
      <w:r w:rsidR="00F03947">
        <w:t>On a tonnage basis nearly all these exports are materials recovered from waste streams for recycling or energy recovery. For convenience, the term ‘wastes’ is used to include these recovered materials.</w:t>
      </w:r>
    </w:p>
    <w:p w14:paraId="46C49E33" w14:textId="7465FDA7" w:rsidR="00E30EBE" w:rsidRPr="00850B51" w:rsidRDefault="00E30EBE" w:rsidP="00E30EBE">
      <w:pPr>
        <w:pStyle w:val="Heading3-nonumber"/>
        <w:spacing w:before="240"/>
      </w:pPr>
      <w:r>
        <w:t>Summary</w:t>
      </w:r>
    </w:p>
    <w:p w14:paraId="6E430D81" w14:textId="2A66CAD2" w:rsidR="00AF302E" w:rsidRDefault="0083200E" w:rsidP="00B50BE7">
      <w:pPr>
        <w:pStyle w:val="BodyText"/>
      </w:pPr>
      <w:r w:rsidRPr="00545CCF">
        <w:t xml:space="preserve">In </w:t>
      </w:r>
      <w:r w:rsidR="00DB3CC0">
        <w:t>May</w:t>
      </w:r>
      <w:r w:rsidR="00DB3CC0" w:rsidRPr="00545CCF">
        <w:t xml:space="preserve"> </w:t>
      </w:r>
      <w:r w:rsidRPr="00545CCF">
        <w:t>201</w:t>
      </w:r>
      <w:r w:rsidR="00B4774E" w:rsidRPr="00545CCF">
        <w:t>9</w:t>
      </w:r>
      <w:r w:rsidRPr="00545CCF">
        <w:t xml:space="preserve">, Australia exported </w:t>
      </w:r>
      <w:r w:rsidR="00C3658F" w:rsidRPr="00545CCF">
        <w:t>about</w:t>
      </w:r>
      <w:r w:rsidR="007928A3" w:rsidRPr="00545CCF">
        <w:t xml:space="preserve"> </w:t>
      </w:r>
      <w:r w:rsidR="00DB3CC0">
        <w:t>343,400</w:t>
      </w:r>
      <w:r w:rsidRPr="00545CCF">
        <w:t xml:space="preserve"> tonnes of waste</w:t>
      </w:r>
      <w:r w:rsidR="00F03947">
        <w:t>s</w:t>
      </w:r>
      <w:r w:rsidRPr="00545CCF">
        <w:t xml:space="preserve"> with a value of $</w:t>
      </w:r>
      <w:r w:rsidR="00CF46A0" w:rsidRPr="00545CCF">
        <w:t>A</w:t>
      </w:r>
      <w:r w:rsidR="00CF46A0">
        <w:t>536</w:t>
      </w:r>
      <w:r w:rsidR="00CF46A0" w:rsidRPr="00545CCF">
        <w:t xml:space="preserve"> </w:t>
      </w:r>
      <w:r w:rsidR="00B02451" w:rsidRPr="00545CCF">
        <w:t>million</w:t>
      </w:r>
      <w:r w:rsidRPr="00545CCF">
        <w:t>. This</w:t>
      </w:r>
      <w:r w:rsidR="00FD30F3" w:rsidRPr="00545CCF">
        <w:t xml:space="preserve"> represents</w:t>
      </w:r>
      <w:r w:rsidRPr="00545CCF">
        <w:t xml:space="preserve"> </w:t>
      </w:r>
      <w:r w:rsidR="00B4774E" w:rsidRPr="00545CCF">
        <w:t>a</w:t>
      </w:r>
      <w:r w:rsidR="001F0D42">
        <w:t xml:space="preserve"> reduction </w:t>
      </w:r>
      <w:r w:rsidR="00545CCF" w:rsidRPr="00545CCF">
        <w:t xml:space="preserve">of </w:t>
      </w:r>
      <w:r w:rsidR="00CF46A0">
        <w:t>23</w:t>
      </w:r>
      <w:r w:rsidR="00545CCF" w:rsidRPr="00545CCF">
        <w:t>%</w:t>
      </w:r>
      <w:r w:rsidR="00B4774E" w:rsidRPr="00545CCF">
        <w:t xml:space="preserve"> </w:t>
      </w:r>
      <w:r w:rsidRPr="00545CCF">
        <w:t>in</w:t>
      </w:r>
      <w:r w:rsidR="00545CCF" w:rsidRPr="00545CCF">
        <w:t xml:space="preserve"> </w:t>
      </w:r>
      <w:r w:rsidR="00B02451" w:rsidRPr="00545CCF">
        <w:t>the</w:t>
      </w:r>
      <w:r w:rsidR="007928A3" w:rsidRPr="00545CCF">
        <w:t xml:space="preserve"> </w:t>
      </w:r>
      <w:r w:rsidR="006371CB" w:rsidRPr="00545CCF">
        <w:t xml:space="preserve">quantity </w:t>
      </w:r>
      <w:r w:rsidR="00FD30F3" w:rsidRPr="00545CCF">
        <w:t>and</w:t>
      </w:r>
      <w:r w:rsidR="00837CF1">
        <w:t xml:space="preserve"> </w:t>
      </w:r>
      <w:r w:rsidR="00CF46A0">
        <w:t>5</w:t>
      </w:r>
      <w:r w:rsidR="00837CF1">
        <w:t xml:space="preserve">% in the </w:t>
      </w:r>
      <w:r w:rsidR="00850B51" w:rsidRPr="00545CCF">
        <w:t xml:space="preserve">value of </w:t>
      </w:r>
      <w:r w:rsidR="00F03947">
        <w:t>these</w:t>
      </w:r>
      <w:r w:rsidR="00850B51" w:rsidRPr="00545CCF">
        <w:t xml:space="preserve"> export</w:t>
      </w:r>
      <w:r w:rsidR="005830D2" w:rsidRPr="00545CCF">
        <w:t>s</w:t>
      </w:r>
      <w:r w:rsidR="00850B51" w:rsidRPr="00545CCF">
        <w:t xml:space="preserve"> </w:t>
      </w:r>
      <w:r w:rsidRPr="00545CCF">
        <w:t xml:space="preserve">compared with </w:t>
      </w:r>
      <w:r w:rsidR="00CF46A0">
        <w:t>April</w:t>
      </w:r>
      <w:r w:rsidR="00CF46A0" w:rsidRPr="00545CCF">
        <w:t xml:space="preserve"> </w:t>
      </w:r>
      <w:r w:rsidRPr="00545CCF">
        <w:t>201</w:t>
      </w:r>
      <w:r w:rsidR="00545CCF" w:rsidRPr="00545CCF">
        <w:t>9</w:t>
      </w:r>
      <w:r w:rsidR="00BA4F19">
        <w:t>.</w:t>
      </w:r>
      <w:r w:rsidR="00DD1345">
        <w:t xml:space="preserve"> </w:t>
      </w:r>
      <w:r w:rsidR="00D870E4" w:rsidRPr="00545CCF">
        <w:t>The</w:t>
      </w:r>
      <w:r w:rsidR="0075133C">
        <w:t xml:space="preserve"> </w:t>
      </w:r>
      <w:r w:rsidR="00BA4F19">
        <w:t>decrease</w:t>
      </w:r>
      <w:r w:rsidR="00BA4F19" w:rsidRPr="00545CCF">
        <w:t xml:space="preserve"> </w:t>
      </w:r>
      <w:r w:rsidR="00D870E4" w:rsidRPr="00545CCF">
        <w:t xml:space="preserve">is attributable to </w:t>
      </w:r>
      <w:r w:rsidR="008E67E6">
        <w:t>a large</w:t>
      </w:r>
      <w:r w:rsidR="008E67E6" w:rsidRPr="00545CCF">
        <w:t xml:space="preserve"> </w:t>
      </w:r>
      <w:r w:rsidR="00BA4F19">
        <w:t>fall</w:t>
      </w:r>
      <w:r w:rsidR="00BA4F19" w:rsidRPr="00545CCF">
        <w:t xml:space="preserve"> </w:t>
      </w:r>
      <w:r w:rsidR="00D870E4" w:rsidRPr="00545CCF">
        <w:t xml:space="preserve">in </w:t>
      </w:r>
      <w:r w:rsidR="00AF302E">
        <w:t xml:space="preserve">scrap </w:t>
      </w:r>
      <w:r w:rsidR="00D870E4" w:rsidRPr="00545CCF">
        <w:t>metal</w:t>
      </w:r>
      <w:r w:rsidR="00AF302E">
        <w:t>s</w:t>
      </w:r>
      <w:r w:rsidR="00D870E4" w:rsidRPr="00545CCF">
        <w:t xml:space="preserve"> export</w:t>
      </w:r>
      <w:r w:rsidR="00A433D1">
        <w:t>s, reversing a significant increase in the previous month</w:t>
      </w:r>
      <w:r w:rsidR="00BA4F19">
        <w:t xml:space="preserve">. </w:t>
      </w:r>
      <w:r w:rsidR="000F3C58">
        <w:t xml:space="preserve">Exports of scrap paper and cardboard </w:t>
      </w:r>
      <w:r w:rsidR="00017CE2">
        <w:t xml:space="preserve">declined </w:t>
      </w:r>
      <w:r w:rsidR="001F0D42">
        <w:t xml:space="preserve">slightly </w:t>
      </w:r>
      <w:r w:rsidR="00017CE2">
        <w:t xml:space="preserve">compared to </w:t>
      </w:r>
      <w:r w:rsidR="001F0D42">
        <w:t>April, while</w:t>
      </w:r>
      <w:r w:rsidR="00017CE2">
        <w:t xml:space="preserve"> plastics and hazardous waste exports </w:t>
      </w:r>
      <w:r w:rsidR="001F0D42">
        <w:t>were similar</w:t>
      </w:r>
      <w:r w:rsidR="00BA4F19">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7EC40BD4" w14:textId="59A9134F" w:rsidR="00B81A1E" w:rsidRDefault="00311B2F" w:rsidP="00B50BE7">
      <w:pPr>
        <w:pStyle w:val="BodyText"/>
      </w:pPr>
      <w:r>
        <w:t xml:space="preserve">In </w:t>
      </w:r>
      <w:r w:rsidR="00085DEB">
        <w:t xml:space="preserve">May </w:t>
      </w:r>
      <w:r>
        <w:t>2019 s</w:t>
      </w:r>
      <w:r w:rsidR="003522E8">
        <w:t>ix</w:t>
      </w:r>
      <w:r w:rsidR="007928A3">
        <w:t xml:space="preserve"> countries </w:t>
      </w:r>
      <w:r>
        <w:t>received</w:t>
      </w:r>
      <w:r w:rsidR="00B02451" w:rsidRPr="00CE1024">
        <w:t xml:space="preserve"> </w:t>
      </w:r>
      <w:r w:rsidR="007B39FB">
        <w:t>75</w:t>
      </w:r>
      <w:r w:rsidR="00B02451" w:rsidRPr="00CE1024">
        <w:t xml:space="preserve">% </w:t>
      </w:r>
      <w:r w:rsidR="00B60EA5">
        <w:t xml:space="preserve">by weight </w:t>
      </w:r>
      <w:r w:rsidR="00B02451" w:rsidRPr="00CE1024">
        <w:t>of</w:t>
      </w:r>
      <w:r w:rsidR="006C19FD">
        <w:t xml:space="preserve"> Australia’s waste</w:t>
      </w:r>
      <w:r w:rsidR="00B02451" w:rsidRPr="00CE1024">
        <w:t xml:space="preserve"> export</w:t>
      </w:r>
      <w:r w:rsidR="006C19FD">
        <w:t>s</w:t>
      </w:r>
      <w:r w:rsidR="00B02451" w:rsidRPr="00CE1024">
        <w:t xml:space="preserve">. These </w:t>
      </w:r>
      <w:r w:rsidR="007928A3" w:rsidRPr="00CE1024">
        <w:t>were</w:t>
      </w:r>
      <w:r w:rsidR="00C20588" w:rsidRPr="00CE1024">
        <w:t>, in order,</w:t>
      </w:r>
      <w:r w:rsidR="00394F07">
        <w:t xml:space="preserve"> </w:t>
      </w:r>
      <w:r w:rsidR="00276674">
        <w:t xml:space="preserve">China (including Hong Kong and Macau), </w:t>
      </w:r>
      <w:r w:rsidR="00085DEB">
        <w:t xml:space="preserve">India, Bangladesh, </w:t>
      </w:r>
      <w:r w:rsidR="0074180C">
        <w:t xml:space="preserve">Indonesia, </w:t>
      </w:r>
      <w:r w:rsidR="00085DEB">
        <w:t>Malaysia and Thailand</w:t>
      </w:r>
      <w:r w:rsidR="00B4774E">
        <w:t xml:space="preserve">. </w:t>
      </w:r>
      <w:r w:rsidR="00B81A1E">
        <w:t>Vietnam</w:t>
      </w:r>
      <w:r w:rsidR="00923764">
        <w:t xml:space="preserve"> ranked as the top receiver in April </w:t>
      </w:r>
      <w:r w:rsidR="00F475BA">
        <w:t xml:space="preserve">but </w:t>
      </w:r>
      <w:r w:rsidR="00B81A1E">
        <w:t xml:space="preserve">fell outside the top </w:t>
      </w:r>
      <w:r w:rsidR="001F0D42">
        <w:t>six</w:t>
      </w:r>
      <w:r w:rsidR="00B81A1E">
        <w:t xml:space="preserve"> </w:t>
      </w:r>
      <w:r w:rsidR="006C19FD">
        <w:t>in May</w:t>
      </w:r>
      <w:r w:rsidR="00F475BA">
        <w:t xml:space="preserve">, recording its </w:t>
      </w:r>
      <w:r w:rsidR="00923764">
        <w:t xml:space="preserve">lowest recorded monthly total over the </w:t>
      </w:r>
      <w:r w:rsidR="00B81A1E">
        <w:t>23-month</w:t>
      </w:r>
      <w:r w:rsidR="00F475BA">
        <w:t xml:space="preserve"> assessment</w:t>
      </w:r>
      <w:r w:rsidR="00B81A1E">
        <w:t xml:space="preserve"> period. </w:t>
      </w:r>
    </w:p>
    <w:p w14:paraId="169741A1" w14:textId="77777777" w:rsidR="00B81A1E" w:rsidRDefault="00B81A1E" w:rsidP="00B50BE7">
      <w:pPr>
        <w:pStyle w:val="BodyText"/>
      </w:pPr>
    </w:p>
    <w:p w14:paraId="50DC27F6" w14:textId="7CE84A7E" w:rsidR="0083200E" w:rsidRDefault="00642752" w:rsidP="00B50BE7">
      <w:pPr>
        <w:pStyle w:val="BodyText"/>
      </w:pPr>
      <w:r w:rsidRPr="004368A9">
        <w:fldChar w:fldCharType="begin"/>
      </w:r>
      <w:r w:rsidRPr="004368A9">
        <w:instrText xml:space="preserve"> REF _Ref524597468 \h  \* MERGEFORMAT </w:instrText>
      </w:r>
      <w:r w:rsidRPr="004368A9">
        <w:fldChar w:fldCharType="separate"/>
      </w:r>
      <w:r w:rsidR="004E4C1B">
        <w:t xml:space="preserve">Table </w:t>
      </w:r>
      <w:r w:rsidR="004E4C1B">
        <w:rPr>
          <w:noProof/>
        </w:rPr>
        <w:t>1</w:t>
      </w:r>
      <w:r w:rsidRPr="004368A9">
        <w:fldChar w:fldCharType="end"/>
      </w:r>
      <w:r w:rsidRPr="004368A9">
        <w:t xml:space="preserve"> compares </w:t>
      </w:r>
      <w:r w:rsidR="00A624C9">
        <w:t>exports to the</w:t>
      </w:r>
      <w:r w:rsidRPr="004368A9">
        <w:t xml:space="preserve"> top six receiving countries in</w:t>
      </w:r>
      <w:r w:rsidR="00276674">
        <w:t xml:space="preserve"> </w:t>
      </w:r>
      <w:r w:rsidR="00085DEB">
        <w:t xml:space="preserve">April </w:t>
      </w:r>
      <w:r w:rsidR="00276674">
        <w:t>and</w:t>
      </w:r>
      <w:r w:rsidRPr="004368A9">
        <w:t xml:space="preserve"> </w:t>
      </w:r>
      <w:r w:rsidR="00085DEB">
        <w:t>May</w:t>
      </w:r>
      <w:r w:rsidR="0074180C">
        <w:t xml:space="preserve"> </w:t>
      </w:r>
      <w:r w:rsidRPr="004368A9">
        <w:t>201</w:t>
      </w:r>
      <w:r w:rsidR="00CA6A5B">
        <w:t>9</w:t>
      </w:r>
      <w:r w:rsidR="00276674">
        <w:t xml:space="preserve">, and also includes each country’s </w:t>
      </w:r>
      <w:r w:rsidRPr="007E5F8F">
        <w:t>2017-18 monthly average.</w:t>
      </w:r>
      <w:r>
        <w:t xml:space="preserve"> </w:t>
      </w:r>
      <w:r w:rsidR="00596392">
        <w:t>Waste exports to</w:t>
      </w:r>
      <w:r w:rsidR="00B81A1E">
        <w:t xml:space="preserve"> India and</w:t>
      </w:r>
      <w:r w:rsidR="00596392">
        <w:t xml:space="preserve"> </w:t>
      </w:r>
      <w:r w:rsidR="00B81A1E">
        <w:t>Bangladesh in May</w:t>
      </w:r>
      <w:r w:rsidR="0074180C">
        <w:t xml:space="preserve"> </w:t>
      </w:r>
      <w:r w:rsidR="00596392">
        <w:t xml:space="preserve">2019 were </w:t>
      </w:r>
      <w:r w:rsidR="00B81A1E">
        <w:t xml:space="preserve">higher </w:t>
      </w:r>
      <w:r w:rsidR="00596392">
        <w:t xml:space="preserve">than their 2017-18 averages, but those to the other countries in the top six were </w:t>
      </w:r>
      <w:r w:rsidR="00B81A1E">
        <w:t>lower</w:t>
      </w:r>
      <w:r w:rsidR="00596392">
        <w:t>.</w:t>
      </w:r>
      <w:r w:rsidR="003723CE">
        <w:t xml:space="preserve"> </w:t>
      </w:r>
    </w:p>
    <w:p w14:paraId="0A4C2240" w14:textId="25CAA301" w:rsidR="003723CE" w:rsidRDefault="003723CE" w:rsidP="00B50BE7">
      <w:pPr>
        <w:pStyle w:val="BodyText"/>
      </w:pPr>
    </w:p>
    <w:p w14:paraId="6F6A5527" w14:textId="22D89F8B" w:rsidR="00F03947" w:rsidRDefault="00F2166E" w:rsidP="00B50BE7">
      <w:pPr>
        <w:pStyle w:val="BodyText"/>
      </w:pPr>
      <w:r>
        <w:t xml:space="preserve">In May, </w:t>
      </w:r>
      <w:r w:rsidR="003723CE">
        <w:t>exports</w:t>
      </w:r>
      <w:r w:rsidR="00F03947">
        <w:t xml:space="preserve"> of waste-derived materials</w:t>
      </w:r>
      <w:r w:rsidR="003723CE">
        <w:t xml:space="preserve"> </w:t>
      </w:r>
      <w:r w:rsidR="00393835">
        <w:t>to China were</w:t>
      </w:r>
      <w:r w:rsidR="00B65D6C">
        <w:t xml:space="preserve"> mostly </w:t>
      </w:r>
      <w:r w:rsidR="00393835">
        <w:t>recovered paper and cardboard</w:t>
      </w:r>
      <w:r w:rsidR="00B65D6C">
        <w:t xml:space="preserve"> (79%)</w:t>
      </w:r>
      <w:r w:rsidR="00393835">
        <w:t>. India’s were 56% metals and 33% paper and cardboard. Those to Bangladesh and Indonesia</w:t>
      </w:r>
      <w:r w:rsidR="00F03947">
        <w:t xml:space="preserve"> were dominated by </w:t>
      </w:r>
      <w:r w:rsidR="00031E18">
        <w:t xml:space="preserve">scrap </w:t>
      </w:r>
      <w:r w:rsidR="00F03947">
        <w:t xml:space="preserve">metals. </w:t>
      </w:r>
      <w:r w:rsidR="00393835">
        <w:t xml:space="preserve">Malaysia’s were 37% metals and 22% paper and cardboard. </w:t>
      </w:r>
      <w:r w:rsidR="00031E18">
        <w:t xml:space="preserve">Thailand’s were </w:t>
      </w:r>
      <w:r w:rsidR="00393835">
        <w:t>49</w:t>
      </w:r>
      <w:r w:rsidR="00031E18">
        <w:t xml:space="preserve">% </w:t>
      </w:r>
      <w:r w:rsidR="00393835">
        <w:t>metals and 45% paper and cardboard</w:t>
      </w:r>
      <w:r w:rsidR="00031E18">
        <w:t>.</w:t>
      </w:r>
    </w:p>
    <w:p w14:paraId="28F5E0B6" w14:textId="3E06B120" w:rsidR="00B02451" w:rsidRDefault="00B02451" w:rsidP="009C465E">
      <w:pPr>
        <w:pStyle w:val="Caption"/>
      </w:pPr>
      <w:bookmarkStart w:id="2"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4E4C1B">
        <w:rPr>
          <w:noProof/>
        </w:rPr>
        <w:t>1</w:t>
      </w:r>
      <w:r w:rsidR="00EC1C4A">
        <w:rPr>
          <w:noProof/>
        </w:rPr>
        <w:fldChar w:fldCharType="end"/>
      </w:r>
      <w:bookmarkEnd w:id="2"/>
      <w:r>
        <w:tab/>
        <w:t xml:space="preserve">Comparison of month-to-month waste export </w:t>
      </w:r>
      <w:r w:rsidR="003522E8">
        <w:t>volume by destination</w:t>
      </w:r>
    </w:p>
    <w:tbl>
      <w:tblPr>
        <w:tblStyle w:val="BE-table"/>
        <w:tblW w:w="0" w:type="auto"/>
        <w:tblLook w:val="04A0" w:firstRow="1" w:lastRow="0" w:firstColumn="1" w:lastColumn="0" w:noHBand="0" w:noVBand="1"/>
      </w:tblPr>
      <w:tblGrid>
        <w:gridCol w:w="318"/>
        <w:gridCol w:w="1618"/>
        <w:gridCol w:w="1380"/>
        <w:gridCol w:w="828"/>
        <w:gridCol w:w="631"/>
        <w:gridCol w:w="1202"/>
        <w:gridCol w:w="921"/>
        <w:gridCol w:w="1203"/>
        <w:gridCol w:w="921"/>
      </w:tblGrid>
      <w:tr w:rsidR="003522E8" w14:paraId="57D16BA9" w14:textId="77777777" w:rsidTr="00085D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gridSpan w:val="2"/>
            <w:vMerge w:val="restart"/>
          </w:tcPr>
          <w:p w14:paraId="7BBA5F82" w14:textId="77777777" w:rsidR="003522E8" w:rsidRPr="00175583" w:rsidRDefault="003522E8" w:rsidP="004256CC">
            <w:pPr>
              <w:pStyle w:val="BodyText"/>
              <w:spacing w:beforeLines="0" w:before="0" w:afterLines="0" w:after="0"/>
            </w:pPr>
            <w:r w:rsidRPr="00175583">
              <w:t>Export destination by monthly rank</w:t>
            </w:r>
          </w:p>
        </w:tc>
        <w:tc>
          <w:tcPr>
            <w:tcW w:w="2227" w:type="dxa"/>
            <w:gridSpan w:val="2"/>
          </w:tcPr>
          <w:p w14:paraId="37EF03AD" w14:textId="7B8DD4E3" w:rsidR="003522E8" w:rsidRPr="00175583" w:rsidRDefault="00085DEB"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 xml:space="preserve">May </w:t>
            </w:r>
            <w:r w:rsidR="003522E8" w:rsidRPr="00175583">
              <w:t>1</w:t>
            </w:r>
            <w:r w:rsidR="00CA6A5B">
              <w:t>9</w:t>
            </w:r>
          </w:p>
        </w:tc>
        <w:tc>
          <w:tcPr>
            <w:tcW w:w="1798" w:type="dxa"/>
            <w:gridSpan w:val="2"/>
          </w:tcPr>
          <w:p w14:paraId="676CCAA7" w14:textId="0B2D0C91" w:rsidR="003522E8" w:rsidRPr="00175583" w:rsidRDefault="00085DEB"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April</w:t>
            </w:r>
            <w:r w:rsidR="00EC5D7A">
              <w:t xml:space="preserve"> </w:t>
            </w:r>
            <w:r w:rsidR="003522E8" w:rsidRPr="00175583">
              <w:t>1</w:t>
            </w:r>
            <w:r w:rsidR="00545CCF">
              <w:t>9</w:t>
            </w:r>
          </w:p>
        </w:tc>
        <w:tc>
          <w:tcPr>
            <w:tcW w:w="924" w:type="dxa"/>
          </w:tcPr>
          <w:p w14:paraId="53A75B75" w14:textId="77777777" w:rsidR="003522E8" w:rsidRPr="00175583" w:rsidRDefault="003522E8" w:rsidP="004256CC">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p>
        </w:tc>
        <w:tc>
          <w:tcPr>
            <w:tcW w:w="1211" w:type="dxa"/>
            <w:vMerge w:val="restart"/>
          </w:tcPr>
          <w:p w14:paraId="566C7BD5" w14:textId="77777777" w:rsidR="003522E8" w:rsidRPr="00175583"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2017-18 monthly avg</w:t>
            </w:r>
          </w:p>
        </w:tc>
        <w:tc>
          <w:tcPr>
            <w:tcW w:w="924" w:type="dxa"/>
            <w:vMerge w:val="restart"/>
          </w:tcPr>
          <w:p w14:paraId="1AD77C8A" w14:textId="77777777" w:rsidR="003522E8" w:rsidRPr="003522E8"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 change</w:t>
            </w:r>
          </w:p>
        </w:tc>
      </w:tr>
      <w:tr w:rsidR="00085DEB" w14:paraId="71778CDA" w14:textId="77777777" w:rsidTr="00085DEB">
        <w:tc>
          <w:tcPr>
            <w:cnfStyle w:val="001000000000" w:firstRow="0" w:lastRow="0" w:firstColumn="1" w:lastColumn="0" w:oddVBand="0" w:evenVBand="0" w:oddHBand="0" w:evenHBand="0" w:firstRowFirstColumn="0" w:firstRowLastColumn="0" w:lastRowFirstColumn="0" w:lastRowLastColumn="0"/>
            <w:tcW w:w="1938" w:type="dxa"/>
            <w:gridSpan w:val="2"/>
            <w:vMerge/>
            <w:shd w:val="clear" w:color="auto" w:fill="B7B7E2" w:themeFill="accent1" w:themeFillTint="66"/>
          </w:tcPr>
          <w:p w14:paraId="181C0EB5" w14:textId="77777777" w:rsidR="003522E8" w:rsidRPr="007928A3" w:rsidRDefault="003522E8" w:rsidP="004256CC">
            <w:pPr>
              <w:pStyle w:val="BodyText"/>
              <w:spacing w:before="0" w:after="0"/>
              <w:jc w:val="right"/>
              <w:rPr>
                <w:b/>
                <w:color w:val="FFFFFF" w:themeColor="background1"/>
              </w:rPr>
            </w:pPr>
          </w:p>
        </w:tc>
        <w:tc>
          <w:tcPr>
            <w:tcW w:w="1393" w:type="dxa"/>
            <w:shd w:val="clear" w:color="auto" w:fill="B7B7E2" w:themeFill="accent1" w:themeFillTint="66"/>
          </w:tcPr>
          <w:p w14:paraId="076D0734"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834" w:type="dxa"/>
            <w:shd w:val="clear" w:color="auto" w:fill="B7B7E2" w:themeFill="accent1" w:themeFillTint="66"/>
          </w:tcPr>
          <w:p w14:paraId="7CBA1A5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of total</w:t>
            </w:r>
          </w:p>
        </w:tc>
        <w:tc>
          <w:tcPr>
            <w:tcW w:w="587" w:type="dxa"/>
            <w:shd w:val="clear" w:color="auto" w:fill="B7B7E2" w:themeFill="accent1" w:themeFillTint="66"/>
          </w:tcPr>
          <w:p w14:paraId="0A92AF78"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Rank</w:t>
            </w:r>
          </w:p>
        </w:tc>
        <w:tc>
          <w:tcPr>
            <w:tcW w:w="1211" w:type="dxa"/>
            <w:shd w:val="clear" w:color="auto" w:fill="B7B7E2" w:themeFill="accent1" w:themeFillTint="66"/>
          </w:tcPr>
          <w:p w14:paraId="386232E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924" w:type="dxa"/>
            <w:shd w:val="clear" w:color="auto" w:fill="B7B7E2" w:themeFill="accent1" w:themeFillTint="66"/>
          </w:tcPr>
          <w:p w14:paraId="2A48D856"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change</w:t>
            </w:r>
          </w:p>
        </w:tc>
        <w:tc>
          <w:tcPr>
            <w:tcW w:w="1211" w:type="dxa"/>
            <w:vMerge/>
            <w:shd w:val="clear" w:color="auto" w:fill="B7B7E2" w:themeFill="accent1" w:themeFillTint="66"/>
          </w:tcPr>
          <w:p w14:paraId="47A02918"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24" w:type="dxa"/>
            <w:vMerge/>
            <w:shd w:val="clear" w:color="auto" w:fill="B7B7E2" w:themeFill="accent1" w:themeFillTint="66"/>
          </w:tcPr>
          <w:p w14:paraId="66554CFE"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085DEB" w14:paraId="35E8CB15" w14:textId="77777777" w:rsidTr="00085DEB">
        <w:tc>
          <w:tcPr>
            <w:cnfStyle w:val="001000000000" w:firstRow="0" w:lastRow="0" w:firstColumn="1" w:lastColumn="0" w:oddVBand="0" w:evenVBand="0" w:oddHBand="0" w:evenHBand="0" w:firstRowFirstColumn="0" w:firstRowLastColumn="0" w:lastRowFirstColumn="0" w:lastRowLastColumn="0"/>
            <w:tcW w:w="308" w:type="dxa"/>
          </w:tcPr>
          <w:p w14:paraId="12638C92" w14:textId="499F1DDC" w:rsidR="00085DEB" w:rsidRDefault="00085DEB" w:rsidP="00085DEB">
            <w:pPr>
              <w:pStyle w:val="BodyText"/>
              <w:spacing w:before="0" w:after="0"/>
            </w:pPr>
            <w:r w:rsidRPr="00641109">
              <w:t>1</w:t>
            </w:r>
          </w:p>
        </w:tc>
        <w:tc>
          <w:tcPr>
            <w:tcW w:w="1630" w:type="dxa"/>
          </w:tcPr>
          <w:p w14:paraId="10147CCE" w14:textId="5A47D324" w:rsidR="00085DEB" w:rsidRDefault="00085DEB" w:rsidP="00085DEB">
            <w:pPr>
              <w:pStyle w:val="BodyText"/>
              <w:spacing w:before="0" w:after="0"/>
              <w:cnfStyle w:val="000000000000" w:firstRow="0" w:lastRow="0" w:firstColumn="0" w:lastColumn="0" w:oddVBand="0" w:evenVBand="0" w:oddHBand="0" w:evenHBand="0" w:firstRowFirstColumn="0" w:firstRowLastColumn="0" w:lastRowFirstColumn="0" w:lastRowLastColumn="0"/>
            </w:pPr>
            <w:r w:rsidRPr="00631E40">
              <w:t>China</w:t>
            </w:r>
          </w:p>
        </w:tc>
        <w:tc>
          <w:tcPr>
            <w:tcW w:w="1393" w:type="dxa"/>
          </w:tcPr>
          <w:p w14:paraId="7D04B46A" w14:textId="107BFC53"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54,700</w:t>
            </w:r>
          </w:p>
        </w:tc>
        <w:tc>
          <w:tcPr>
            <w:tcW w:w="834" w:type="dxa"/>
          </w:tcPr>
          <w:p w14:paraId="388A2E96" w14:textId="7F8BB35F"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16%</w:t>
            </w:r>
          </w:p>
        </w:tc>
        <w:tc>
          <w:tcPr>
            <w:tcW w:w="587" w:type="dxa"/>
          </w:tcPr>
          <w:p w14:paraId="2829EF82" w14:textId="2D6D3EB2"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3</w:t>
            </w:r>
          </w:p>
        </w:tc>
        <w:tc>
          <w:tcPr>
            <w:tcW w:w="1211" w:type="dxa"/>
          </w:tcPr>
          <w:p w14:paraId="6BD61ED9" w14:textId="530AFDD1"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56,600</w:t>
            </w:r>
          </w:p>
        </w:tc>
        <w:tc>
          <w:tcPr>
            <w:tcW w:w="924" w:type="dxa"/>
          </w:tcPr>
          <w:p w14:paraId="106A55C2" w14:textId="67B81BE2"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-3%</w:t>
            </w:r>
          </w:p>
        </w:tc>
        <w:tc>
          <w:tcPr>
            <w:tcW w:w="1211" w:type="dxa"/>
          </w:tcPr>
          <w:p w14:paraId="5A68AEBE" w14:textId="1D128897" w:rsidR="00085DEB" w:rsidRPr="0039737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62,100</w:t>
            </w:r>
          </w:p>
        </w:tc>
        <w:tc>
          <w:tcPr>
            <w:tcW w:w="924" w:type="dxa"/>
          </w:tcPr>
          <w:p w14:paraId="7D04A2DC" w14:textId="6B0EDA60" w:rsidR="00085DEB" w:rsidRPr="003522E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-12%</w:t>
            </w:r>
          </w:p>
        </w:tc>
      </w:tr>
      <w:tr w:rsidR="00085DEB" w14:paraId="55ABB803" w14:textId="77777777" w:rsidTr="00085DEB">
        <w:tc>
          <w:tcPr>
            <w:cnfStyle w:val="001000000000" w:firstRow="0" w:lastRow="0" w:firstColumn="1" w:lastColumn="0" w:oddVBand="0" w:evenVBand="0" w:oddHBand="0" w:evenHBand="0" w:firstRowFirstColumn="0" w:firstRowLastColumn="0" w:lastRowFirstColumn="0" w:lastRowLastColumn="0"/>
            <w:tcW w:w="308" w:type="dxa"/>
          </w:tcPr>
          <w:p w14:paraId="3EC3B387" w14:textId="0A806ED2" w:rsidR="00085DEB" w:rsidRDefault="00085DEB" w:rsidP="00085DEB">
            <w:pPr>
              <w:pStyle w:val="BodyText"/>
              <w:spacing w:before="0" w:after="0"/>
            </w:pPr>
            <w:r w:rsidRPr="00641109">
              <w:t>2</w:t>
            </w:r>
          </w:p>
        </w:tc>
        <w:tc>
          <w:tcPr>
            <w:tcW w:w="1630" w:type="dxa"/>
          </w:tcPr>
          <w:p w14:paraId="74CB2625" w14:textId="33DC86B1" w:rsidR="00085DEB" w:rsidRDefault="00085DEB" w:rsidP="00085DEB">
            <w:pPr>
              <w:pStyle w:val="BodyText"/>
              <w:spacing w:before="0" w:after="0"/>
              <w:cnfStyle w:val="000000000000" w:firstRow="0" w:lastRow="0" w:firstColumn="0" w:lastColumn="0" w:oddVBand="0" w:evenVBand="0" w:oddHBand="0" w:evenHBand="0" w:firstRowFirstColumn="0" w:firstRowLastColumn="0" w:lastRowFirstColumn="0" w:lastRowLastColumn="0"/>
            </w:pPr>
            <w:r w:rsidRPr="00631E40">
              <w:t>India</w:t>
            </w:r>
          </w:p>
        </w:tc>
        <w:tc>
          <w:tcPr>
            <w:tcW w:w="1393" w:type="dxa"/>
          </w:tcPr>
          <w:p w14:paraId="30834D0F" w14:textId="2E280AD8"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54,000</w:t>
            </w:r>
          </w:p>
        </w:tc>
        <w:tc>
          <w:tcPr>
            <w:tcW w:w="834" w:type="dxa"/>
          </w:tcPr>
          <w:p w14:paraId="382FF66A" w14:textId="5134D271"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16%</w:t>
            </w:r>
          </w:p>
        </w:tc>
        <w:tc>
          <w:tcPr>
            <w:tcW w:w="587" w:type="dxa"/>
          </w:tcPr>
          <w:p w14:paraId="230D22AA" w14:textId="727A07F3"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w:t>
            </w:r>
          </w:p>
        </w:tc>
        <w:tc>
          <w:tcPr>
            <w:tcW w:w="1211" w:type="dxa"/>
          </w:tcPr>
          <w:p w14:paraId="49F7ABA6" w14:textId="4E8FD962"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67,200</w:t>
            </w:r>
          </w:p>
        </w:tc>
        <w:tc>
          <w:tcPr>
            <w:tcW w:w="924" w:type="dxa"/>
          </w:tcPr>
          <w:p w14:paraId="3D80DB9E" w14:textId="7F9351D9"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-20%</w:t>
            </w:r>
          </w:p>
        </w:tc>
        <w:tc>
          <w:tcPr>
            <w:tcW w:w="1211" w:type="dxa"/>
          </w:tcPr>
          <w:p w14:paraId="13760DD9" w14:textId="51B7FC73" w:rsidR="00085DEB" w:rsidRPr="0039737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42,400</w:t>
            </w:r>
          </w:p>
        </w:tc>
        <w:tc>
          <w:tcPr>
            <w:tcW w:w="924" w:type="dxa"/>
          </w:tcPr>
          <w:p w14:paraId="32FE0251" w14:textId="1A5CA31E" w:rsidR="00085DEB" w:rsidRPr="003522E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27%</w:t>
            </w:r>
          </w:p>
        </w:tc>
      </w:tr>
      <w:tr w:rsidR="00085DEB" w14:paraId="76B4CBFD" w14:textId="77777777" w:rsidTr="00085DEB">
        <w:tc>
          <w:tcPr>
            <w:cnfStyle w:val="001000000000" w:firstRow="0" w:lastRow="0" w:firstColumn="1" w:lastColumn="0" w:oddVBand="0" w:evenVBand="0" w:oddHBand="0" w:evenHBand="0" w:firstRowFirstColumn="0" w:firstRowLastColumn="0" w:lastRowFirstColumn="0" w:lastRowLastColumn="0"/>
            <w:tcW w:w="308" w:type="dxa"/>
          </w:tcPr>
          <w:p w14:paraId="37BF3C15" w14:textId="47F311EA" w:rsidR="00085DEB" w:rsidRDefault="00085DEB" w:rsidP="00085DEB">
            <w:pPr>
              <w:pStyle w:val="BodyText"/>
              <w:spacing w:before="0" w:after="0"/>
            </w:pPr>
            <w:r w:rsidRPr="00641109">
              <w:t>3</w:t>
            </w:r>
          </w:p>
        </w:tc>
        <w:tc>
          <w:tcPr>
            <w:tcW w:w="1630" w:type="dxa"/>
          </w:tcPr>
          <w:p w14:paraId="3E70C82C" w14:textId="6EEA797B" w:rsidR="00085DEB" w:rsidRDefault="00085DEB" w:rsidP="00085DEB">
            <w:pPr>
              <w:pStyle w:val="BodyText"/>
              <w:spacing w:before="0" w:after="0"/>
              <w:cnfStyle w:val="000000000000" w:firstRow="0" w:lastRow="0" w:firstColumn="0" w:lastColumn="0" w:oddVBand="0" w:evenVBand="0" w:oddHBand="0" w:evenHBand="0" w:firstRowFirstColumn="0" w:firstRowLastColumn="0" w:lastRowFirstColumn="0" w:lastRowLastColumn="0"/>
            </w:pPr>
            <w:r w:rsidRPr="00631E40">
              <w:t>Bangladesh</w:t>
            </w:r>
          </w:p>
        </w:tc>
        <w:tc>
          <w:tcPr>
            <w:tcW w:w="1393" w:type="dxa"/>
          </w:tcPr>
          <w:p w14:paraId="07BC11F6" w14:textId="34435DBE"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51,400</w:t>
            </w:r>
          </w:p>
        </w:tc>
        <w:tc>
          <w:tcPr>
            <w:tcW w:w="834" w:type="dxa"/>
          </w:tcPr>
          <w:p w14:paraId="5509B2E7" w14:textId="177017D2"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15%</w:t>
            </w:r>
          </w:p>
        </w:tc>
        <w:tc>
          <w:tcPr>
            <w:tcW w:w="587" w:type="dxa"/>
          </w:tcPr>
          <w:p w14:paraId="70212C05" w14:textId="424E85F1"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6</w:t>
            </w:r>
          </w:p>
        </w:tc>
        <w:tc>
          <w:tcPr>
            <w:tcW w:w="1211" w:type="dxa"/>
          </w:tcPr>
          <w:p w14:paraId="43A2AF6E" w14:textId="5975404C"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26,600</w:t>
            </w:r>
          </w:p>
        </w:tc>
        <w:tc>
          <w:tcPr>
            <w:tcW w:w="924" w:type="dxa"/>
          </w:tcPr>
          <w:p w14:paraId="5330F34A" w14:textId="023083F9"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93%</w:t>
            </w:r>
          </w:p>
        </w:tc>
        <w:tc>
          <w:tcPr>
            <w:tcW w:w="1211" w:type="dxa"/>
          </w:tcPr>
          <w:p w14:paraId="17F2400B" w14:textId="1A438B33" w:rsidR="00085DEB" w:rsidRPr="0039737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13,900</w:t>
            </w:r>
          </w:p>
        </w:tc>
        <w:tc>
          <w:tcPr>
            <w:tcW w:w="924" w:type="dxa"/>
          </w:tcPr>
          <w:p w14:paraId="438F9786" w14:textId="2C3FEFA9" w:rsidR="00085DEB" w:rsidRPr="003522E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270%</w:t>
            </w:r>
          </w:p>
        </w:tc>
      </w:tr>
      <w:tr w:rsidR="00085DEB" w14:paraId="08069064" w14:textId="77777777" w:rsidTr="00085DEB">
        <w:tc>
          <w:tcPr>
            <w:cnfStyle w:val="001000000000" w:firstRow="0" w:lastRow="0" w:firstColumn="1" w:lastColumn="0" w:oddVBand="0" w:evenVBand="0" w:oddHBand="0" w:evenHBand="0" w:firstRowFirstColumn="0" w:firstRowLastColumn="0" w:lastRowFirstColumn="0" w:lastRowLastColumn="0"/>
            <w:tcW w:w="308" w:type="dxa"/>
          </w:tcPr>
          <w:p w14:paraId="1102A0B9" w14:textId="7C26AF92" w:rsidR="00085DEB" w:rsidRDefault="00085DEB" w:rsidP="00085DEB">
            <w:pPr>
              <w:pStyle w:val="BodyText"/>
              <w:spacing w:before="0" w:after="0"/>
            </w:pPr>
            <w:r w:rsidRPr="00641109">
              <w:t>4</w:t>
            </w:r>
          </w:p>
        </w:tc>
        <w:tc>
          <w:tcPr>
            <w:tcW w:w="1630" w:type="dxa"/>
          </w:tcPr>
          <w:p w14:paraId="2CDC9DC5" w14:textId="2BD9DF7E" w:rsidR="00085DEB" w:rsidRDefault="00085DEB" w:rsidP="00085DEB">
            <w:pPr>
              <w:pStyle w:val="BodyText"/>
              <w:spacing w:before="0" w:after="0"/>
              <w:cnfStyle w:val="000000000000" w:firstRow="0" w:lastRow="0" w:firstColumn="0" w:lastColumn="0" w:oddVBand="0" w:evenVBand="0" w:oddHBand="0" w:evenHBand="0" w:firstRowFirstColumn="0" w:firstRowLastColumn="0" w:lastRowFirstColumn="0" w:lastRowLastColumn="0"/>
            </w:pPr>
            <w:r w:rsidRPr="00631E40">
              <w:t>Indonesia</w:t>
            </w:r>
          </w:p>
        </w:tc>
        <w:tc>
          <w:tcPr>
            <w:tcW w:w="1393" w:type="dxa"/>
          </w:tcPr>
          <w:p w14:paraId="269D49C3" w14:textId="605FA7FC"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48,600</w:t>
            </w:r>
          </w:p>
        </w:tc>
        <w:tc>
          <w:tcPr>
            <w:tcW w:w="834" w:type="dxa"/>
          </w:tcPr>
          <w:p w14:paraId="7B238458" w14:textId="50BC45C3"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14%</w:t>
            </w:r>
          </w:p>
        </w:tc>
        <w:tc>
          <w:tcPr>
            <w:tcW w:w="587" w:type="dxa"/>
          </w:tcPr>
          <w:p w14:paraId="1C992140" w14:textId="61CD3429"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4</w:t>
            </w:r>
          </w:p>
        </w:tc>
        <w:tc>
          <w:tcPr>
            <w:tcW w:w="1211" w:type="dxa"/>
          </w:tcPr>
          <w:p w14:paraId="399D62B3" w14:textId="1856FF6F"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45,000</w:t>
            </w:r>
          </w:p>
        </w:tc>
        <w:tc>
          <w:tcPr>
            <w:tcW w:w="924" w:type="dxa"/>
          </w:tcPr>
          <w:p w14:paraId="65E04DAF" w14:textId="5C92066F"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8%</w:t>
            </w:r>
          </w:p>
        </w:tc>
        <w:tc>
          <w:tcPr>
            <w:tcW w:w="1211" w:type="dxa"/>
          </w:tcPr>
          <w:p w14:paraId="6911188D" w14:textId="690DCA9B" w:rsidR="00085DEB" w:rsidRPr="0039737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60,600</w:t>
            </w:r>
          </w:p>
        </w:tc>
        <w:tc>
          <w:tcPr>
            <w:tcW w:w="924" w:type="dxa"/>
          </w:tcPr>
          <w:p w14:paraId="4FE7BB3A" w14:textId="512286EE" w:rsidR="00085DEB" w:rsidRPr="003522E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-20%</w:t>
            </w:r>
          </w:p>
        </w:tc>
      </w:tr>
      <w:tr w:rsidR="00085DEB" w14:paraId="67DDDB0F" w14:textId="77777777" w:rsidTr="00085DEB">
        <w:tc>
          <w:tcPr>
            <w:cnfStyle w:val="001000000000" w:firstRow="0" w:lastRow="0" w:firstColumn="1" w:lastColumn="0" w:oddVBand="0" w:evenVBand="0" w:oddHBand="0" w:evenHBand="0" w:firstRowFirstColumn="0" w:firstRowLastColumn="0" w:lastRowFirstColumn="0" w:lastRowLastColumn="0"/>
            <w:tcW w:w="308" w:type="dxa"/>
          </w:tcPr>
          <w:p w14:paraId="7EDE0A84" w14:textId="27B526B2" w:rsidR="00085DEB" w:rsidRDefault="00085DEB" w:rsidP="00085DEB">
            <w:pPr>
              <w:pStyle w:val="BodyText"/>
              <w:spacing w:before="0" w:after="0"/>
            </w:pPr>
            <w:r w:rsidRPr="00641109">
              <w:t>5</w:t>
            </w:r>
          </w:p>
        </w:tc>
        <w:tc>
          <w:tcPr>
            <w:tcW w:w="1630" w:type="dxa"/>
          </w:tcPr>
          <w:p w14:paraId="27466104" w14:textId="349F4482" w:rsidR="00085DEB" w:rsidRDefault="00085DEB" w:rsidP="00085DEB">
            <w:pPr>
              <w:pStyle w:val="BodyText"/>
              <w:spacing w:before="0" w:after="0"/>
              <w:cnfStyle w:val="000000000000" w:firstRow="0" w:lastRow="0" w:firstColumn="0" w:lastColumn="0" w:oddVBand="0" w:evenVBand="0" w:oddHBand="0" w:evenHBand="0" w:firstRowFirstColumn="0" w:firstRowLastColumn="0" w:lastRowFirstColumn="0" w:lastRowLastColumn="0"/>
            </w:pPr>
            <w:r w:rsidRPr="00631E40">
              <w:t>Malaysia</w:t>
            </w:r>
          </w:p>
        </w:tc>
        <w:tc>
          <w:tcPr>
            <w:tcW w:w="1393" w:type="dxa"/>
          </w:tcPr>
          <w:p w14:paraId="5204A20E" w14:textId="5D140638"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27,000</w:t>
            </w:r>
          </w:p>
        </w:tc>
        <w:tc>
          <w:tcPr>
            <w:tcW w:w="834" w:type="dxa"/>
          </w:tcPr>
          <w:p w14:paraId="16C9D77E" w14:textId="643F67C3"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8%</w:t>
            </w:r>
          </w:p>
        </w:tc>
        <w:tc>
          <w:tcPr>
            <w:tcW w:w="587" w:type="dxa"/>
          </w:tcPr>
          <w:p w14:paraId="585CBF89" w14:textId="6F7C8060"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8</w:t>
            </w:r>
          </w:p>
        </w:tc>
        <w:tc>
          <w:tcPr>
            <w:tcW w:w="1211" w:type="dxa"/>
          </w:tcPr>
          <w:p w14:paraId="792CBE89" w14:textId="1655C93B"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24,200</w:t>
            </w:r>
          </w:p>
        </w:tc>
        <w:tc>
          <w:tcPr>
            <w:tcW w:w="924" w:type="dxa"/>
          </w:tcPr>
          <w:p w14:paraId="449690D2" w14:textId="741594B4"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11%</w:t>
            </w:r>
          </w:p>
        </w:tc>
        <w:tc>
          <w:tcPr>
            <w:tcW w:w="1211" w:type="dxa"/>
          </w:tcPr>
          <w:p w14:paraId="5F3E964A" w14:textId="7AF6A709" w:rsidR="00085DEB" w:rsidRPr="0039737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31,200</w:t>
            </w:r>
          </w:p>
        </w:tc>
        <w:tc>
          <w:tcPr>
            <w:tcW w:w="924" w:type="dxa"/>
          </w:tcPr>
          <w:p w14:paraId="7F187217" w14:textId="637308F7" w:rsidR="00085DEB" w:rsidRPr="003522E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-14%</w:t>
            </w:r>
          </w:p>
        </w:tc>
      </w:tr>
      <w:tr w:rsidR="00085DEB" w14:paraId="4BD416FF" w14:textId="77777777" w:rsidTr="00085DEB">
        <w:tc>
          <w:tcPr>
            <w:cnfStyle w:val="001000000000" w:firstRow="0" w:lastRow="0" w:firstColumn="1" w:lastColumn="0" w:oddVBand="0" w:evenVBand="0" w:oddHBand="0" w:evenHBand="0" w:firstRowFirstColumn="0" w:firstRowLastColumn="0" w:lastRowFirstColumn="0" w:lastRowLastColumn="0"/>
            <w:tcW w:w="308" w:type="dxa"/>
          </w:tcPr>
          <w:p w14:paraId="4529AE48" w14:textId="0CA3878E" w:rsidR="00085DEB" w:rsidRDefault="00085DEB" w:rsidP="00085DEB">
            <w:pPr>
              <w:pStyle w:val="BodyText"/>
              <w:spacing w:before="0" w:after="0"/>
            </w:pPr>
            <w:r w:rsidRPr="00641109">
              <w:t>6</w:t>
            </w:r>
          </w:p>
        </w:tc>
        <w:tc>
          <w:tcPr>
            <w:tcW w:w="1630" w:type="dxa"/>
          </w:tcPr>
          <w:p w14:paraId="6B0FE635" w14:textId="4F2BDFF2" w:rsidR="00085DEB" w:rsidRDefault="00085DEB" w:rsidP="00085DEB">
            <w:pPr>
              <w:pStyle w:val="BodyText"/>
              <w:spacing w:before="0" w:after="0"/>
              <w:cnfStyle w:val="000000000000" w:firstRow="0" w:lastRow="0" w:firstColumn="0" w:lastColumn="0" w:oddVBand="0" w:evenVBand="0" w:oddHBand="0" w:evenHBand="0" w:firstRowFirstColumn="0" w:firstRowLastColumn="0" w:lastRowFirstColumn="0" w:lastRowLastColumn="0"/>
            </w:pPr>
            <w:r w:rsidRPr="00631E40">
              <w:t>Thailand</w:t>
            </w:r>
          </w:p>
        </w:tc>
        <w:tc>
          <w:tcPr>
            <w:tcW w:w="1393" w:type="dxa"/>
          </w:tcPr>
          <w:p w14:paraId="5BFF683A" w14:textId="613B1630"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22,900</w:t>
            </w:r>
          </w:p>
        </w:tc>
        <w:tc>
          <w:tcPr>
            <w:tcW w:w="834" w:type="dxa"/>
          </w:tcPr>
          <w:p w14:paraId="704E6557" w14:textId="32CF1005"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7%</w:t>
            </w:r>
          </w:p>
        </w:tc>
        <w:tc>
          <w:tcPr>
            <w:tcW w:w="587" w:type="dxa"/>
          </w:tcPr>
          <w:p w14:paraId="0A92A681" w14:textId="4CA66ED3"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7</w:t>
            </w:r>
          </w:p>
        </w:tc>
        <w:tc>
          <w:tcPr>
            <w:tcW w:w="1211" w:type="dxa"/>
          </w:tcPr>
          <w:p w14:paraId="370A6BEB" w14:textId="27F67AC8"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26,400</w:t>
            </w:r>
          </w:p>
        </w:tc>
        <w:tc>
          <w:tcPr>
            <w:tcW w:w="924" w:type="dxa"/>
          </w:tcPr>
          <w:p w14:paraId="25DAF409" w14:textId="35D1143D"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-13%</w:t>
            </w:r>
          </w:p>
        </w:tc>
        <w:tc>
          <w:tcPr>
            <w:tcW w:w="1211" w:type="dxa"/>
          </w:tcPr>
          <w:p w14:paraId="5BD0B2B1" w14:textId="310229E0" w:rsidR="00085DEB" w:rsidRPr="0039737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25,700</w:t>
            </w:r>
          </w:p>
        </w:tc>
        <w:tc>
          <w:tcPr>
            <w:tcW w:w="924" w:type="dxa"/>
          </w:tcPr>
          <w:p w14:paraId="70641DB2" w14:textId="3B0D3551" w:rsidR="00085DEB" w:rsidRPr="003522E8"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31E40">
              <w:t>-11%</w:t>
            </w:r>
          </w:p>
        </w:tc>
      </w:tr>
      <w:tr w:rsidR="00085DEB" w14:paraId="3C624401" w14:textId="77777777" w:rsidTr="00085DEB">
        <w:tc>
          <w:tcPr>
            <w:cnfStyle w:val="001000000000" w:firstRow="0" w:lastRow="0" w:firstColumn="1" w:lastColumn="0" w:oddVBand="0" w:evenVBand="0" w:oddHBand="0" w:evenHBand="0" w:firstRowFirstColumn="0" w:firstRowLastColumn="0" w:lastRowFirstColumn="0" w:lastRowLastColumn="0"/>
            <w:tcW w:w="1938" w:type="dxa"/>
            <w:gridSpan w:val="2"/>
          </w:tcPr>
          <w:p w14:paraId="22830CAE" w14:textId="77777777" w:rsidR="00085DEB" w:rsidRDefault="00085DEB" w:rsidP="00085DEB">
            <w:pPr>
              <w:pStyle w:val="BodyText"/>
              <w:spacing w:before="0" w:after="0"/>
            </w:pPr>
            <w:r>
              <w:t>Top 6 total</w:t>
            </w:r>
          </w:p>
        </w:tc>
        <w:tc>
          <w:tcPr>
            <w:tcW w:w="1393" w:type="dxa"/>
          </w:tcPr>
          <w:p w14:paraId="188A3319" w14:textId="04C32E16"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27A09">
              <w:t>258,600</w:t>
            </w:r>
          </w:p>
        </w:tc>
        <w:tc>
          <w:tcPr>
            <w:tcW w:w="834" w:type="dxa"/>
          </w:tcPr>
          <w:p w14:paraId="08D70F4A" w14:textId="4ECBA44F" w:rsidR="00085DEB" w:rsidRPr="0083200E"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t>75</w:t>
            </w:r>
            <w:r w:rsidRPr="0055107F">
              <w:t>%</w:t>
            </w:r>
          </w:p>
        </w:tc>
        <w:tc>
          <w:tcPr>
            <w:tcW w:w="587" w:type="dxa"/>
            <w:vMerge w:val="restart"/>
          </w:tcPr>
          <w:p w14:paraId="3D724F1E" w14:textId="65036584" w:rsidR="00085DEB" w:rsidRDefault="00085DEB" w:rsidP="00085DEB">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1211" w:type="dxa"/>
          </w:tcPr>
          <w:p w14:paraId="65520571" w14:textId="756B4BE1" w:rsidR="00085DEB" w:rsidRPr="007928A3"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E7703">
              <w:t>246,000</w:t>
            </w:r>
          </w:p>
        </w:tc>
        <w:tc>
          <w:tcPr>
            <w:tcW w:w="924" w:type="dxa"/>
          </w:tcPr>
          <w:p w14:paraId="16A7AE33" w14:textId="304AE722" w:rsidR="00085DEB"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E7703">
              <w:t>5%</w:t>
            </w:r>
          </w:p>
        </w:tc>
        <w:tc>
          <w:tcPr>
            <w:tcW w:w="2135" w:type="dxa"/>
            <w:gridSpan w:val="2"/>
            <w:vMerge w:val="restart"/>
          </w:tcPr>
          <w:p w14:paraId="5DAFCD42" w14:textId="77777777" w:rsidR="00085DEB"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r w:rsidR="00085DEB" w14:paraId="05A4868C" w14:textId="77777777" w:rsidTr="00085DEB">
        <w:tc>
          <w:tcPr>
            <w:cnfStyle w:val="001000000000" w:firstRow="0" w:lastRow="0" w:firstColumn="1" w:lastColumn="0" w:oddVBand="0" w:evenVBand="0" w:oddHBand="0" w:evenHBand="0" w:firstRowFirstColumn="0" w:firstRowLastColumn="0" w:lastRowFirstColumn="0" w:lastRowLastColumn="0"/>
            <w:tcW w:w="1938" w:type="dxa"/>
            <w:gridSpan w:val="2"/>
          </w:tcPr>
          <w:p w14:paraId="20D7AAD7" w14:textId="77777777" w:rsidR="00085DEB" w:rsidRPr="009D1226" w:rsidRDefault="00085DEB" w:rsidP="00085DEB">
            <w:pPr>
              <w:pStyle w:val="BodyText"/>
              <w:spacing w:before="0" w:after="0"/>
              <w:rPr>
                <w:b/>
              </w:rPr>
            </w:pPr>
            <w:r w:rsidRPr="009D1226">
              <w:rPr>
                <w:b/>
              </w:rPr>
              <w:t>Monthly total</w:t>
            </w:r>
          </w:p>
        </w:tc>
        <w:tc>
          <w:tcPr>
            <w:tcW w:w="1393" w:type="dxa"/>
          </w:tcPr>
          <w:p w14:paraId="0CC1B0BB" w14:textId="4491C883" w:rsidR="00085DEB" w:rsidRPr="00085DEB"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rPr>
            </w:pPr>
            <w:r w:rsidRPr="00482EF7">
              <w:rPr>
                <w:b/>
                <w:bCs/>
              </w:rPr>
              <w:t>343,400</w:t>
            </w:r>
          </w:p>
        </w:tc>
        <w:tc>
          <w:tcPr>
            <w:tcW w:w="834" w:type="dxa"/>
          </w:tcPr>
          <w:p w14:paraId="7DA5B95E" w14:textId="0B724801" w:rsidR="00085DEB" w:rsidRPr="00B65D6C"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rPr>
            </w:pPr>
            <w:r w:rsidRPr="00B65D6C">
              <w:rPr>
                <w:b/>
                <w:bCs/>
              </w:rPr>
              <w:t>-</w:t>
            </w:r>
          </w:p>
        </w:tc>
        <w:tc>
          <w:tcPr>
            <w:tcW w:w="587" w:type="dxa"/>
            <w:vMerge/>
          </w:tcPr>
          <w:p w14:paraId="59C53745" w14:textId="77777777" w:rsidR="00085DEB" w:rsidRPr="002C6513" w:rsidRDefault="00085DEB" w:rsidP="00085DEB">
            <w:pPr>
              <w:pStyle w:val="BodyText"/>
              <w:spacing w:before="0" w:after="0"/>
              <w:cnfStyle w:val="000000000000" w:firstRow="0" w:lastRow="0" w:firstColumn="0" w:lastColumn="0" w:oddVBand="0" w:evenVBand="0" w:oddHBand="0" w:evenHBand="0" w:firstRowFirstColumn="0" w:firstRowLastColumn="0" w:lastRowFirstColumn="0" w:lastRowLastColumn="0"/>
              <w:rPr>
                <w:b/>
                <w:bCs/>
              </w:rPr>
            </w:pPr>
          </w:p>
        </w:tc>
        <w:tc>
          <w:tcPr>
            <w:tcW w:w="1211" w:type="dxa"/>
          </w:tcPr>
          <w:p w14:paraId="7DE63019" w14:textId="27C6162B" w:rsidR="00085DEB" w:rsidRPr="00085DEB"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rPr>
            </w:pPr>
            <w:r w:rsidRPr="00482EF7">
              <w:rPr>
                <w:b/>
                <w:bCs/>
              </w:rPr>
              <w:t>444,900</w:t>
            </w:r>
          </w:p>
        </w:tc>
        <w:tc>
          <w:tcPr>
            <w:tcW w:w="924" w:type="dxa"/>
          </w:tcPr>
          <w:p w14:paraId="02D02DB7" w14:textId="754D3B85" w:rsidR="00085DEB" w:rsidRPr="00085DEB"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rPr>
            </w:pPr>
            <w:r w:rsidRPr="00482EF7">
              <w:rPr>
                <w:b/>
                <w:bCs/>
              </w:rPr>
              <w:t>-23%</w:t>
            </w:r>
          </w:p>
        </w:tc>
        <w:tc>
          <w:tcPr>
            <w:tcW w:w="2135" w:type="dxa"/>
            <w:gridSpan w:val="2"/>
            <w:vMerge/>
          </w:tcPr>
          <w:p w14:paraId="66E8A23A" w14:textId="77777777" w:rsidR="00085DEB" w:rsidRDefault="00085DEB" w:rsidP="00085DEB">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bl>
    <w:p w14:paraId="5D6E86C5" w14:textId="77777777" w:rsidR="002018D5" w:rsidRDefault="002018D5" w:rsidP="00FD30F3">
      <w:pPr>
        <w:pStyle w:val="BodyText"/>
      </w:pPr>
    </w:p>
    <w:p w14:paraId="796AC17D" w14:textId="5A568530"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4E4C1B">
        <w:t xml:space="preserve">Figure </w:t>
      </w:r>
      <w:r w:rsidR="004E4C1B">
        <w:rPr>
          <w:noProof/>
        </w:rPr>
        <w:t>1</w:t>
      </w:r>
      <w:r w:rsidRPr="007E5F8F">
        <w:fldChar w:fldCharType="end"/>
      </w:r>
      <w:r w:rsidRPr="007E5F8F">
        <w:t xml:space="preserve"> </w:t>
      </w:r>
      <w:r w:rsidR="00F65DB4" w:rsidRPr="007E5F8F">
        <w:t xml:space="preserve">(overleaf) </w:t>
      </w:r>
      <w:r w:rsidRPr="007E5F8F">
        <w:t>presents the monthly</w:t>
      </w:r>
      <w:r w:rsidR="009C42B6" w:rsidRPr="007E5F8F">
        <w:t xml:space="preserve"> trend in</w:t>
      </w:r>
      <w:r w:rsidRPr="007E5F8F">
        <w:t xml:space="preserve"> exports of waste from Australia to the top six receiving countries and the other destinations</w:t>
      </w:r>
      <w:r w:rsidR="004F2E03" w:rsidRPr="007E5F8F">
        <w:t xml:space="preserve"> </w:t>
      </w:r>
      <w:r w:rsidRPr="007E5F8F">
        <w:t xml:space="preserve">between July 2017 and </w:t>
      </w:r>
      <w:r w:rsidR="00B65D6C">
        <w:t>May</w:t>
      </w:r>
      <w:r w:rsidR="00B65D6C" w:rsidRPr="007E5F8F">
        <w:t xml:space="preserve"> </w:t>
      </w:r>
      <w:r w:rsidRPr="007E5F8F">
        <w:t>201</w:t>
      </w:r>
      <w:r w:rsidR="00254A4D">
        <w:t>9</w:t>
      </w:r>
      <w:r w:rsidRPr="007E5F8F">
        <w:t>.</w:t>
      </w:r>
      <w:r w:rsidR="007A0C03" w:rsidRPr="007E5F8F">
        <w:t xml:space="preserve"> </w:t>
      </w:r>
      <w:r w:rsidR="00215B3A" w:rsidRPr="007E5F8F">
        <w:t>Examined</w:t>
      </w:r>
      <w:r w:rsidR="007A0C03" w:rsidRPr="007E5F8F">
        <w:t xml:space="preserve"> over this timeframe</w:t>
      </w:r>
      <w:r w:rsidR="00215B3A" w:rsidRPr="007E5F8F">
        <w:t>,</w:t>
      </w:r>
      <w:r w:rsidR="007A0C03" w:rsidRPr="007E5F8F">
        <w:t xml:space="preserve"> </w:t>
      </w:r>
      <w:r w:rsidR="00215B3A" w:rsidRPr="007E5F8F">
        <w:t xml:space="preserve">the top six </w:t>
      </w:r>
      <w:r w:rsidR="007A0C03" w:rsidRPr="007E5F8F">
        <w:t xml:space="preserve">includes </w:t>
      </w:r>
      <w:r w:rsidR="00B65D6C">
        <w:t>Vietnam</w:t>
      </w:r>
      <w:r w:rsidR="00B65D6C" w:rsidRPr="007E5F8F">
        <w:t xml:space="preserve"> </w:t>
      </w:r>
      <w:r w:rsidR="007A0C03" w:rsidRPr="007E5F8F">
        <w:t xml:space="preserve">but </w:t>
      </w:r>
      <w:r w:rsidR="004F2E03" w:rsidRPr="007E5F8F">
        <w:t>not</w:t>
      </w:r>
      <w:r w:rsidR="00B65D6C">
        <w:t xml:space="preserve"> Bangladesh</w:t>
      </w:r>
      <w:r w:rsidR="004F2E03" w:rsidRPr="007E5F8F">
        <w:t xml:space="preserve">. </w:t>
      </w:r>
    </w:p>
    <w:p w14:paraId="470A8340" w14:textId="795A0B88" w:rsidR="0055017E" w:rsidRDefault="0055017E" w:rsidP="00FD30F3">
      <w:pPr>
        <w:pStyle w:val="BodyText"/>
      </w:pPr>
    </w:p>
    <w:p w14:paraId="2331061C" w14:textId="16233A7F" w:rsidR="00711753" w:rsidRDefault="0055017E" w:rsidP="00FD30F3">
      <w:pPr>
        <w:pStyle w:val="BodyText"/>
      </w:pPr>
      <w:r>
        <w:t xml:space="preserve">As </w:t>
      </w:r>
      <w:r w:rsidR="0075133C">
        <w:t>recorded in previous reports</w:t>
      </w:r>
      <w:r>
        <w:t>, exports to China fell markedly during much of 2017-18. They</w:t>
      </w:r>
      <w:r w:rsidR="00C13522">
        <w:t xml:space="preserve"> reached a low of</w:t>
      </w:r>
      <w:r>
        <w:t xml:space="preserve"> 30,000 tonnes in March 2018, recovered to 63,000 in May</w:t>
      </w:r>
      <w:r w:rsidR="00C4663F">
        <w:t xml:space="preserve"> and have</w:t>
      </w:r>
      <w:r>
        <w:t xml:space="preserve"> remained fairly stable </w:t>
      </w:r>
      <w:r w:rsidR="00C4663F">
        <w:t>since</w:t>
      </w:r>
      <w:r>
        <w:t xml:space="preserve">. Exports to Vietnam have been highly variable over this timeframe, </w:t>
      </w:r>
      <w:r w:rsidR="000E701C">
        <w:t>ranging</w:t>
      </w:r>
      <w:r>
        <w:t xml:space="preserve"> between </w:t>
      </w:r>
      <w:r w:rsidR="00B65D6C">
        <w:lastRenderedPageBreak/>
        <w:t>7,000</w:t>
      </w:r>
      <w:r>
        <w:t xml:space="preserve"> and 135,000 tonnes per month. Exports to Indonesia have also varied widely. Overall, </w:t>
      </w:r>
      <w:r w:rsidR="00941AE1">
        <w:t xml:space="preserve">no clear trend is apparent in waste exports over the </w:t>
      </w:r>
      <w:r w:rsidR="00B65D6C">
        <w:t>23</w:t>
      </w:r>
      <w:r w:rsidR="00941AE1">
        <w:t xml:space="preserve">-month timeframe. </w:t>
      </w:r>
    </w:p>
    <w:p w14:paraId="08A125CC" w14:textId="4608D373" w:rsidR="00FD30F3" w:rsidRDefault="00FD30F3" w:rsidP="00FD30F3">
      <w:pPr>
        <w:pStyle w:val="Caption"/>
      </w:pPr>
      <w:bookmarkStart w:id="3" w:name="_Ref526509035"/>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4E4C1B">
        <w:rPr>
          <w:noProof/>
        </w:rPr>
        <w:t>1</w:t>
      </w:r>
      <w:r w:rsidR="00E34057">
        <w:rPr>
          <w:noProof/>
        </w:rPr>
        <w:fldChar w:fldCharType="end"/>
      </w:r>
      <w:bookmarkEnd w:id="3"/>
      <w:r>
        <w:tab/>
      </w:r>
      <w:r w:rsidRPr="00FD30F3">
        <w:t>Monthly exports of waste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B65D6C">
        <w:t xml:space="preserve">May </w:t>
      </w:r>
      <w:r w:rsidR="00254A4D">
        <w:t>2019</w:t>
      </w:r>
    </w:p>
    <w:p w14:paraId="1152657C" w14:textId="71279ACB" w:rsidR="00F65DB4" w:rsidRDefault="00B65D6C" w:rsidP="00A675B6">
      <w:pPr>
        <w:pStyle w:val="BodyText"/>
      </w:pPr>
      <w:r w:rsidRPr="00B65D6C">
        <w:rPr>
          <w:noProof/>
          <w:lang w:eastAsia="en-AU"/>
        </w:rPr>
        <w:drawing>
          <wp:inline distT="0" distB="0" distL="0" distR="0" wp14:anchorId="7C612E6F" wp14:editId="15585EF1">
            <wp:extent cx="5735320"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5320" cy="2181225"/>
                    </a:xfrm>
                    <a:prstGeom prst="rect">
                      <a:avLst/>
                    </a:prstGeom>
                    <a:noFill/>
                    <a:ln>
                      <a:noFill/>
                    </a:ln>
                  </pic:spPr>
                </pic:pic>
              </a:graphicData>
            </a:graphic>
          </wp:inline>
        </w:drawing>
      </w:r>
    </w:p>
    <w:p w14:paraId="54F4A489" w14:textId="3BDC5F81" w:rsidR="004256CC" w:rsidRDefault="004256CC" w:rsidP="00305B22">
      <w:pPr>
        <w:pStyle w:val="Heading3-nonumber"/>
      </w:pPr>
      <w:r>
        <w:t>C</w:t>
      </w:r>
      <w:r w:rsidRPr="00850B51">
        <w:t>omparison</w:t>
      </w:r>
      <w:r>
        <w:t xml:space="preserve"> by material</w:t>
      </w:r>
    </w:p>
    <w:p w14:paraId="4858F575" w14:textId="2E86980C" w:rsidR="00192FBE" w:rsidRDefault="00192FBE" w:rsidP="00192FBE">
      <w:pPr>
        <w:pStyle w:val="BodyText"/>
      </w:pPr>
      <w:r>
        <w:fldChar w:fldCharType="begin"/>
      </w:r>
      <w:r>
        <w:instrText xml:space="preserve"> REF _Ref524605817 \h </w:instrText>
      </w:r>
      <w:r>
        <w:fldChar w:fldCharType="separate"/>
      </w:r>
      <w:r w:rsidR="004E4C1B">
        <w:t xml:space="preserve">Table </w:t>
      </w:r>
      <w:r w:rsidR="004E4C1B">
        <w:rPr>
          <w:noProof/>
        </w:rPr>
        <w:t>2</w:t>
      </w:r>
      <w:r>
        <w:fldChar w:fldCharType="end"/>
      </w:r>
      <w:r>
        <w:t xml:space="preserve"> presents a comparison of waste export </w:t>
      </w:r>
      <w:r w:rsidRPr="007E5F8F">
        <w:t xml:space="preserve">volumes between </w:t>
      </w:r>
      <w:r w:rsidR="00482EF7">
        <w:t>April</w:t>
      </w:r>
      <w:r w:rsidR="003A1072">
        <w:t xml:space="preserve"> </w:t>
      </w:r>
      <w:r w:rsidR="00E2225F" w:rsidRPr="007E5F8F">
        <w:t xml:space="preserve">and </w:t>
      </w:r>
      <w:r w:rsidR="00B65D6C">
        <w:t>May</w:t>
      </w:r>
      <w:r w:rsidR="00B65D6C" w:rsidRPr="007E5F8F">
        <w:t xml:space="preserve"> </w:t>
      </w:r>
      <w:r w:rsidR="002A1FC6">
        <w:t>2019</w:t>
      </w:r>
      <w:r w:rsidR="00536908">
        <w:t xml:space="preserve">, </w:t>
      </w:r>
      <w:r w:rsidRPr="007E5F8F">
        <w:t xml:space="preserve">the monthly average from 2017-18 </w:t>
      </w:r>
      <w:r w:rsidR="00536908">
        <w:t>and</w:t>
      </w:r>
      <w:r w:rsidRPr="007E5F8F">
        <w:t xml:space="preserve"> the year to date volumes.</w:t>
      </w:r>
    </w:p>
    <w:p w14:paraId="198F318C" w14:textId="5C1D3D0A" w:rsidR="009E3FF9" w:rsidRDefault="009E3FF9" w:rsidP="009E3FF9">
      <w:pPr>
        <w:pStyle w:val="Caption"/>
      </w:pPr>
      <w:bookmarkStart w:id="4" w:name="_Ref524605817"/>
      <w:r>
        <w:t xml:space="preserve">Table </w:t>
      </w:r>
      <w:r>
        <w:rPr>
          <w:noProof/>
        </w:rPr>
        <w:fldChar w:fldCharType="begin"/>
      </w:r>
      <w:r>
        <w:rPr>
          <w:noProof/>
        </w:rPr>
        <w:instrText xml:space="preserve"> SEQ Table \* ARABIC </w:instrText>
      </w:r>
      <w:r>
        <w:rPr>
          <w:noProof/>
        </w:rPr>
        <w:fldChar w:fldCharType="separate"/>
      </w:r>
      <w:r w:rsidR="004E4C1B">
        <w:rPr>
          <w:noProof/>
        </w:rPr>
        <w:t>2</w:t>
      </w:r>
      <w:r>
        <w:rPr>
          <w:noProof/>
        </w:rPr>
        <w:fldChar w:fldCharType="end"/>
      </w:r>
      <w:bookmarkEnd w:id="4"/>
      <w:r>
        <w:tab/>
        <w:t>Comparison of waste export volume by material</w:t>
      </w:r>
    </w:p>
    <w:tbl>
      <w:tblPr>
        <w:tblStyle w:val="BE-table"/>
        <w:tblW w:w="9072" w:type="dxa"/>
        <w:jc w:val="center"/>
        <w:tblLayout w:type="fixed"/>
        <w:tblLook w:val="04A0" w:firstRow="1" w:lastRow="0" w:firstColumn="1" w:lastColumn="0" w:noHBand="0" w:noVBand="1"/>
      </w:tblPr>
      <w:tblGrid>
        <w:gridCol w:w="1838"/>
        <w:gridCol w:w="921"/>
        <w:gridCol w:w="922"/>
        <w:gridCol w:w="709"/>
        <w:gridCol w:w="992"/>
        <w:gridCol w:w="850"/>
        <w:gridCol w:w="1063"/>
        <w:gridCol w:w="1064"/>
        <w:gridCol w:w="713"/>
      </w:tblGrid>
      <w:tr w:rsidR="009E3FF9" w:rsidRPr="004256CC" w14:paraId="0182C929" w14:textId="77777777" w:rsidTr="00497EE5">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838" w:type="dxa"/>
            <w:vMerge w:val="restart"/>
            <w:noWrap/>
            <w:tcMar>
              <w:left w:w="57" w:type="dxa"/>
              <w:right w:w="57" w:type="dxa"/>
            </w:tcMar>
            <w:hideMark/>
          </w:tcPr>
          <w:p w14:paraId="256C836E" w14:textId="77777777" w:rsidR="009E3FF9" w:rsidRPr="00721788" w:rsidRDefault="009E3FF9" w:rsidP="00497EE5">
            <w:pPr>
              <w:pStyle w:val="BodyText"/>
              <w:spacing w:beforeLines="0" w:before="0" w:afterLines="0" w:after="0"/>
            </w:pPr>
            <w:r w:rsidRPr="00721788">
              <w:t>Material category</w:t>
            </w:r>
          </w:p>
        </w:tc>
        <w:tc>
          <w:tcPr>
            <w:tcW w:w="1843" w:type="dxa"/>
            <w:gridSpan w:val="2"/>
            <w:noWrap/>
            <w:tcMar>
              <w:left w:w="57" w:type="dxa"/>
              <w:right w:w="57" w:type="dxa"/>
            </w:tcMar>
            <w:vAlign w:val="center"/>
            <w:hideMark/>
          </w:tcPr>
          <w:p w14:paraId="4EFAD5F2" w14:textId="77777777" w:rsidR="009E3FF9" w:rsidRPr="00721788" w:rsidRDefault="009E3FF9" w:rsidP="00497EE5">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Month</w:t>
            </w:r>
          </w:p>
        </w:tc>
        <w:tc>
          <w:tcPr>
            <w:tcW w:w="709" w:type="dxa"/>
            <w:vMerge w:val="restart"/>
            <w:tcMar>
              <w:left w:w="57" w:type="dxa"/>
              <w:right w:w="57" w:type="dxa"/>
            </w:tcMar>
            <w:vAlign w:val="center"/>
          </w:tcPr>
          <w:p w14:paraId="07EE8D98" w14:textId="77777777" w:rsidR="009E3FF9" w:rsidRPr="00721788" w:rsidRDefault="009E3FF9" w:rsidP="00497EE5">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c>
          <w:tcPr>
            <w:tcW w:w="992" w:type="dxa"/>
            <w:vMerge w:val="restart"/>
            <w:noWrap/>
            <w:tcMar>
              <w:left w:w="57" w:type="dxa"/>
              <w:right w:w="57" w:type="dxa"/>
            </w:tcMar>
            <w:vAlign w:val="center"/>
            <w:hideMark/>
          </w:tcPr>
          <w:p w14:paraId="65BAAA2D" w14:textId="77777777" w:rsidR="009E3FF9" w:rsidRPr="00721788" w:rsidRDefault="009E3FF9" w:rsidP="00497EE5">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Monthly avg 2017-18</w:t>
            </w:r>
          </w:p>
        </w:tc>
        <w:tc>
          <w:tcPr>
            <w:tcW w:w="850" w:type="dxa"/>
            <w:vMerge w:val="restart"/>
            <w:noWrap/>
            <w:tcMar>
              <w:left w:w="57" w:type="dxa"/>
              <w:right w:w="57" w:type="dxa"/>
            </w:tcMar>
            <w:vAlign w:val="center"/>
            <w:hideMark/>
          </w:tcPr>
          <w:p w14:paraId="451F75C3" w14:textId="77777777" w:rsidR="009E3FF9" w:rsidRPr="00721788" w:rsidRDefault="009E3FF9" w:rsidP="00497EE5">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 change</w:t>
            </w:r>
          </w:p>
        </w:tc>
        <w:tc>
          <w:tcPr>
            <w:tcW w:w="2127" w:type="dxa"/>
            <w:gridSpan w:val="2"/>
            <w:tcMar>
              <w:left w:w="57" w:type="dxa"/>
              <w:right w:w="57" w:type="dxa"/>
            </w:tcMar>
          </w:tcPr>
          <w:p w14:paraId="62F58584" w14:textId="27529A44" w:rsidR="009E3FF9" w:rsidRPr="00721788" w:rsidRDefault="009E3FF9" w:rsidP="00497EE5">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Year to date (Jul-</w:t>
            </w:r>
            <w:r w:rsidR="00945681">
              <w:t>Apr</w:t>
            </w:r>
            <w:r w:rsidRPr="00721788">
              <w:t>)</w:t>
            </w:r>
          </w:p>
        </w:tc>
        <w:tc>
          <w:tcPr>
            <w:tcW w:w="713" w:type="dxa"/>
            <w:vMerge w:val="restart"/>
            <w:tcMar>
              <w:left w:w="57" w:type="dxa"/>
              <w:right w:w="57" w:type="dxa"/>
            </w:tcMar>
            <w:vAlign w:val="center"/>
          </w:tcPr>
          <w:p w14:paraId="00100454" w14:textId="77777777" w:rsidR="009E3FF9" w:rsidRPr="004256CC" w:rsidRDefault="009E3FF9" w:rsidP="00497EE5">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r>
      <w:tr w:rsidR="009E3FF9" w:rsidRPr="004256CC" w14:paraId="04B5FBD7"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7B7E2" w:themeFill="accent1" w:themeFillTint="66"/>
            <w:noWrap/>
            <w:tcMar>
              <w:left w:w="57" w:type="dxa"/>
              <w:right w:w="57" w:type="dxa"/>
            </w:tcMar>
            <w:hideMark/>
          </w:tcPr>
          <w:p w14:paraId="116BD7AE" w14:textId="77777777" w:rsidR="009E3FF9" w:rsidRPr="004256CC" w:rsidRDefault="009E3FF9" w:rsidP="00497EE5">
            <w:pPr>
              <w:pStyle w:val="BodyText"/>
              <w:spacing w:before="0" w:after="0"/>
              <w:rPr>
                <w:b/>
                <w:bCs/>
                <w:color w:val="FFFFFF" w:themeColor="background1"/>
              </w:rPr>
            </w:pPr>
          </w:p>
        </w:tc>
        <w:tc>
          <w:tcPr>
            <w:tcW w:w="921" w:type="dxa"/>
            <w:shd w:val="clear" w:color="auto" w:fill="B7B7E2" w:themeFill="accent1" w:themeFillTint="66"/>
            <w:noWrap/>
            <w:tcMar>
              <w:left w:w="57" w:type="dxa"/>
              <w:right w:w="57" w:type="dxa"/>
            </w:tcMar>
            <w:vAlign w:val="center"/>
            <w:hideMark/>
          </w:tcPr>
          <w:p w14:paraId="713DEEAA" w14:textId="28022A2D" w:rsidR="009E3FF9" w:rsidRPr="004256CC" w:rsidRDefault="00B65D6C"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Apr </w:t>
            </w:r>
            <w:r w:rsidR="009E3FF9">
              <w:rPr>
                <w:b/>
                <w:bCs/>
                <w:color w:val="FFFFFF" w:themeColor="background1"/>
              </w:rPr>
              <w:t>19</w:t>
            </w:r>
          </w:p>
        </w:tc>
        <w:tc>
          <w:tcPr>
            <w:tcW w:w="922" w:type="dxa"/>
            <w:shd w:val="clear" w:color="auto" w:fill="B7B7E2" w:themeFill="accent1" w:themeFillTint="66"/>
            <w:noWrap/>
            <w:tcMar>
              <w:left w:w="57" w:type="dxa"/>
              <w:right w:w="57" w:type="dxa"/>
            </w:tcMar>
            <w:vAlign w:val="center"/>
            <w:hideMark/>
          </w:tcPr>
          <w:p w14:paraId="6FF9E4B3" w14:textId="7618C368" w:rsidR="009E3FF9" w:rsidRPr="004256CC" w:rsidRDefault="00B65D6C"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May </w:t>
            </w:r>
            <w:r w:rsidR="009E3FF9">
              <w:rPr>
                <w:b/>
                <w:bCs/>
                <w:color w:val="FFFFFF" w:themeColor="background1"/>
              </w:rPr>
              <w:t>19</w:t>
            </w:r>
          </w:p>
        </w:tc>
        <w:tc>
          <w:tcPr>
            <w:tcW w:w="709" w:type="dxa"/>
            <w:vMerge/>
            <w:shd w:val="clear" w:color="auto" w:fill="B7B7E2" w:themeFill="accent1" w:themeFillTint="66"/>
            <w:noWrap/>
            <w:tcMar>
              <w:left w:w="57" w:type="dxa"/>
              <w:right w:w="57" w:type="dxa"/>
            </w:tcMar>
            <w:vAlign w:val="center"/>
            <w:hideMark/>
          </w:tcPr>
          <w:p w14:paraId="60C79D7D"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992" w:type="dxa"/>
            <w:vMerge/>
            <w:shd w:val="clear" w:color="auto" w:fill="B7B7E2" w:themeFill="accent1" w:themeFillTint="66"/>
            <w:noWrap/>
            <w:tcMar>
              <w:left w:w="57" w:type="dxa"/>
              <w:right w:w="57" w:type="dxa"/>
            </w:tcMar>
            <w:hideMark/>
          </w:tcPr>
          <w:p w14:paraId="64F1A4FE"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850" w:type="dxa"/>
            <w:vMerge/>
            <w:shd w:val="clear" w:color="auto" w:fill="B7B7E2" w:themeFill="accent1" w:themeFillTint="66"/>
            <w:noWrap/>
            <w:tcMar>
              <w:left w:w="57" w:type="dxa"/>
              <w:right w:w="57" w:type="dxa"/>
            </w:tcMar>
            <w:hideMark/>
          </w:tcPr>
          <w:p w14:paraId="25538349"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063" w:type="dxa"/>
            <w:shd w:val="clear" w:color="auto" w:fill="B7B7E2" w:themeFill="accent1" w:themeFillTint="66"/>
            <w:tcMar>
              <w:left w:w="57" w:type="dxa"/>
              <w:right w:w="57" w:type="dxa"/>
            </w:tcMar>
            <w:vAlign w:val="center"/>
          </w:tcPr>
          <w:p w14:paraId="0FE04749"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w:t>
            </w:r>
            <w:r w:rsidRPr="004256CC">
              <w:rPr>
                <w:b/>
                <w:bCs/>
                <w:color w:val="FFFFFF" w:themeColor="background1"/>
              </w:rPr>
              <w:t>1</w:t>
            </w:r>
            <w:r>
              <w:rPr>
                <w:b/>
                <w:bCs/>
                <w:color w:val="FFFFFF" w:themeColor="background1"/>
              </w:rPr>
              <w:t>7</w:t>
            </w:r>
            <w:r w:rsidRPr="004256CC">
              <w:rPr>
                <w:b/>
                <w:bCs/>
                <w:color w:val="FFFFFF" w:themeColor="background1"/>
              </w:rPr>
              <w:t>-1</w:t>
            </w:r>
            <w:r>
              <w:rPr>
                <w:b/>
                <w:bCs/>
                <w:color w:val="FFFFFF" w:themeColor="background1"/>
              </w:rPr>
              <w:t>8</w:t>
            </w:r>
          </w:p>
        </w:tc>
        <w:tc>
          <w:tcPr>
            <w:tcW w:w="1064" w:type="dxa"/>
            <w:shd w:val="clear" w:color="auto" w:fill="B7B7E2" w:themeFill="accent1" w:themeFillTint="66"/>
            <w:tcMar>
              <w:left w:w="57" w:type="dxa"/>
              <w:right w:w="57" w:type="dxa"/>
            </w:tcMar>
            <w:vAlign w:val="center"/>
          </w:tcPr>
          <w:p w14:paraId="2A1B851A"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2018</w:t>
            </w:r>
            <w:r w:rsidRPr="004256CC">
              <w:rPr>
                <w:b/>
                <w:bCs/>
                <w:color w:val="FFFFFF" w:themeColor="background1"/>
              </w:rPr>
              <w:t>-1</w:t>
            </w:r>
            <w:r>
              <w:rPr>
                <w:b/>
                <w:bCs/>
                <w:color w:val="FFFFFF" w:themeColor="background1"/>
              </w:rPr>
              <w:t>9</w:t>
            </w:r>
          </w:p>
        </w:tc>
        <w:tc>
          <w:tcPr>
            <w:tcW w:w="713" w:type="dxa"/>
            <w:vMerge/>
            <w:shd w:val="clear" w:color="auto" w:fill="B7B7E2" w:themeFill="accent1" w:themeFillTint="66"/>
            <w:tcMar>
              <w:left w:w="57" w:type="dxa"/>
              <w:right w:w="57" w:type="dxa"/>
            </w:tcMar>
          </w:tcPr>
          <w:p w14:paraId="7CCDF827" w14:textId="77777777" w:rsidR="009E3FF9" w:rsidRPr="004256CC" w:rsidRDefault="009E3FF9" w:rsidP="00497EE5">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1E0118" w:rsidRPr="004256CC" w14:paraId="089A00E6"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48B0A65" w14:textId="77777777" w:rsidR="001E0118" w:rsidRPr="004256CC" w:rsidRDefault="001E0118" w:rsidP="001E0118">
            <w:pPr>
              <w:pStyle w:val="BodyText"/>
              <w:spacing w:before="0" w:after="0"/>
            </w:pPr>
            <w:r w:rsidRPr="004256CC">
              <w:t>Metals</w:t>
            </w:r>
          </w:p>
        </w:tc>
        <w:tc>
          <w:tcPr>
            <w:tcW w:w="921" w:type="dxa"/>
            <w:noWrap/>
          </w:tcPr>
          <w:p w14:paraId="751AB3BB" w14:textId="2F0D5C6D"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292,800</w:t>
            </w:r>
          </w:p>
        </w:tc>
        <w:tc>
          <w:tcPr>
            <w:tcW w:w="922" w:type="dxa"/>
            <w:noWrap/>
          </w:tcPr>
          <w:p w14:paraId="1C6E147B" w14:textId="2E9F8DF3"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194,300</w:t>
            </w:r>
          </w:p>
        </w:tc>
        <w:tc>
          <w:tcPr>
            <w:tcW w:w="709" w:type="dxa"/>
            <w:noWrap/>
          </w:tcPr>
          <w:p w14:paraId="46147CCA" w14:textId="3A1580A4"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-34%</w:t>
            </w:r>
          </w:p>
        </w:tc>
        <w:tc>
          <w:tcPr>
            <w:tcW w:w="992" w:type="dxa"/>
            <w:noWrap/>
          </w:tcPr>
          <w:p w14:paraId="1B041D83" w14:textId="65F4D37D"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203,800</w:t>
            </w:r>
          </w:p>
        </w:tc>
        <w:tc>
          <w:tcPr>
            <w:tcW w:w="850" w:type="dxa"/>
            <w:noWrap/>
          </w:tcPr>
          <w:p w14:paraId="07ECF30D" w14:textId="7C626049"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-5%</w:t>
            </w:r>
          </w:p>
        </w:tc>
        <w:tc>
          <w:tcPr>
            <w:tcW w:w="1063" w:type="dxa"/>
          </w:tcPr>
          <w:p w14:paraId="2834DFA3" w14:textId="6514D6B7"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2,226,400</w:t>
            </w:r>
          </w:p>
        </w:tc>
        <w:tc>
          <w:tcPr>
            <w:tcW w:w="1064" w:type="dxa"/>
          </w:tcPr>
          <w:p w14:paraId="0F74469C" w14:textId="6B7E109B"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2,356,000</w:t>
            </w:r>
          </w:p>
        </w:tc>
        <w:tc>
          <w:tcPr>
            <w:tcW w:w="713" w:type="dxa"/>
          </w:tcPr>
          <w:p w14:paraId="7AC592B4" w14:textId="5E4FFA40"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6%</w:t>
            </w:r>
          </w:p>
        </w:tc>
      </w:tr>
      <w:tr w:rsidR="001E0118" w:rsidRPr="004256CC" w14:paraId="7B301496"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72134A0" w14:textId="77777777" w:rsidR="001E0118" w:rsidRPr="004256CC" w:rsidRDefault="001E0118" w:rsidP="001E0118">
            <w:pPr>
              <w:pStyle w:val="BodyText"/>
              <w:spacing w:before="0" w:after="0"/>
            </w:pPr>
            <w:r w:rsidRPr="004256CC">
              <w:t>Plastics</w:t>
            </w:r>
          </w:p>
        </w:tc>
        <w:tc>
          <w:tcPr>
            <w:tcW w:w="921" w:type="dxa"/>
            <w:noWrap/>
          </w:tcPr>
          <w:p w14:paraId="6FEC9306" w14:textId="3D40517A"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17,200</w:t>
            </w:r>
          </w:p>
        </w:tc>
        <w:tc>
          <w:tcPr>
            <w:tcW w:w="922" w:type="dxa"/>
            <w:noWrap/>
          </w:tcPr>
          <w:p w14:paraId="61D13029" w14:textId="67828232"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17,100</w:t>
            </w:r>
          </w:p>
        </w:tc>
        <w:tc>
          <w:tcPr>
            <w:tcW w:w="709" w:type="dxa"/>
            <w:noWrap/>
          </w:tcPr>
          <w:p w14:paraId="31316CC9" w14:textId="14C99FF1"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w:t>
            </w:r>
          </w:p>
        </w:tc>
        <w:tc>
          <w:tcPr>
            <w:tcW w:w="992" w:type="dxa"/>
            <w:noWrap/>
          </w:tcPr>
          <w:p w14:paraId="50273755" w14:textId="1609A9FC"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13,200</w:t>
            </w:r>
          </w:p>
        </w:tc>
        <w:tc>
          <w:tcPr>
            <w:tcW w:w="850" w:type="dxa"/>
            <w:noWrap/>
          </w:tcPr>
          <w:p w14:paraId="0B828954" w14:textId="0BCADC53"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29%</w:t>
            </w:r>
          </w:p>
        </w:tc>
        <w:tc>
          <w:tcPr>
            <w:tcW w:w="1063" w:type="dxa"/>
          </w:tcPr>
          <w:p w14:paraId="29DB2000" w14:textId="00732357"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143,700</w:t>
            </w:r>
          </w:p>
        </w:tc>
        <w:tc>
          <w:tcPr>
            <w:tcW w:w="1064" w:type="dxa"/>
          </w:tcPr>
          <w:p w14:paraId="56677A96" w14:textId="5C1F6325"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170,800</w:t>
            </w:r>
          </w:p>
        </w:tc>
        <w:tc>
          <w:tcPr>
            <w:tcW w:w="713" w:type="dxa"/>
          </w:tcPr>
          <w:p w14:paraId="5AD6BD7C" w14:textId="3B2B7888"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19%</w:t>
            </w:r>
          </w:p>
        </w:tc>
      </w:tr>
      <w:tr w:rsidR="001E0118" w:rsidRPr="004256CC" w14:paraId="4368938F"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E92B6D3" w14:textId="77777777" w:rsidR="001E0118" w:rsidRPr="004256CC" w:rsidRDefault="001E0118" w:rsidP="001E0118">
            <w:pPr>
              <w:pStyle w:val="BodyText"/>
              <w:spacing w:before="0" w:after="0"/>
            </w:pPr>
            <w:r w:rsidRPr="004256CC">
              <w:t>Paper &amp; c</w:t>
            </w:r>
            <w:r>
              <w:t>ar</w:t>
            </w:r>
            <w:r w:rsidRPr="004256CC">
              <w:t>db</w:t>
            </w:r>
            <w:r>
              <w:t>oard</w:t>
            </w:r>
          </w:p>
        </w:tc>
        <w:tc>
          <w:tcPr>
            <w:tcW w:w="921" w:type="dxa"/>
            <w:noWrap/>
          </w:tcPr>
          <w:p w14:paraId="5D7CB210" w14:textId="0DBBC28A"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98,400</w:t>
            </w:r>
          </w:p>
        </w:tc>
        <w:tc>
          <w:tcPr>
            <w:tcW w:w="922" w:type="dxa"/>
            <w:noWrap/>
          </w:tcPr>
          <w:p w14:paraId="13C801EE" w14:textId="7722E665"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91,100</w:t>
            </w:r>
          </w:p>
        </w:tc>
        <w:tc>
          <w:tcPr>
            <w:tcW w:w="709" w:type="dxa"/>
            <w:noWrap/>
          </w:tcPr>
          <w:p w14:paraId="7AFED36F" w14:textId="10EDAEB9"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-7%</w:t>
            </w:r>
          </w:p>
        </w:tc>
        <w:tc>
          <w:tcPr>
            <w:tcW w:w="992" w:type="dxa"/>
            <w:noWrap/>
          </w:tcPr>
          <w:p w14:paraId="1D025092" w14:textId="0954B6C4"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109,800</w:t>
            </w:r>
          </w:p>
        </w:tc>
        <w:tc>
          <w:tcPr>
            <w:tcW w:w="850" w:type="dxa"/>
            <w:noWrap/>
          </w:tcPr>
          <w:p w14:paraId="7CD9C5A1" w14:textId="11F44297"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-17%</w:t>
            </w:r>
          </w:p>
        </w:tc>
        <w:tc>
          <w:tcPr>
            <w:tcW w:w="1063" w:type="dxa"/>
          </w:tcPr>
          <w:p w14:paraId="497FB476" w14:textId="62AB55F9"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1,219,200</w:t>
            </w:r>
          </w:p>
        </w:tc>
        <w:tc>
          <w:tcPr>
            <w:tcW w:w="1064" w:type="dxa"/>
          </w:tcPr>
          <w:p w14:paraId="433B0030" w14:textId="620E175C"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1,025,000</w:t>
            </w:r>
          </w:p>
        </w:tc>
        <w:tc>
          <w:tcPr>
            <w:tcW w:w="713" w:type="dxa"/>
          </w:tcPr>
          <w:p w14:paraId="49830BCD" w14:textId="51A2FF76" w:rsidR="001E0118" w:rsidRPr="004256CC"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-16%</w:t>
            </w:r>
          </w:p>
        </w:tc>
      </w:tr>
      <w:tr w:rsidR="0009631E" w:rsidRPr="004256CC" w14:paraId="59B38200" w14:textId="77777777" w:rsidTr="005B1047">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73F9936" w14:textId="77777777" w:rsidR="0009631E" w:rsidRPr="004256CC" w:rsidRDefault="0009631E" w:rsidP="005B1047">
            <w:pPr>
              <w:pStyle w:val="BodyText"/>
              <w:spacing w:before="0" w:after="0"/>
            </w:pPr>
            <w:r>
              <w:t>Hazardous</w:t>
            </w:r>
          </w:p>
        </w:tc>
        <w:tc>
          <w:tcPr>
            <w:tcW w:w="921" w:type="dxa"/>
            <w:noWrap/>
          </w:tcPr>
          <w:p w14:paraId="7DE56B07" w14:textId="77777777" w:rsidR="0009631E" w:rsidRPr="004256CC" w:rsidRDefault="0009631E" w:rsidP="005B1047">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16,800</w:t>
            </w:r>
          </w:p>
        </w:tc>
        <w:tc>
          <w:tcPr>
            <w:tcW w:w="922" w:type="dxa"/>
            <w:noWrap/>
          </w:tcPr>
          <w:p w14:paraId="6547F782" w14:textId="77777777" w:rsidR="0009631E" w:rsidRPr="004256CC" w:rsidRDefault="0009631E" w:rsidP="005B1047">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16,400</w:t>
            </w:r>
          </w:p>
        </w:tc>
        <w:tc>
          <w:tcPr>
            <w:tcW w:w="709" w:type="dxa"/>
            <w:noWrap/>
          </w:tcPr>
          <w:p w14:paraId="14EF1BC2" w14:textId="77777777" w:rsidR="0009631E" w:rsidRPr="004256CC" w:rsidRDefault="0009631E" w:rsidP="005B1047">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-3%</w:t>
            </w:r>
          </w:p>
        </w:tc>
        <w:tc>
          <w:tcPr>
            <w:tcW w:w="992" w:type="dxa"/>
            <w:noWrap/>
          </w:tcPr>
          <w:p w14:paraId="340899AD" w14:textId="77777777" w:rsidR="0009631E" w:rsidRPr="004256CC" w:rsidRDefault="0009631E" w:rsidP="005B1047">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11,300</w:t>
            </w:r>
          </w:p>
        </w:tc>
        <w:tc>
          <w:tcPr>
            <w:tcW w:w="850" w:type="dxa"/>
            <w:noWrap/>
          </w:tcPr>
          <w:p w14:paraId="48FC3E2A" w14:textId="77777777" w:rsidR="0009631E" w:rsidRPr="004256CC" w:rsidRDefault="0009631E" w:rsidP="005B1047">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45%</w:t>
            </w:r>
          </w:p>
        </w:tc>
        <w:tc>
          <w:tcPr>
            <w:tcW w:w="1063" w:type="dxa"/>
          </w:tcPr>
          <w:p w14:paraId="0FE9B391" w14:textId="77777777" w:rsidR="0009631E" w:rsidRPr="004256CC" w:rsidRDefault="0009631E" w:rsidP="005B1047">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123,800</w:t>
            </w:r>
          </w:p>
        </w:tc>
        <w:tc>
          <w:tcPr>
            <w:tcW w:w="1064" w:type="dxa"/>
          </w:tcPr>
          <w:p w14:paraId="139A8125" w14:textId="77777777" w:rsidR="0009631E" w:rsidRPr="004256CC" w:rsidRDefault="0009631E" w:rsidP="005B1047">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150,800</w:t>
            </w:r>
          </w:p>
        </w:tc>
        <w:tc>
          <w:tcPr>
            <w:tcW w:w="713" w:type="dxa"/>
          </w:tcPr>
          <w:p w14:paraId="29591626" w14:textId="77777777" w:rsidR="0009631E" w:rsidRPr="004256CC" w:rsidRDefault="0009631E" w:rsidP="005B1047">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22%</w:t>
            </w:r>
          </w:p>
        </w:tc>
      </w:tr>
      <w:tr w:rsidR="001E0118" w:rsidRPr="004256CC" w14:paraId="53FA42D5" w14:textId="77777777" w:rsidTr="00497EE5">
        <w:trPr>
          <w:trHeight w:val="182"/>
          <w:jc w:val="center"/>
        </w:trPr>
        <w:tc>
          <w:tcPr>
            <w:cnfStyle w:val="001000000000" w:firstRow="0" w:lastRow="0" w:firstColumn="1" w:lastColumn="0" w:oddVBand="0" w:evenVBand="0" w:oddHBand="0" w:evenHBand="0" w:firstRowFirstColumn="0" w:firstRowLastColumn="0" w:lastRowFirstColumn="0" w:lastRowLastColumn="0"/>
            <w:tcW w:w="1838" w:type="dxa"/>
            <w:noWrap/>
          </w:tcPr>
          <w:p w14:paraId="1DF1B7DB" w14:textId="66E94759" w:rsidR="001E0118" w:rsidRPr="004256CC" w:rsidRDefault="001E0118" w:rsidP="001E0118">
            <w:pPr>
              <w:pStyle w:val="BodyText"/>
              <w:spacing w:before="0" w:after="0"/>
            </w:pPr>
            <w:r>
              <w:t>Other</w:t>
            </w:r>
          </w:p>
        </w:tc>
        <w:tc>
          <w:tcPr>
            <w:tcW w:w="921" w:type="dxa"/>
            <w:noWrap/>
          </w:tcPr>
          <w:p w14:paraId="5D271D68" w14:textId="752F1FF1" w:rsidR="001E0118" w:rsidRPr="00D03DEF"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19,700</w:t>
            </w:r>
          </w:p>
        </w:tc>
        <w:tc>
          <w:tcPr>
            <w:tcW w:w="922" w:type="dxa"/>
            <w:noWrap/>
          </w:tcPr>
          <w:p w14:paraId="409FF83F" w14:textId="2BE944BB" w:rsidR="001E0118" w:rsidRPr="00D03DEF"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24,600</w:t>
            </w:r>
          </w:p>
        </w:tc>
        <w:tc>
          <w:tcPr>
            <w:tcW w:w="709" w:type="dxa"/>
            <w:noWrap/>
          </w:tcPr>
          <w:p w14:paraId="54035E14" w14:textId="2EFE8E3B" w:rsidR="001E0118" w:rsidRPr="00D03DEF"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25%</w:t>
            </w:r>
          </w:p>
        </w:tc>
        <w:tc>
          <w:tcPr>
            <w:tcW w:w="992" w:type="dxa"/>
            <w:noWrap/>
          </w:tcPr>
          <w:p w14:paraId="203D1343" w14:textId="76A32E2B" w:rsidR="001E0118" w:rsidRPr="00D03DEF"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23,800</w:t>
            </w:r>
          </w:p>
        </w:tc>
        <w:tc>
          <w:tcPr>
            <w:tcW w:w="850" w:type="dxa"/>
            <w:noWrap/>
          </w:tcPr>
          <w:p w14:paraId="6218BDB1" w14:textId="6D2F256C" w:rsidR="001E0118" w:rsidRPr="00D03DEF"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3%</w:t>
            </w:r>
          </w:p>
        </w:tc>
        <w:tc>
          <w:tcPr>
            <w:tcW w:w="1063" w:type="dxa"/>
          </w:tcPr>
          <w:p w14:paraId="6A320CA9" w14:textId="44BB9F8A" w:rsidR="001E0118" w:rsidRPr="00D03DEF"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270,900</w:t>
            </w:r>
          </w:p>
        </w:tc>
        <w:tc>
          <w:tcPr>
            <w:tcW w:w="1064" w:type="dxa"/>
          </w:tcPr>
          <w:p w14:paraId="1D1C95AD" w14:textId="6CE43BFC" w:rsidR="001E0118" w:rsidRPr="00D03DEF"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207,100</w:t>
            </w:r>
          </w:p>
        </w:tc>
        <w:tc>
          <w:tcPr>
            <w:tcW w:w="713" w:type="dxa"/>
          </w:tcPr>
          <w:p w14:paraId="6CA6BF00" w14:textId="0ADE1DFF" w:rsidR="001E0118" w:rsidRPr="00D03DEF"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E5F13">
              <w:t>-24%</w:t>
            </w:r>
          </w:p>
        </w:tc>
      </w:tr>
      <w:tr w:rsidR="001E0118" w:rsidRPr="004256CC" w14:paraId="1F7FD2E2" w14:textId="77777777" w:rsidTr="00497EE5">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28F746C" w14:textId="77777777" w:rsidR="001E0118" w:rsidRPr="009D1226" w:rsidRDefault="001E0118" w:rsidP="001E0118">
            <w:pPr>
              <w:pStyle w:val="BodyText"/>
              <w:spacing w:before="0" w:after="0"/>
              <w:rPr>
                <w:b/>
              </w:rPr>
            </w:pPr>
            <w:r w:rsidRPr="009D1226">
              <w:rPr>
                <w:b/>
              </w:rPr>
              <w:t>Total</w:t>
            </w:r>
          </w:p>
        </w:tc>
        <w:tc>
          <w:tcPr>
            <w:tcW w:w="921" w:type="dxa"/>
            <w:noWrap/>
          </w:tcPr>
          <w:p w14:paraId="1472262F" w14:textId="5030F889" w:rsidR="001E0118" w:rsidRPr="005C412D"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E5F13">
              <w:t>444,900</w:t>
            </w:r>
          </w:p>
        </w:tc>
        <w:tc>
          <w:tcPr>
            <w:tcW w:w="922" w:type="dxa"/>
            <w:noWrap/>
          </w:tcPr>
          <w:p w14:paraId="7A2F8F78" w14:textId="01BB7D36" w:rsidR="001E0118" w:rsidRPr="005C412D"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E5F13">
              <w:t>343,400</w:t>
            </w:r>
          </w:p>
        </w:tc>
        <w:tc>
          <w:tcPr>
            <w:tcW w:w="709" w:type="dxa"/>
            <w:noWrap/>
          </w:tcPr>
          <w:p w14:paraId="0D9FE9DB" w14:textId="10BF2124" w:rsidR="001E0118" w:rsidRPr="005C412D"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E5F13">
              <w:t>-23%</w:t>
            </w:r>
          </w:p>
        </w:tc>
        <w:tc>
          <w:tcPr>
            <w:tcW w:w="992" w:type="dxa"/>
            <w:noWrap/>
          </w:tcPr>
          <w:p w14:paraId="4ADB2264" w14:textId="0F670F1E" w:rsidR="001E0118" w:rsidRPr="005C412D"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E5F13">
              <w:t>362,000</w:t>
            </w:r>
          </w:p>
        </w:tc>
        <w:tc>
          <w:tcPr>
            <w:tcW w:w="850" w:type="dxa"/>
            <w:noWrap/>
          </w:tcPr>
          <w:p w14:paraId="53C33A22" w14:textId="7FBB9C61" w:rsidR="001E0118" w:rsidRPr="005C412D"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E5F13">
              <w:t>-5%</w:t>
            </w:r>
          </w:p>
        </w:tc>
        <w:tc>
          <w:tcPr>
            <w:tcW w:w="1063" w:type="dxa"/>
          </w:tcPr>
          <w:p w14:paraId="039A0219" w14:textId="5B6B3511" w:rsidR="001E0118" w:rsidRPr="005C412D"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E5F13">
              <w:t>3,984,100</w:t>
            </w:r>
          </w:p>
        </w:tc>
        <w:tc>
          <w:tcPr>
            <w:tcW w:w="1064" w:type="dxa"/>
          </w:tcPr>
          <w:p w14:paraId="464F2118" w14:textId="3ADFA285" w:rsidR="001E0118" w:rsidRPr="005C412D"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E5F13">
              <w:t>3,909,700</w:t>
            </w:r>
          </w:p>
        </w:tc>
        <w:tc>
          <w:tcPr>
            <w:tcW w:w="713" w:type="dxa"/>
          </w:tcPr>
          <w:p w14:paraId="64B56F68" w14:textId="306A9DE3" w:rsidR="001E0118" w:rsidRPr="005C412D" w:rsidRDefault="001E0118" w:rsidP="001E011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E5F13">
              <w:t>-2%</w:t>
            </w:r>
          </w:p>
        </w:tc>
      </w:tr>
    </w:tbl>
    <w:p w14:paraId="05C9E360" w14:textId="77777777" w:rsidR="009E3FF9" w:rsidRDefault="009E3FF9" w:rsidP="009E3FF9">
      <w:pPr>
        <w:pStyle w:val="BodyText"/>
      </w:pPr>
    </w:p>
    <w:p w14:paraId="737B2C7C" w14:textId="77777777" w:rsidR="002C1FCE" w:rsidRDefault="00192FBE" w:rsidP="004256CC">
      <w:pPr>
        <w:pStyle w:val="BodyText"/>
        <w:rPr>
          <w:i/>
          <w:color w:val="000099"/>
        </w:rPr>
      </w:pPr>
      <w:r w:rsidRPr="00192FBE">
        <w:rPr>
          <w:i/>
          <w:color w:val="000099"/>
        </w:rPr>
        <w:t>Month to month</w:t>
      </w:r>
      <w:r>
        <w:rPr>
          <w:i/>
          <w:color w:val="000099"/>
        </w:rPr>
        <w:t xml:space="preserve"> </w:t>
      </w:r>
      <w:r w:rsidRPr="00CC6832">
        <w:rPr>
          <w:i/>
          <w:color w:val="000099"/>
        </w:rPr>
        <w:t>–</w:t>
      </w:r>
      <w:r w:rsidR="00D23A0A">
        <w:rPr>
          <w:i/>
          <w:color w:val="000099"/>
        </w:rPr>
        <w:t xml:space="preserve"> </w:t>
      </w:r>
    </w:p>
    <w:p w14:paraId="161DD523" w14:textId="0AE1CE61" w:rsidR="00382BD3" w:rsidRDefault="001E0118" w:rsidP="002C1FCE">
      <w:pPr>
        <w:pStyle w:val="Bullet1"/>
      </w:pPr>
      <w:bookmarkStart w:id="5" w:name="_Hlk12448455"/>
      <w:r>
        <w:rPr>
          <w:color w:val="000000" w:themeColor="text1"/>
        </w:rPr>
        <w:t>May</w:t>
      </w:r>
      <w:r w:rsidR="00536908">
        <w:rPr>
          <w:color w:val="000000" w:themeColor="text1"/>
        </w:rPr>
        <w:t xml:space="preserve"> </w:t>
      </w:r>
      <w:r w:rsidR="002A1FC6">
        <w:rPr>
          <w:color w:val="000000" w:themeColor="text1"/>
        </w:rPr>
        <w:t>2019</w:t>
      </w:r>
      <w:r w:rsidR="00885649" w:rsidRPr="00CC6832">
        <w:rPr>
          <w:color w:val="000000" w:themeColor="text1"/>
        </w:rPr>
        <w:t xml:space="preserve"> saw </w:t>
      </w:r>
      <w:r w:rsidR="002A1FC6">
        <w:rPr>
          <w:color w:val="000000" w:themeColor="text1"/>
        </w:rPr>
        <w:t xml:space="preserve">a </w:t>
      </w:r>
      <w:r>
        <w:rPr>
          <w:color w:val="000000" w:themeColor="text1"/>
        </w:rPr>
        <w:t>3</w:t>
      </w:r>
      <w:r w:rsidR="00DB2A7D">
        <w:rPr>
          <w:color w:val="000000" w:themeColor="text1"/>
        </w:rPr>
        <w:t>4</w:t>
      </w:r>
      <w:r w:rsidR="00985CC9">
        <w:rPr>
          <w:color w:val="000000" w:themeColor="text1"/>
        </w:rPr>
        <w:t xml:space="preserve">% </w:t>
      </w:r>
      <w:r w:rsidR="002018D5">
        <w:rPr>
          <w:color w:val="000000" w:themeColor="text1"/>
        </w:rPr>
        <w:t>reduction</w:t>
      </w:r>
      <w:r>
        <w:rPr>
          <w:color w:val="000000" w:themeColor="text1"/>
        </w:rPr>
        <w:t xml:space="preserve"> </w:t>
      </w:r>
      <w:r w:rsidR="002A1FC6">
        <w:rPr>
          <w:color w:val="000000" w:themeColor="text1"/>
        </w:rPr>
        <w:t>in the</w:t>
      </w:r>
      <w:r w:rsidR="002A1FC6" w:rsidRPr="00CC6832">
        <w:rPr>
          <w:color w:val="000000" w:themeColor="text1"/>
        </w:rPr>
        <w:t xml:space="preserve"> </w:t>
      </w:r>
      <w:r w:rsidR="00885649" w:rsidRPr="00CC6832">
        <w:rPr>
          <w:color w:val="000000" w:themeColor="text1"/>
        </w:rPr>
        <w:t>e</w:t>
      </w:r>
      <w:r w:rsidR="003522E8" w:rsidRPr="00CC6832">
        <w:t>xport of metals</w:t>
      </w:r>
      <w:r>
        <w:t xml:space="preserve"> </w:t>
      </w:r>
      <w:r w:rsidR="002018D5">
        <w:t xml:space="preserve">compared to the month of April. Most of this reduction was in ‘ferrous waste and scrap’ </w:t>
      </w:r>
      <w:r>
        <w:t xml:space="preserve">exports to Vietnam. </w:t>
      </w:r>
      <w:bookmarkEnd w:id="5"/>
      <w:r>
        <w:t>Exports of the aluminium and copper waste and scrap</w:t>
      </w:r>
      <w:r w:rsidR="00DB2A7D">
        <w:t xml:space="preserve"> categories </w:t>
      </w:r>
      <w:r>
        <w:t>remained consistent.</w:t>
      </w:r>
    </w:p>
    <w:p w14:paraId="04465177" w14:textId="7FEF8166" w:rsidR="00262C2C" w:rsidRDefault="00F05C45" w:rsidP="00262C2C">
      <w:pPr>
        <w:pStyle w:val="Bullet1"/>
      </w:pPr>
      <w:r>
        <w:t xml:space="preserve">Exports of waste plastics </w:t>
      </w:r>
      <w:r w:rsidR="009B642A">
        <w:t>decline</w:t>
      </w:r>
      <w:r w:rsidR="008A16FB">
        <w:t>d</w:t>
      </w:r>
      <w:r w:rsidR="009B642A">
        <w:t xml:space="preserve"> by 1% in May</w:t>
      </w:r>
      <w:r w:rsidR="00DB2A7D">
        <w:t xml:space="preserve">. </w:t>
      </w:r>
      <w:r w:rsidR="009B642A">
        <w:t>Indonesia and Malaysia</w:t>
      </w:r>
      <w:r w:rsidR="008A16FB">
        <w:t xml:space="preserve"> received half </w:t>
      </w:r>
      <w:r w:rsidR="00E41F50">
        <w:t>our</w:t>
      </w:r>
      <w:r w:rsidR="008A16FB">
        <w:t xml:space="preserve"> exports. These two countries have received most of Australia’s waste plastics since China implemented its export restrictions.</w:t>
      </w:r>
      <w:r w:rsidR="00AA57C9">
        <w:t xml:space="preserve"> </w:t>
      </w:r>
      <w:r w:rsidR="009E2447">
        <w:t xml:space="preserve">Mixed plastics represented 83% of the total. </w:t>
      </w:r>
    </w:p>
    <w:p w14:paraId="3D866F29" w14:textId="45D832E8" w:rsidR="00F2166E" w:rsidRDefault="00985CC9" w:rsidP="002C1FCE">
      <w:pPr>
        <w:pStyle w:val="Bullet1"/>
      </w:pPr>
      <w:r>
        <w:t>P</w:t>
      </w:r>
      <w:r w:rsidR="002A1FC6">
        <w:t xml:space="preserve">aper and </w:t>
      </w:r>
      <w:r w:rsidR="009552E9">
        <w:t>c</w:t>
      </w:r>
      <w:r w:rsidR="002A1FC6">
        <w:t>ardboard</w:t>
      </w:r>
      <w:r>
        <w:t xml:space="preserve"> quantities</w:t>
      </w:r>
      <w:r w:rsidR="008A16FB">
        <w:t xml:space="preserve"> fell by</w:t>
      </w:r>
      <w:r w:rsidR="00C84784">
        <w:t xml:space="preserve"> </w:t>
      </w:r>
      <w:r w:rsidR="009B642A">
        <w:t>7</w:t>
      </w:r>
      <w:r w:rsidR="00C84784">
        <w:t>%.</w:t>
      </w:r>
      <w:r w:rsidR="00F2166E">
        <w:t xml:space="preserve"> Exports of</w:t>
      </w:r>
      <w:r w:rsidR="002B3841">
        <w:t xml:space="preserve"> recovered newsprint and magazines</w:t>
      </w:r>
      <w:r w:rsidR="00F2166E">
        <w:t xml:space="preserve"> </w:t>
      </w:r>
      <w:r w:rsidR="0067231D">
        <w:t>increased slightly (7%)</w:t>
      </w:r>
      <w:r w:rsidR="002B3841">
        <w:t xml:space="preserve"> but other grades declined</w:t>
      </w:r>
      <w:r w:rsidR="00F2166E">
        <w:t xml:space="preserve">. </w:t>
      </w:r>
      <w:r w:rsidR="001971DA">
        <w:t>U</w:t>
      </w:r>
      <w:r w:rsidR="0067231D">
        <w:t>nbleached kraft</w:t>
      </w:r>
      <w:r w:rsidR="001971DA">
        <w:t xml:space="preserve"> (old corrugated containers) and </w:t>
      </w:r>
      <w:r w:rsidR="0067231D">
        <w:t xml:space="preserve">mixed paper </w:t>
      </w:r>
      <w:r w:rsidR="001971DA">
        <w:t xml:space="preserve">make up 95% of </w:t>
      </w:r>
      <w:r w:rsidR="0009631E">
        <w:t>scrap paper and cardboard exports</w:t>
      </w:r>
      <w:r w:rsidR="0067231D">
        <w:t xml:space="preserve">. </w:t>
      </w:r>
      <w:bookmarkStart w:id="6" w:name="_Hlk12451839"/>
    </w:p>
    <w:bookmarkEnd w:id="6"/>
    <w:p w14:paraId="2834273E" w14:textId="5229CC25" w:rsidR="00290209" w:rsidRDefault="00D23A0A" w:rsidP="004031A9">
      <w:pPr>
        <w:pStyle w:val="Bullet1"/>
      </w:pPr>
      <w:r>
        <w:t xml:space="preserve">Exports of hazardous </w:t>
      </w:r>
      <w:r w:rsidR="00A82D58">
        <w:t xml:space="preserve">waste </w:t>
      </w:r>
      <w:r w:rsidR="005F6BF5">
        <w:t xml:space="preserve">decreased </w:t>
      </w:r>
      <w:r w:rsidR="008C3D68">
        <w:t xml:space="preserve">in </w:t>
      </w:r>
      <w:r w:rsidR="0067231D">
        <w:t xml:space="preserve">May </w:t>
      </w:r>
      <w:r w:rsidR="008C3D68">
        <w:t xml:space="preserve">by </w:t>
      </w:r>
      <w:r w:rsidR="0067231D">
        <w:t>3</w:t>
      </w:r>
      <w:r w:rsidR="008C3D68">
        <w:t>%</w:t>
      </w:r>
      <w:r w:rsidR="00B86C1B">
        <w:t xml:space="preserve">. </w:t>
      </w:r>
      <w:r w:rsidR="004031A9">
        <w:t xml:space="preserve">The largest fraction was waste tyres (shredded </w:t>
      </w:r>
      <w:r w:rsidR="005F6BF5">
        <w:t>8</w:t>
      </w:r>
      <w:r w:rsidR="004031A9">
        <w:t>,</w:t>
      </w:r>
      <w:r w:rsidR="005F6BF5">
        <w:t>4</w:t>
      </w:r>
      <w:r w:rsidR="004031A9">
        <w:t xml:space="preserve">00 tonnes; unshredded </w:t>
      </w:r>
      <w:r w:rsidR="0067231D">
        <w:t>1,200</w:t>
      </w:r>
      <w:r w:rsidR="004031A9">
        <w:t xml:space="preserve"> tonnes) followed by lead waste and scrap (</w:t>
      </w:r>
      <w:r w:rsidR="0067231D">
        <w:t>3,500</w:t>
      </w:r>
      <w:r w:rsidR="004031A9">
        <w:t xml:space="preserve"> tonnes)</w:t>
      </w:r>
      <w:r w:rsidR="00497EE5">
        <w:t>.</w:t>
      </w:r>
    </w:p>
    <w:p w14:paraId="79127519" w14:textId="5E049241" w:rsidR="00D23A0A" w:rsidRDefault="00497EE5" w:rsidP="002C1FCE">
      <w:pPr>
        <w:pStyle w:val="Bullet1"/>
      </w:pPr>
      <w:r>
        <w:t xml:space="preserve">Exports </w:t>
      </w:r>
      <w:r w:rsidR="0009631E">
        <w:t>in</w:t>
      </w:r>
      <w:r>
        <w:t xml:space="preserve"> t</w:t>
      </w:r>
      <w:r w:rsidR="000E701C">
        <w:t>he ‘o</w:t>
      </w:r>
      <w:r w:rsidR="00D23A0A">
        <w:t>ther wastes</w:t>
      </w:r>
      <w:r w:rsidR="000E701C">
        <w:t>’</w:t>
      </w:r>
      <w:r w:rsidR="00D23A0A">
        <w:t xml:space="preserve"> </w:t>
      </w:r>
      <w:r w:rsidR="000E701C">
        <w:t xml:space="preserve">category </w:t>
      </w:r>
      <w:r w:rsidR="0067231D">
        <w:t>increased</w:t>
      </w:r>
      <w:r w:rsidR="0009631E">
        <w:t xml:space="preserve"> sharply</w:t>
      </w:r>
      <w:r w:rsidR="0067231D">
        <w:t xml:space="preserve"> </w:t>
      </w:r>
      <w:r>
        <w:t xml:space="preserve">in </w:t>
      </w:r>
      <w:r w:rsidR="0067231D">
        <w:t>May</w:t>
      </w:r>
      <w:r w:rsidR="00A82D58">
        <w:t xml:space="preserve">, </w:t>
      </w:r>
      <w:r w:rsidR="006E6F9A">
        <w:t xml:space="preserve">mainly due to </w:t>
      </w:r>
      <w:r w:rsidR="00631D0D">
        <w:t>higher</w:t>
      </w:r>
      <w:r w:rsidR="0067231D">
        <w:t xml:space="preserve"> exports of </w:t>
      </w:r>
      <w:r w:rsidR="00631D0D">
        <w:t>organic materials</w:t>
      </w:r>
      <w:r w:rsidR="001B7EA7">
        <w:t xml:space="preserve">. </w:t>
      </w:r>
    </w:p>
    <w:p w14:paraId="3FD8BC94" w14:textId="18384261" w:rsidR="00192FBE" w:rsidRDefault="00192FBE" w:rsidP="004B2354">
      <w:pPr>
        <w:pStyle w:val="BodyText"/>
        <w:spacing w:before="60"/>
      </w:pPr>
      <w:r w:rsidRPr="00192FBE">
        <w:rPr>
          <w:i/>
          <w:color w:val="000099"/>
        </w:rPr>
        <w:t>2017-18 monthly average –</w:t>
      </w:r>
      <w:r w:rsidR="009524F9">
        <w:rPr>
          <w:i/>
          <w:color w:val="000099"/>
        </w:rPr>
        <w:t xml:space="preserve"> </w:t>
      </w:r>
      <w:r w:rsidR="009524F9">
        <w:t>Exports of scrap pl</w:t>
      </w:r>
      <w:r w:rsidR="006E6F9A">
        <w:t>astics</w:t>
      </w:r>
      <w:r w:rsidR="009524F9">
        <w:t xml:space="preserve"> and </w:t>
      </w:r>
      <w:r w:rsidR="00DC62FF">
        <w:t>hazardous waste</w:t>
      </w:r>
      <w:r w:rsidR="009524F9">
        <w:t xml:space="preserve">s were considerably higher in May 2019 than their monthly average </w:t>
      </w:r>
      <w:r w:rsidRPr="00CC6832">
        <w:t>for 2017-18</w:t>
      </w:r>
      <w:r w:rsidR="002C1FCE">
        <w:t xml:space="preserve">, </w:t>
      </w:r>
      <w:r w:rsidR="009524F9">
        <w:t xml:space="preserve">while </w:t>
      </w:r>
      <w:r w:rsidR="002C1FCE">
        <w:t>e</w:t>
      </w:r>
      <w:r w:rsidR="00BE2A5E">
        <w:t xml:space="preserve">xports </w:t>
      </w:r>
      <w:r w:rsidR="002C1FCE">
        <w:t xml:space="preserve">of </w:t>
      </w:r>
      <w:r w:rsidR="009524F9">
        <w:t xml:space="preserve">scrap </w:t>
      </w:r>
      <w:r w:rsidR="001B7EA7">
        <w:t xml:space="preserve">metals and </w:t>
      </w:r>
      <w:r w:rsidR="006E6F9A">
        <w:t xml:space="preserve">paper and </w:t>
      </w:r>
      <w:r w:rsidR="006E6F9A">
        <w:lastRenderedPageBreak/>
        <w:t>cardboard</w:t>
      </w:r>
      <w:r w:rsidR="000F5668">
        <w:t xml:space="preserve"> were</w:t>
      </w:r>
      <w:r w:rsidR="002C1FCE">
        <w:t xml:space="preserve"> </w:t>
      </w:r>
      <w:r w:rsidR="00EE5A38">
        <w:t>5% and 17%</w:t>
      </w:r>
      <w:r w:rsidR="002C1FCE">
        <w:t xml:space="preserve"> </w:t>
      </w:r>
      <w:r w:rsidR="006E6F9A">
        <w:t>lower</w:t>
      </w:r>
      <w:r w:rsidR="00EE5A38">
        <w:t xml:space="preserve"> respectively</w:t>
      </w:r>
      <w:r w:rsidR="007324B7">
        <w:t>.</w:t>
      </w:r>
      <w:r w:rsidRPr="00CC6832">
        <w:t xml:space="preserve"> Overall, exports of waste </w:t>
      </w:r>
      <w:r w:rsidR="007324B7">
        <w:t xml:space="preserve">in </w:t>
      </w:r>
      <w:r w:rsidR="001B7EA7">
        <w:t xml:space="preserve">May </w:t>
      </w:r>
      <w:r w:rsidR="007324B7">
        <w:t>2019</w:t>
      </w:r>
      <w:r w:rsidR="007324B7" w:rsidRPr="00CC6832">
        <w:t xml:space="preserve"> </w:t>
      </w:r>
      <w:r w:rsidR="003A6C54" w:rsidRPr="00CC6832">
        <w:t>were</w:t>
      </w:r>
      <w:r w:rsidR="00762252">
        <w:t xml:space="preserve"> </w:t>
      </w:r>
      <w:r w:rsidR="001B7EA7">
        <w:t>5</w:t>
      </w:r>
      <w:r w:rsidR="00762252">
        <w:t>%</w:t>
      </w:r>
      <w:r w:rsidR="007324B7">
        <w:t xml:space="preserve"> </w:t>
      </w:r>
      <w:r w:rsidR="001B7EA7">
        <w:t xml:space="preserve">lower </w:t>
      </w:r>
      <w:r w:rsidR="00DC62FF">
        <w:t xml:space="preserve">than </w:t>
      </w:r>
      <w:r w:rsidR="003A6C54" w:rsidRPr="00CC6832">
        <w:t>the monthly average for 2017</w:t>
      </w:r>
      <w:r w:rsidR="003A6C54">
        <w:t>-18</w:t>
      </w:r>
      <w:r>
        <w:t>.</w:t>
      </w:r>
    </w:p>
    <w:p w14:paraId="78C7473D" w14:textId="50FE0E49" w:rsidR="00192FBE" w:rsidRDefault="00192FBE" w:rsidP="004B2354">
      <w:pPr>
        <w:pStyle w:val="BodyText"/>
        <w:spacing w:before="60"/>
      </w:pPr>
      <w:r w:rsidRPr="00192FBE">
        <w:rPr>
          <w:i/>
          <w:color w:val="000099"/>
        </w:rPr>
        <w:t>Year to date</w:t>
      </w:r>
      <w:r>
        <w:rPr>
          <w:i/>
          <w:color w:val="000099"/>
        </w:rPr>
        <w:t xml:space="preserve"> – </w:t>
      </w:r>
      <w:r w:rsidR="007324B7">
        <w:t>Y</w:t>
      </w:r>
      <w:r w:rsidR="009C465E">
        <w:t>ear-</w:t>
      </w:r>
      <w:r w:rsidR="009C465E" w:rsidRPr="00CC6832">
        <w:t xml:space="preserve">to-date </w:t>
      </w:r>
      <w:r w:rsidRPr="00CC6832">
        <w:t>waste export</w:t>
      </w:r>
      <w:r w:rsidR="00CC4449">
        <w:t xml:space="preserve">s </w:t>
      </w:r>
      <w:r w:rsidR="0026691B">
        <w:t xml:space="preserve">in </w:t>
      </w:r>
      <w:r w:rsidR="001B7EA7">
        <w:t xml:space="preserve">May </w:t>
      </w:r>
      <w:r w:rsidR="00DC62FF">
        <w:t>2019</w:t>
      </w:r>
      <w:r w:rsidR="00CC4449">
        <w:t xml:space="preserve"> were about </w:t>
      </w:r>
      <w:r w:rsidR="001B7EA7">
        <w:t>3.91</w:t>
      </w:r>
      <w:r w:rsidR="00CC4449">
        <w:t xml:space="preserve"> million tonnes, </w:t>
      </w:r>
      <w:r w:rsidRPr="00CC6832">
        <w:t xml:space="preserve">compared </w:t>
      </w:r>
      <w:r w:rsidR="00CC4449">
        <w:t xml:space="preserve">with </w:t>
      </w:r>
      <w:r w:rsidR="005C412D">
        <w:t>3.</w:t>
      </w:r>
      <w:r w:rsidR="001B7EA7">
        <w:t xml:space="preserve">98 </w:t>
      </w:r>
      <w:r w:rsidR="00CC4449">
        <w:t xml:space="preserve">million tonnes in the equivalent period last financial year </w:t>
      </w:r>
      <w:r w:rsidR="00BB578F" w:rsidRPr="00721788">
        <w:t>(</w:t>
      </w:r>
      <w:r w:rsidR="001B7EA7">
        <w:t>2</w:t>
      </w:r>
      <w:r w:rsidR="00BB578F" w:rsidRPr="00721788">
        <w:t>% less</w:t>
      </w:r>
      <w:r w:rsidR="00BB578F" w:rsidRPr="00CC6832">
        <w:t>).</w:t>
      </w:r>
      <w:r w:rsidR="00BB578F">
        <w:t xml:space="preserve"> </w:t>
      </w:r>
      <w:r w:rsidR="00985CC9">
        <w:t>Most of the difference is lower</w:t>
      </w:r>
      <w:r w:rsidR="00EE5A38">
        <w:t xml:space="preserve"> volumes of</w:t>
      </w:r>
      <w:r w:rsidR="00985CC9">
        <w:t xml:space="preserve"> paper and cardboard</w:t>
      </w:r>
      <w:r w:rsidR="00EE5A38">
        <w:t xml:space="preserve"> exports</w:t>
      </w:r>
      <w:r w:rsidR="00985CC9">
        <w:t xml:space="preserve">. </w:t>
      </w:r>
    </w:p>
    <w:p w14:paraId="13357A79" w14:textId="77777777" w:rsidR="009E3FF9" w:rsidRDefault="009E3FF9" w:rsidP="00192FBE">
      <w:pPr>
        <w:pStyle w:val="BodyText"/>
      </w:pPr>
    </w:p>
    <w:p w14:paraId="12DE196C" w14:textId="04E98234" w:rsidR="00AA22AF" w:rsidRDefault="009C465E" w:rsidP="00985CC9">
      <w:pPr>
        <w:pStyle w:val="BodyText"/>
      </w:pPr>
      <w:r w:rsidRPr="00D80CED">
        <w:fldChar w:fldCharType="begin"/>
      </w:r>
      <w:r w:rsidRPr="00D80CED">
        <w:instrText xml:space="preserve"> REF _Ref526509038 \h </w:instrText>
      </w:r>
      <w:r w:rsidR="00D80CED">
        <w:instrText xml:space="preserve"> \* MERGEFORMAT </w:instrText>
      </w:r>
      <w:r w:rsidRPr="00D80CED">
        <w:fldChar w:fldCharType="separate"/>
      </w:r>
      <w:r w:rsidR="004E4C1B">
        <w:t xml:space="preserve">Figure </w:t>
      </w:r>
      <w:r w:rsidR="004E4C1B">
        <w:rPr>
          <w:noProof/>
        </w:rPr>
        <w:t>2</w:t>
      </w:r>
      <w:r w:rsidRPr="00D80CED">
        <w:fldChar w:fldCharType="end"/>
      </w:r>
      <w:r w:rsidRPr="00D80CED">
        <w:t xml:space="preserve"> presents the monthly trend in exports of waste from Australia by material type between July 2017 and </w:t>
      </w:r>
      <w:r w:rsidR="001B7EA7">
        <w:t xml:space="preserve">May </w:t>
      </w:r>
      <w:r w:rsidR="00825E99">
        <w:t>2019</w:t>
      </w:r>
      <w:r w:rsidRPr="00D80CED">
        <w:t>.</w:t>
      </w:r>
      <w:r>
        <w:t xml:space="preserve"> </w:t>
      </w:r>
      <w:r w:rsidR="006E6F4D">
        <w:t xml:space="preserve">Metals exports remain volatile. </w:t>
      </w:r>
      <w:r w:rsidR="00396E64">
        <w:t xml:space="preserve">Waste paper and cardboard exports have remained fairly stable </w:t>
      </w:r>
      <w:r w:rsidR="00771C77">
        <w:t>since January 2018</w:t>
      </w:r>
      <w:r w:rsidR="00396E64">
        <w:t xml:space="preserve">. </w:t>
      </w:r>
      <w:r w:rsidR="00771C77">
        <w:t xml:space="preserve">The rise in exports of recovered </w:t>
      </w:r>
      <w:r w:rsidR="00396E64">
        <w:t xml:space="preserve">plastics </w:t>
      </w:r>
      <w:r w:rsidR="00771C77">
        <w:t xml:space="preserve">over the same timeframe may have reached its peak, with falls in the last </w:t>
      </w:r>
      <w:r w:rsidR="001B7EA7">
        <w:t xml:space="preserve">three </w:t>
      </w:r>
      <w:r w:rsidR="00771C77">
        <w:t>months</w:t>
      </w:r>
      <w:r w:rsidR="00396E64">
        <w:t>.</w:t>
      </w:r>
      <w:r w:rsidR="009E3FF9">
        <w:t xml:space="preserve"> </w:t>
      </w:r>
    </w:p>
    <w:p w14:paraId="3704F971" w14:textId="70BE647B" w:rsidR="00FD30F3" w:rsidRDefault="00FD30F3" w:rsidP="00FD30F3">
      <w:pPr>
        <w:pStyle w:val="Caption"/>
      </w:pPr>
      <w:bookmarkStart w:id="7" w:name="_Ref526509038"/>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4E4C1B">
        <w:rPr>
          <w:noProof/>
        </w:rPr>
        <w:t>2</w:t>
      </w:r>
      <w:r w:rsidR="00E34057">
        <w:rPr>
          <w:noProof/>
        </w:rPr>
        <w:fldChar w:fldCharType="end"/>
      </w:r>
      <w:bookmarkEnd w:id="7"/>
      <w:r>
        <w:tab/>
      </w:r>
      <w:r w:rsidR="00D16A39">
        <w:t xml:space="preserve">Monthly </w:t>
      </w:r>
      <w:r w:rsidRPr="00FD30F3">
        <w:t>exports of waste from Australia by material type</w:t>
      </w:r>
      <w:r w:rsidR="009C465E">
        <w:t xml:space="preserve">, July </w:t>
      </w:r>
      <w:r w:rsidR="009C465E" w:rsidRPr="00B224F5">
        <w:t xml:space="preserve">2017 – </w:t>
      </w:r>
      <w:r w:rsidR="001B7EA7">
        <w:t xml:space="preserve">May </w:t>
      </w:r>
      <w:r w:rsidR="00825E99">
        <w:t>2019</w:t>
      </w:r>
    </w:p>
    <w:p w14:paraId="54E23D11" w14:textId="531CE9A1" w:rsidR="00FD30F3" w:rsidRDefault="000D5C62" w:rsidP="000D5C62">
      <w:pPr>
        <w:pStyle w:val="BodyText"/>
        <w:jc w:val="center"/>
        <w:rPr>
          <w:noProof/>
        </w:rPr>
      </w:pPr>
      <w:r w:rsidRPr="000D5C62">
        <w:rPr>
          <w:noProof/>
          <w:lang w:eastAsia="en-AU"/>
        </w:rPr>
        <w:drawing>
          <wp:inline distT="0" distB="0" distL="0" distR="0" wp14:anchorId="173BA553" wp14:editId="221C2C68">
            <wp:extent cx="5314950" cy="199781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40621" cy="2007464"/>
                    </a:xfrm>
                    <a:prstGeom prst="rect">
                      <a:avLst/>
                    </a:prstGeom>
                  </pic:spPr>
                </pic:pic>
              </a:graphicData>
            </a:graphic>
          </wp:inline>
        </w:drawing>
      </w:r>
    </w:p>
    <w:p w14:paraId="68A6BA94" w14:textId="37EC8698" w:rsidR="009E3FF9" w:rsidRDefault="007512CB" w:rsidP="00FD30F3">
      <w:pPr>
        <w:pStyle w:val="BodyText"/>
      </w:pPr>
      <w:r>
        <w:t>Figure 3 presents monthly trend</w:t>
      </w:r>
      <w:r w:rsidR="00B60EA5">
        <w:t>s</w:t>
      </w:r>
      <w:r>
        <w:t xml:space="preserve"> </w:t>
      </w:r>
      <w:r w:rsidR="00006858">
        <w:t>in the</w:t>
      </w:r>
      <w:r>
        <w:t xml:space="preserve"> unit prices of </w:t>
      </w:r>
      <w:r w:rsidR="009E3FF9">
        <w:t>key</w:t>
      </w:r>
      <w:r>
        <w:t xml:space="preserve"> waste export</w:t>
      </w:r>
      <w:r w:rsidR="009E3FF9">
        <w:t>s</w:t>
      </w:r>
      <w:r>
        <w:t xml:space="preserve"> between July 2017 and </w:t>
      </w:r>
      <w:r w:rsidR="00AE5451">
        <w:t xml:space="preserve">May </w:t>
      </w:r>
      <w:r>
        <w:t xml:space="preserve">2019. Over this timeframe, </w:t>
      </w:r>
      <w:r w:rsidR="002E0503">
        <w:t xml:space="preserve">average </w:t>
      </w:r>
      <w:r>
        <w:t>unit prices for metals</w:t>
      </w:r>
      <w:r w:rsidR="00DF64D6">
        <w:t xml:space="preserve"> and</w:t>
      </w:r>
      <w:r>
        <w:t xml:space="preserve"> paper and cardboard have remained </w:t>
      </w:r>
      <w:r w:rsidR="002E0503">
        <w:t>fairly stable</w:t>
      </w:r>
      <w:r>
        <w:t>.</w:t>
      </w:r>
      <w:r w:rsidR="00DF64D6">
        <w:t xml:space="preserve"> Average prices for waste</w:t>
      </w:r>
      <w:r w:rsidR="002E0503">
        <w:t xml:space="preserve"> </w:t>
      </w:r>
      <w:r w:rsidR="00DF64D6">
        <w:t>plastics</w:t>
      </w:r>
      <w:r w:rsidR="00FF496E">
        <w:t xml:space="preserve"> </w:t>
      </w:r>
      <w:r w:rsidR="00EE5A38">
        <w:t>are</w:t>
      </w:r>
      <w:r w:rsidR="00FF496E">
        <w:t xml:space="preserve"> driven </w:t>
      </w:r>
      <w:r w:rsidR="00EE5A38">
        <w:t xml:space="preserve">mainly </w:t>
      </w:r>
      <w:r w:rsidR="00FF496E">
        <w:t>by the low-grade mixed materials</w:t>
      </w:r>
      <w:r w:rsidR="00EE5A38">
        <w:t xml:space="preserve"> grade</w:t>
      </w:r>
      <w:r w:rsidR="00FF496E">
        <w:t>, which represent most of the exported tonnes. Prices for this grade</w:t>
      </w:r>
      <w:r w:rsidR="00DF64D6">
        <w:t xml:space="preserve"> </w:t>
      </w:r>
      <w:r w:rsidR="00FF496E">
        <w:t xml:space="preserve">fell from an average of $276/t over 2017-18 to a low of $137/t in February 2019, </w:t>
      </w:r>
      <w:r w:rsidR="00EE5A38">
        <w:t>then</w:t>
      </w:r>
      <w:r w:rsidR="00FF496E">
        <w:t xml:space="preserve"> recovered to </w:t>
      </w:r>
      <w:bookmarkStart w:id="8" w:name="_Hlk12453463"/>
      <w:bookmarkStart w:id="9" w:name="_Hlk12453505"/>
      <w:r w:rsidR="00410587">
        <w:t>$</w:t>
      </w:r>
      <w:r w:rsidR="00AE5451">
        <w:t>235</w:t>
      </w:r>
      <w:r w:rsidR="00EF7A7F">
        <w:t xml:space="preserve">/t in </w:t>
      </w:r>
      <w:r w:rsidR="00656530">
        <w:t>May</w:t>
      </w:r>
      <w:r w:rsidR="00DF64D6">
        <w:t>.</w:t>
      </w:r>
      <w:bookmarkEnd w:id="8"/>
      <w:r w:rsidR="00DF64D6">
        <w:t xml:space="preserve"> </w:t>
      </w:r>
      <w:bookmarkEnd w:id="9"/>
    </w:p>
    <w:p w14:paraId="09CA0E90" w14:textId="02788871" w:rsidR="00825E99" w:rsidRDefault="007512CB" w:rsidP="007512CB">
      <w:pPr>
        <w:pStyle w:val="Caption"/>
      </w:pPr>
      <w:r>
        <w:t xml:space="preserve">Figure </w:t>
      </w:r>
      <w:fldSimple w:instr=" SEQ Figure \* ARABIC ">
        <w:r w:rsidR="004E4C1B">
          <w:rPr>
            <w:noProof/>
          </w:rPr>
          <w:t>3</w:t>
        </w:r>
      </w:fldSimple>
      <w:r>
        <w:tab/>
      </w:r>
      <w:r w:rsidR="00D518F4">
        <w:t>Comparison of unit prices</w:t>
      </w:r>
      <w:r w:rsidR="00825E99">
        <w:t xml:space="preserve"> by material</w:t>
      </w:r>
      <w:r w:rsidR="00D518F4">
        <w:t xml:space="preserve"> (</w:t>
      </w:r>
      <w:r>
        <w:t xml:space="preserve">in </w:t>
      </w:r>
      <w:r w:rsidR="00D518F4">
        <w:t xml:space="preserve">$/tonne), July 2017 – </w:t>
      </w:r>
      <w:r w:rsidR="00EC1B1B">
        <w:t xml:space="preserve">May </w:t>
      </w:r>
      <w:r w:rsidR="00D518F4">
        <w:t xml:space="preserve">2019 </w:t>
      </w:r>
    </w:p>
    <w:p w14:paraId="5AC22473" w14:textId="2DE0603C" w:rsidR="00825E99" w:rsidRDefault="00E41F50" w:rsidP="000D5C62">
      <w:pPr>
        <w:pStyle w:val="BodyText"/>
        <w:jc w:val="center"/>
      </w:pPr>
      <w:r w:rsidRPr="00E41F50">
        <w:rPr>
          <w:noProof/>
          <w:lang w:eastAsia="en-AU"/>
        </w:rPr>
        <w:drawing>
          <wp:inline distT="0" distB="0" distL="0" distR="0" wp14:anchorId="2AD40C7F" wp14:editId="43ACA361">
            <wp:extent cx="5200650" cy="22778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5012" cy="2288546"/>
                    </a:xfrm>
                    <a:prstGeom prst="rect">
                      <a:avLst/>
                    </a:prstGeom>
                  </pic:spPr>
                </pic:pic>
              </a:graphicData>
            </a:graphic>
          </wp:inline>
        </w:drawing>
      </w:r>
    </w:p>
    <w:p w14:paraId="62E139A6" w14:textId="77777777" w:rsidR="00825E99" w:rsidRDefault="00825E99" w:rsidP="00FD30F3">
      <w:pPr>
        <w:pStyle w:val="BodyText"/>
      </w:pPr>
    </w:p>
    <w:p w14:paraId="4B6A50E2" w14:textId="4CFED8C8" w:rsidR="00A9344A" w:rsidRDefault="00A9344A" w:rsidP="00A9344A">
      <w:pPr>
        <w:pStyle w:val="Heading3-nonumber"/>
      </w:pPr>
      <w:r>
        <w:t>The current status of waste import restrictions</w:t>
      </w:r>
    </w:p>
    <w:p w14:paraId="31B9715E" w14:textId="61F1B217" w:rsidR="000C10AF" w:rsidRDefault="00EE5A38" w:rsidP="00A9344A">
      <w:pPr>
        <w:pStyle w:val="BodyText"/>
      </w:pPr>
      <w:r>
        <w:t xml:space="preserve">Following the lead of China, several Asian countries have flagged or implemented restrictions on the import of waste-derived materials. These are described in </w:t>
      </w:r>
      <w:r w:rsidR="003D0563">
        <w:fldChar w:fldCharType="begin"/>
      </w:r>
      <w:r w:rsidR="003D0563">
        <w:instrText xml:space="preserve"> REF _Ref524954387 \h </w:instrText>
      </w:r>
      <w:r w:rsidR="003D0563">
        <w:fldChar w:fldCharType="separate"/>
      </w:r>
      <w:r w:rsidR="004E4C1B">
        <w:t xml:space="preserve">Table </w:t>
      </w:r>
      <w:r w:rsidR="004E4C1B">
        <w:rPr>
          <w:noProof/>
        </w:rPr>
        <w:t>3</w:t>
      </w:r>
      <w:r w:rsidR="003D0563">
        <w:fldChar w:fldCharType="end"/>
      </w:r>
      <w:r w:rsidR="00A9344A">
        <w:t xml:space="preserve"> </w:t>
      </w:r>
      <w:r w:rsidR="00874D3D">
        <w:t>(overleaf)</w:t>
      </w:r>
      <w:r w:rsidR="00460A12">
        <w:t xml:space="preserve">. </w:t>
      </w:r>
      <w:r w:rsidR="00B224F5">
        <w:t>T</w:t>
      </w:r>
      <w:r w:rsidR="00460A12">
        <w:t>h</w:t>
      </w:r>
      <w:r>
        <w:t>e</w:t>
      </w:r>
      <w:r w:rsidR="00750BDD">
        <w:t xml:space="preserve"> </w:t>
      </w:r>
      <w:r w:rsidR="00460A12">
        <w:t>information</w:t>
      </w:r>
      <w:r>
        <w:t xml:space="preserve"> presented</w:t>
      </w:r>
      <w:r w:rsidR="00460A12">
        <w:t xml:space="preserve"> has been compiled based on publicly available sources, sometimes translated from</w:t>
      </w:r>
      <w:r w:rsidR="00BA4A65">
        <w:t xml:space="preserve"> </w:t>
      </w:r>
      <w:r w:rsidR="00460A12">
        <w:t>languages</w:t>
      </w:r>
      <w:r w:rsidR="006E6F4D">
        <w:t xml:space="preserve"> other than English</w:t>
      </w:r>
      <w:r w:rsidR="00BA4A65">
        <w:t>.</w:t>
      </w:r>
    </w:p>
    <w:p w14:paraId="64757DCE" w14:textId="77777777" w:rsidR="000E3E5E" w:rsidRDefault="000E3E5E" w:rsidP="00A9344A">
      <w:pPr>
        <w:pStyle w:val="BodyText"/>
        <w:sectPr w:rsidR="000E3E5E" w:rsidSect="00305B22">
          <w:headerReference w:type="even" r:id="rId13"/>
          <w:headerReference w:type="default" r:id="rId14"/>
          <w:footerReference w:type="even" r:id="rId15"/>
          <w:footerReference w:type="default" r:id="rId16"/>
          <w:headerReference w:type="first" r:id="rId17"/>
          <w:footerReference w:type="first" r:id="rId18"/>
          <w:pgSz w:w="11906" w:h="16838" w:code="9"/>
          <w:pgMar w:top="1440" w:right="1077" w:bottom="1134" w:left="1797" w:header="709" w:footer="454" w:gutter="0"/>
          <w:cols w:space="708"/>
          <w:docGrid w:linePitch="360"/>
        </w:sectPr>
      </w:pPr>
    </w:p>
    <w:p w14:paraId="3D221811" w14:textId="7E31035A" w:rsidR="003D0563" w:rsidRDefault="003D0563" w:rsidP="003B4A97">
      <w:pPr>
        <w:pStyle w:val="Caption"/>
        <w:spacing w:before="0"/>
      </w:pPr>
      <w:bookmarkStart w:id="10" w:name="_Ref524954387"/>
      <w:r>
        <w:lastRenderedPageBreak/>
        <w:t xml:space="preserve">Table </w:t>
      </w:r>
      <w:r w:rsidR="001C0F90">
        <w:rPr>
          <w:noProof/>
        </w:rPr>
        <w:fldChar w:fldCharType="begin"/>
      </w:r>
      <w:r w:rsidR="001C0F90">
        <w:rPr>
          <w:noProof/>
        </w:rPr>
        <w:instrText xml:space="preserve"> SEQ Table \* ARABIC </w:instrText>
      </w:r>
      <w:r w:rsidR="001C0F90">
        <w:rPr>
          <w:noProof/>
        </w:rPr>
        <w:fldChar w:fldCharType="separate"/>
      </w:r>
      <w:r w:rsidR="004E4C1B">
        <w:rPr>
          <w:noProof/>
        </w:rPr>
        <w:t>3</w:t>
      </w:r>
      <w:r w:rsidR="001C0F90">
        <w:rPr>
          <w:noProof/>
        </w:rPr>
        <w:fldChar w:fldCharType="end"/>
      </w:r>
      <w:bookmarkEnd w:id="10"/>
      <w:r>
        <w:tab/>
      </w:r>
      <w:r w:rsidR="00EE5A38">
        <w:t>S</w:t>
      </w:r>
      <w:r>
        <w:t>tatus of waste import restrictions</w:t>
      </w:r>
    </w:p>
    <w:tbl>
      <w:tblPr>
        <w:tblStyle w:val="BE-table"/>
        <w:tblW w:w="14317" w:type="dxa"/>
        <w:tblInd w:w="-5" w:type="dxa"/>
        <w:tblLayout w:type="fixed"/>
        <w:tblLook w:val="04A0" w:firstRow="1" w:lastRow="0" w:firstColumn="1" w:lastColumn="0" w:noHBand="0" w:noVBand="1"/>
      </w:tblPr>
      <w:tblGrid>
        <w:gridCol w:w="993"/>
        <w:gridCol w:w="5953"/>
        <w:gridCol w:w="1843"/>
        <w:gridCol w:w="850"/>
        <w:gridCol w:w="1560"/>
        <w:gridCol w:w="850"/>
        <w:gridCol w:w="2268"/>
      </w:tblGrid>
      <w:tr w:rsidR="00E162A4" w14:paraId="0A7B2002" w14:textId="24BDD73F" w:rsidTr="000861EA">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93" w:type="dxa"/>
            <w:vMerge w:val="restart"/>
            <w:tcMar>
              <w:left w:w="57" w:type="dxa"/>
              <w:right w:w="57" w:type="dxa"/>
            </w:tcMar>
            <w:vAlign w:val="bottom"/>
          </w:tcPr>
          <w:p w14:paraId="2CCB7B02" w14:textId="681C0BB1" w:rsidR="009C7A35" w:rsidRPr="00397677" w:rsidRDefault="009C7A35" w:rsidP="00BA4A65">
            <w:pPr>
              <w:pStyle w:val="BodyText"/>
              <w:spacing w:beforeLines="0" w:before="0" w:afterLines="0" w:after="0"/>
            </w:pPr>
            <w:r w:rsidRPr="00397677">
              <w:t>Country</w:t>
            </w:r>
          </w:p>
        </w:tc>
        <w:tc>
          <w:tcPr>
            <w:tcW w:w="5953" w:type="dxa"/>
            <w:vMerge w:val="restart"/>
            <w:tcMar>
              <w:left w:w="57" w:type="dxa"/>
              <w:right w:w="57" w:type="dxa"/>
            </w:tcMar>
            <w:vAlign w:val="bottom"/>
          </w:tcPr>
          <w:p w14:paraId="153AC9F4" w14:textId="1AB6097C"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rsidR="002F21C0">
              <w:t>restrictions</w:t>
            </w:r>
          </w:p>
        </w:tc>
        <w:tc>
          <w:tcPr>
            <w:tcW w:w="1843" w:type="dxa"/>
            <w:vMerge w:val="restart"/>
            <w:tcMar>
              <w:left w:w="57" w:type="dxa"/>
              <w:right w:w="57" w:type="dxa"/>
            </w:tcMar>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260" w:type="dxa"/>
            <w:gridSpan w:val="3"/>
            <w:tcMar>
              <w:left w:w="57" w:type="dxa"/>
              <w:right w:w="57" w:type="dxa"/>
            </w:tcMar>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2268" w:type="dxa"/>
            <w:vMerge w:val="restart"/>
            <w:tcMar>
              <w:left w:w="57" w:type="dxa"/>
              <w:right w:w="57" w:type="dxa"/>
            </w:tcMar>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0C10AF" w14:paraId="7A6749F3" w14:textId="2A14ED1B" w:rsidTr="000861EA">
        <w:tc>
          <w:tcPr>
            <w:cnfStyle w:val="001000000000" w:firstRow="0" w:lastRow="0" w:firstColumn="1" w:lastColumn="0" w:oddVBand="0" w:evenVBand="0" w:oddHBand="0" w:evenHBand="0" w:firstRowFirstColumn="0" w:firstRowLastColumn="0" w:lastRowFirstColumn="0" w:lastRowLastColumn="0"/>
            <w:tcW w:w="993" w:type="dxa"/>
            <w:vMerge/>
            <w:shd w:val="clear" w:color="auto" w:fill="B7B7E2" w:themeFill="accent1" w:themeFillTint="66"/>
            <w:tcMar>
              <w:left w:w="57" w:type="dxa"/>
              <w:right w:w="57" w:type="dxa"/>
            </w:tcMar>
          </w:tcPr>
          <w:p w14:paraId="30879AE2" w14:textId="5A22DAF2" w:rsidR="009C7A35" w:rsidRPr="00397677" w:rsidRDefault="009C7A35" w:rsidP="00BA4A65">
            <w:pPr>
              <w:pStyle w:val="BodyText"/>
              <w:spacing w:before="0" w:after="0"/>
              <w:rPr>
                <w:b/>
                <w:color w:val="FFFFFF" w:themeColor="background1"/>
              </w:rPr>
            </w:pPr>
          </w:p>
        </w:tc>
        <w:tc>
          <w:tcPr>
            <w:tcW w:w="5953" w:type="dxa"/>
            <w:vMerge/>
            <w:shd w:val="clear" w:color="auto" w:fill="B7B7E2" w:themeFill="accent1" w:themeFillTint="66"/>
            <w:tcMar>
              <w:left w:w="57" w:type="dxa"/>
              <w:right w:w="57" w:type="dxa"/>
            </w:tcMar>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843" w:type="dxa"/>
            <w:vMerge/>
            <w:shd w:val="clear" w:color="auto" w:fill="B7B7E2" w:themeFill="accent1" w:themeFillTint="66"/>
            <w:tcMar>
              <w:left w:w="57" w:type="dxa"/>
              <w:right w:w="57" w:type="dxa"/>
            </w:tcMar>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50" w:type="dxa"/>
            <w:shd w:val="clear" w:color="auto" w:fill="B7B7E2" w:themeFill="accent1" w:themeFillTint="66"/>
            <w:tcMar>
              <w:left w:w="57" w:type="dxa"/>
              <w:right w:w="57" w:type="dxa"/>
            </w:tcMar>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560" w:type="dxa"/>
            <w:shd w:val="clear" w:color="auto" w:fill="B7B7E2" w:themeFill="accent1" w:themeFillTint="66"/>
            <w:tcMar>
              <w:left w:w="57" w:type="dxa"/>
              <w:right w:w="57" w:type="dxa"/>
            </w:tcMar>
          </w:tcPr>
          <w:p w14:paraId="4BE9C26B" w14:textId="6863E95E"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2017-18</w:t>
            </w:r>
          </w:p>
        </w:tc>
        <w:tc>
          <w:tcPr>
            <w:tcW w:w="850" w:type="dxa"/>
            <w:shd w:val="clear" w:color="auto" w:fill="B7B7E2" w:themeFill="accent1" w:themeFillTint="66"/>
            <w:tcMar>
              <w:left w:w="57" w:type="dxa"/>
              <w:right w:w="57" w:type="dxa"/>
            </w:tcMar>
          </w:tcPr>
          <w:p w14:paraId="4EADBE38" w14:textId="033BAEF2" w:rsidR="009C7A35" w:rsidRPr="00397677" w:rsidRDefault="00656530"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May </w:t>
            </w:r>
            <w:r w:rsidR="00825E99">
              <w:rPr>
                <w:b/>
                <w:color w:val="FFFFFF" w:themeColor="background1"/>
              </w:rPr>
              <w:t>19</w:t>
            </w:r>
          </w:p>
        </w:tc>
        <w:tc>
          <w:tcPr>
            <w:tcW w:w="2268" w:type="dxa"/>
            <w:vMerge/>
            <w:shd w:val="clear" w:color="auto" w:fill="B7B7E2" w:themeFill="accent1" w:themeFillTint="66"/>
            <w:tcMar>
              <w:left w:w="57" w:type="dxa"/>
              <w:right w:w="57" w:type="dxa"/>
            </w:tcMar>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E162A4" w14:paraId="5BEB39F8"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59632B33" w14:textId="06366410" w:rsidR="009C7A35" w:rsidRDefault="009C7A35" w:rsidP="000861EA">
            <w:pPr>
              <w:pStyle w:val="BodyText"/>
              <w:spacing w:before="40" w:after="40"/>
            </w:pPr>
            <w:r>
              <w:t>China</w:t>
            </w:r>
          </w:p>
        </w:tc>
        <w:tc>
          <w:tcPr>
            <w:tcW w:w="5953" w:type="dxa"/>
            <w:tcMar>
              <w:left w:w="57" w:type="dxa"/>
              <w:right w:w="57" w:type="dxa"/>
            </w:tcMar>
          </w:tcPr>
          <w:p w14:paraId="7250B053" w14:textId="746DCD6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sidR="00872A00">
              <w:rPr>
                <w:rStyle w:val="FootnoteReference"/>
              </w:rPr>
              <w:footnoteReference w:id="1"/>
            </w:r>
            <w:r w:rsidR="00872A00">
              <w:t>.</w:t>
            </w:r>
            <w:r w:rsidR="008B1DA0">
              <w:t xml:space="preserve"> </w:t>
            </w:r>
          </w:p>
          <w:p w14:paraId="4B9BE708" w14:textId="0A24DBF0" w:rsidR="008B1DA0" w:rsidRDefault="003E405B"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872A00">
              <w:rPr>
                <w:rStyle w:val="FootnoteReference"/>
              </w:rPr>
              <w:footnoteReference w:id="2"/>
            </w:r>
            <w:r w:rsidR="001F036C">
              <w:t xml:space="preserve">. </w:t>
            </w:r>
          </w:p>
          <w:p w14:paraId="4C7D2E13" w14:textId="5C2FA2BE" w:rsidR="006B2DAC" w:rsidRPr="009C7A35" w:rsidRDefault="006B2DAC"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Further restrictions on metals imports flagged in Dec. 18</w:t>
            </w:r>
            <w:r w:rsidR="00872A00">
              <w:rPr>
                <w:rStyle w:val="FootnoteReference"/>
              </w:rPr>
              <w:footnoteReference w:id="3"/>
            </w:r>
          </w:p>
        </w:tc>
        <w:tc>
          <w:tcPr>
            <w:tcW w:w="1843" w:type="dxa"/>
            <w:tcMar>
              <w:left w:w="57" w:type="dxa"/>
              <w:right w:w="57" w:type="dxa"/>
            </w:tcMar>
          </w:tcPr>
          <w:p w14:paraId="446AD224" w14:textId="261BE2F3"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850" w:type="dxa"/>
            <w:tcMar>
              <w:left w:w="57" w:type="dxa"/>
              <w:right w:w="57" w:type="dxa"/>
            </w:tcMar>
          </w:tcPr>
          <w:p w14:paraId="11373F4D" w14:textId="1E37B362"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 metals, other</w:t>
            </w:r>
          </w:p>
        </w:tc>
        <w:tc>
          <w:tcPr>
            <w:tcW w:w="1560" w:type="dxa"/>
            <w:tcMar>
              <w:left w:w="57" w:type="dxa"/>
              <w:right w:w="57" w:type="dxa"/>
            </w:tcMar>
          </w:tcPr>
          <w:p w14:paraId="0F841BA8" w14:textId="215FE99E"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745,700 (62,100</w:t>
            </w:r>
            <w:r w:rsidR="00AE3329">
              <w:t>/</w:t>
            </w:r>
            <w:r w:rsidR="00222291">
              <w:t>month</w:t>
            </w:r>
            <w:r>
              <w:t>)</w:t>
            </w:r>
          </w:p>
        </w:tc>
        <w:tc>
          <w:tcPr>
            <w:tcW w:w="850" w:type="dxa"/>
            <w:tcMar>
              <w:left w:w="57" w:type="dxa"/>
              <w:right w:w="57" w:type="dxa"/>
            </w:tcMar>
          </w:tcPr>
          <w:p w14:paraId="5A25B5BA" w14:textId="23B3376F" w:rsidR="009C7A35" w:rsidRPr="00B224F5"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54,600</w:t>
            </w:r>
          </w:p>
        </w:tc>
        <w:tc>
          <w:tcPr>
            <w:tcW w:w="2268" w:type="dxa"/>
            <w:tcMar>
              <w:left w:w="57" w:type="dxa"/>
              <w:right w:w="57" w:type="dxa"/>
            </w:tcMar>
          </w:tcPr>
          <w:p w14:paraId="2CD0A8DF" w14:textId="3C1444B7" w:rsidR="001F036C" w:rsidRDefault="006C0A9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w:t>
            </w:r>
            <w:r w:rsidR="00222291">
              <w:t>month</w:t>
            </w:r>
            <w:r w:rsidR="00AE3329">
              <w:t>)</w:t>
            </w:r>
          </w:p>
        </w:tc>
      </w:tr>
      <w:tr w:rsidR="00006858" w14:paraId="1BC419D2"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3188DBE8" w14:textId="4758B238" w:rsidR="00006858" w:rsidRDefault="00006858" w:rsidP="000861EA">
            <w:pPr>
              <w:pStyle w:val="BodyText"/>
              <w:spacing w:before="40" w:after="40"/>
            </w:pPr>
            <w:r>
              <w:t>India</w:t>
            </w:r>
          </w:p>
        </w:tc>
        <w:tc>
          <w:tcPr>
            <w:tcW w:w="5953" w:type="dxa"/>
            <w:tcMar>
              <w:left w:w="57" w:type="dxa"/>
              <w:right w:w="57" w:type="dxa"/>
            </w:tcMar>
          </w:tcPr>
          <w:p w14:paraId="6A6915AA" w14:textId="62266ECA"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w:t>
            </w:r>
            <w:r w:rsidR="000D09E3">
              <w:t xml:space="preserve"> from August 2019</w:t>
            </w:r>
            <w:r w:rsidR="000D09E3">
              <w:rPr>
                <w:rStyle w:val="FootnoteReference"/>
              </w:rPr>
              <w:footnoteReference w:id="4"/>
            </w:r>
            <w:r w:rsidR="00B431B5">
              <w:t>. Also c</w:t>
            </w:r>
            <w:r>
              <w:t>over</w:t>
            </w:r>
            <w:r w:rsidR="00B431B5">
              <w:t>s</w:t>
            </w:r>
            <w:r>
              <w:t xml:space="preserve"> areas that were previously exempt under the 2016 ban </w:t>
            </w:r>
            <w:r w:rsidR="00964AC0">
              <w:t xml:space="preserve">such as </w:t>
            </w:r>
            <w:r>
              <w:t>special economic zones</w:t>
            </w:r>
            <w:r w:rsidR="005904C7">
              <w:t xml:space="preserve"> (SEZ)</w:t>
            </w:r>
            <w:r>
              <w:t xml:space="preserve"> and export</w:t>
            </w:r>
            <w:r w:rsidR="00CF1664">
              <w:t>-</w:t>
            </w:r>
            <w:r>
              <w:t>oriented units</w:t>
            </w:r>
            <w:r w:rsidR="005904C7">
              <w:t xml:space="preserve"> (EOU)</w:t>
            </w:r>
            <w:r w:rsidR="00872A00">
              <w:rPr>
                <w:rStyle w:val="FootnoteReference"/>
              </w:rPr>
              <w:footnoteReference w:id="5"/>
            </w:r>
            <w:r>
              <w:t xml:space="preserve">. </w:t>
            </w:r>
            <w:r w:rsidR="00964AC0">
              <w:t>Excludes electrical/electronic assemblies or components that are defective which can be imported within a year of export</w:t>
            </w:r>
            <w:r w:rsidR="00C22FDA">
              <w:t>.</w:t>
            </w:r>
            <w:r w:rsidR="00964AC0">
              <w:t xml:space="preserve"> </w:t>
            </w:r>
          </w:p>
        </w:tc>
        <w:tc>
          <w:tcPr>
            <w:tcW w:w="1843" w:type="dxa"/>
            <w:tcMar>
              <w:left w:w="57" w:type="dxa"/>
              <w:right w:w="57" w:type="dxa"/>
            </w:tcMar>
          </w:tcPr>
          <w:p w14:paraId="2FB42E56" w14:textId="7B45E60D" w:rsidR="00006858"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Mar-19</w:t>
            </w:r>
          </w:p>
          <w:p w14:paraId="127E1773" w14:textId="77777777" w:rsidR="00964AC0"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5C711869" w14:textId="289E6663" w:rsidR="00C22FDA"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850" w:type="dxa"/>
            <w:tcMar>
              <w:left w:w="57" w:type="dxa"/>
              <w:right w:w="57" w:type="dxa"/>
            </w:tcMar>
          </w:tcPr>
          <w:p w14:paraId="79C2656F" w14:textId="6E8CC454" w:rsidR="00006858" w:rsidRDefault="00B431B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60" w:type="dxa"/>
            <w:tcMar>
              <w:left w:w="57" w:type="dxa"/>
              <w:right w:w="57" w:type="dxa"/>
            </w:tcMar>
          </w:tcPr>
          <w:p w14:paraId="31BA45BE" w14:textId="4F590330" w:rsidR="00006858" w:rsidRDefault="00F1233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800 (70</w:t>
            </w:r>
            <w:r w:rsidR="00AE3329">
              <w:t>/</w:t>
            </w:r>
            <w:r w:rsidR="00222291">
              <w:t>month</w:t>
            </w:r>
            <w:r>
              <w:t>)</w:t>
            </w:r>
          </w:p>
        </w:tc>
        <w:tc>
          <w:tcPr>
            <w:tcW w:w="850" w:type="dxa"/>
            <w:tcMar>
              <w:left w:w="57" w:type="dxa"/>
              <w:right w:w="57" w:type="dxa"/>
            </w:tcMar>
          </w:tcPr>
          <w:p w14:paraId="52124B96" w14:textId="35A125FA" w:rsidR="00006858" w:rsidDel="00825E99"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300</w:t>
            </w:r>
          </w:p>
        </w:tc>
        <w:tc>
          <w:tcPr>
            <w:tcW w:w="2268" w:type="dxa"/>
            <w:tcMar>
              <w:left w:w="57" w:type="dxa"/>
              <w:right w:w="57" w:type="dxa"/>
            </w:tcMar>
          </w:tcPr>
          <w:p w14:paraId="22EA90DC" w14:textId="58056A77"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w:t>
            </w:r>
            <w:r w:rsidR="003B4A97">
              <w:t>uncertain</w:t>
            </w:r>
            <w:r>
              <w:t xml:space="preserve">. </w:t>
            </w:r>
          </w:p>
        </w:tc>
      </w:tr>
      <w:tr w:rsidR="00122C59" w14:paraId="0B820A1E"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241EA7B" w14:textId="6EC1D4FA" w:rsidR="00122C59" w:rsidRDefault="00122C59" w:rsidP="000861EA">
            <w:pPr>
              <w:pStyle w:val="BodyText"/>
              <w:spacing w:before="40" w:after="40"/>
            </w:pPr>
            <w:r>
              <w:t>Indonesia</w:t>
            </w:r>
          </w:p>
        </w:tc>
        <w:tc>
          <w:tcPr>
            <w:tcW w:w="5953" w:type="dxa"/>
            <w:tcMar>
              <w:left w:w="57" w:type="dxa"/>
              <w:right w:w="57" w:type="dxa"/>
            </w:tcMar>
          </w:tcPr>
          <w:p w14:paraId="35CD1660" w14:textId="7FF8AB1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Pr="00A7645B">
              <w:t xml:space="preserve">ll </w:t>
            </w:r>
            <w:r>
              <w:t xml:space="preserve">imported </w:t>
            </w:r>
            <w:r w:rsidRPr="00A7645B">
              <w:t>scrap paper must be inspected,</w:t>
            </w:r>
            <w:r>
              <w:t xml:space="preserve"> similar to steel and plastic. A maximum 0.5% contamination rate will apply</w:t>
            </w:r>
            <w:r w:rsidR="000F5668">
              <w:rPr>
                <w:rStyle w:val="FootnoteReference"/>
              </w:rPr>
              <w:footnoteReference w:id="6"/>
            </w:r>
            <w:r w:rsidR="000F5668">
              <w:t xml:space="preserve"> </w:t>
            </w:r>
            <w:r>
              <w:rPr>
                <w:rStyle w:val="FootnoteReference"/>
              </w:rPr>
              <w:footnoteReference w:id="7"/>
            </w:r>
            <w:r>
              <w:t>.</w:t>
            </w:r>
            <w:r w:rsidR="00AC4863">
              <w:t xml:space="preserve"> Illegally imported plastic waste to be returned back to exporters</w:t>
            </w:r>
            <w:r w:rsidR="00AC4863">
              <w:rPr>
                <w:rStyle w:val="FootnoteReference"/>
              </w:rPr>
              <w:footnoteReference w:id="8"/>
            </w:r>
            <w:r w:rsidR="00AC4863">
              <w:t>.</w:t>
            </w:r>
            <w:r w:rsidR="00121B6C">
              <w:t xml:space="preserve"> This month, reportedly rejected nine containers of ‘contaminated’ paper and plastic material.</w:t>
            </w:r>
          </w:p>
        </w:tc>
        <w:tc>
          <w:tcPr>
            <w:tcW w:w="1843" w:type="dxa"/>
            <w:tcMar>
              <w:left w:w="57" w:type="dxa"/>
              <w:right w:w="57" w:type="dxa"/>
            </w:tcMar>
          </w:tcPr>
          <w:p w14:paraId="38762867"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Apr-19</w:t>
            </w:r>
          </w:p>
          <w:p w14:paraId="17E0225E" w14:textId="5468FFF9"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 Apr-19</w:t>
            </w:r>
          </w:p>
        </w:tc>
        <w:tc>
          <w:tcPr>
            <w:tcW w:w="850" w:type="dxa"/>
            <w:tcMar>
              <w:left w:w="57" w:type="dxa"/>
              <w:right w:w="57" w:type="dxa"/>
            </w:tcMar>
          </w:tcPr>
          <w:p w14:paraId="0C933131" w14:textId="70D38336"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Paper</w:t>
            </w:r>
          </w:p>
        </w:tc>
        <w:tc>
          <w:tcPr>
            <w:tcW w:w="1560" w:type="dxa"/>
            <w:tcMar>
              <w:left w:w="57" w:type="dxa"/>
              <w:right w:w="57" w:type="dxa"/>
            </w:tcMar>
          </w:tcPr>
          <w:p w14:paraId="05D2CB65" w14:textId="2C554CE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296,000 (24,700/</w:t>
            </w:r>
            <w:r w:rsidR="00222291">
              <w:t>month</w:t>
            </w:r>
            <w:r>
              <w:t>)</w:t>
            </w:r>
          </w:p>
        </w:tc>
        <w:tc>
          <w:tcPr>
            <w:tcW w:w="850" w:type="dxa"/>
            <w:tcMar>
              <w:left w:w="57" w:type="dxa"/>
              <w:right w:w="57" w:type="dxa"/>
            </w:tcMar>
          </w:tcPr>
          <w:p w14:paraId="02D183B7" w14:textId="023AC76F" w:rsidR="00122C59"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4,000</w:t>
            </w:r>
          </w:p>
        </w:tc>
        <w:tc>
          <w:tcPr>
            <w:tcW w:w="2268" w:type="dxa"/>
            <w:tcMar>
              <w:left w:w="57" w:type="dxa"/>
              <w:right w:w="57" w:type="dxa"/>
            </w:tcMar>
          </w:tcPr>
          <w:p w14:paraId="3AB6A26D" w14:textId="3689948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122C59" w14:paraId="3FDF5B74"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72CDD44B" w14:textId="0B02E1A3" w:rsidR="00122C59" w:rsidRDefault="00122C59" w:rsidP="000861EA">
            <w:pPr>
              <w:pStyle w:val="BodyText"/>
              <w:spacing w:before="40" w:after="40"/>
            </w:pPr>
            <w:r>
              <w:t>Malaysia</w:t>
            </w:r>
          </w:p>
        </w:tc>
        <w:tc>
          <w:tcPr>
            <w:tcW w:w="5953" w:type="dxa"/>
            <w:tcMar>
              <w:left w:w="57" w:type="dxa"/>
              <w:right w:w="57" w:type="dxa"/>
            </w:tcMar>
          </w:tcPr>
          <w:p w14:paraId="5D56354F" w14:textId="282BE274" w:rsidR="00B60EA5" w:rsidRDefault="00122C59" w:rsidP="000861EA">
            <w:pPr>
              <w:pStyle w:val="BodyText"/>
              <w:widowControl w:val="0"/>
              <w:spacing w:before="40" w:after="40"/>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9"/>
            </w:r>
            <w:r w:rsidRPr="00105F0F">
              <w:rPr>
                <w:vertAlign w:val="superscript"/>
              </w:rPr>
              <w:t>,</w:t>
            </w:r>
            <w:bookmarkStart w:id="11" w:name="_Ref5797604"/>
            <w:r>
              <w:rPr>
                <w:rStyle w:val="FootnoteReference"/>
              </w:rPr>
              <w:footnoteReference w:id="10"/>
            </w:r>
            <w:bookmarkEnd w:id="11"/>
            <w:r>
              <w:t xml:space="preserve">. Import of non-recyclable plastic waste to be </w:t>
            </w:r>
            <w:r w:rsidRPr="00D72581">
              <w:t>banned</w:t>
            </w:r>
            <w:r>
              <w:rPr>
                <w:rStyle w:val="FootnoteReference"/>
              </w:rPr>
              <w:footnoteReference w:id="11"/>
            </w:r>
            <w:r w:rsidRPr="00D72581">
              <w:t>.</w:t>
            </w:r>
            <w:r>
              <w:t xml:space="preserve"> </w:t>
            </w:r>
            <w:r w:rsidR="00AC4863">
              <w:t>Contaminated, mislabelled or illegally imported</w:t>
            </w:r>
            <w:r w:rsidR="00560CC1">
              <w:t xml:space="preserve"> plastic waste</w:t>
            </w:r>
            <w:r w:rsidR="00AC4863">
              <w:t xml:space="preserve"> loads to </w:t>
            </w:r>
            <w:r w:rsidR="00AC4863">
              <w:lastRenderedPageBreak/>
              <w:t xml:space="preserve">be sent back </w:t>
            </w:r>
            <w:r w:rsidR="000314C2">
              <w:t>to source</w:t>
            </w:r>
            <w:r w:rsidR="00560CC1">
              <w:rPr>
                <w:rStyle w:val="FootnoteReference"/>
              </w:rPr>
              <w:footnoteReference w:id="12"/>
            </w:r>
            <w:r w:rsidR="000314C2">
              <w:t xml:space="preserve"> </w:t>
            </w:r>
            <w:r w:rsidR="00560CC1">
              <w:rPr>
                <w:rStyle w:val="FootnoteReference"/>
              </w:rPr>
              <w:footnoteReference w:id="13"/>
            </w:r>
            <w:r w:rsidR="00AC4863">
              <w:t>.</w:t>
            </w:r>
          </w:p>
        </w:tc>
        <w:tc>
          <w:tcPr>
            <w:tcW w:w="1843" w:type="dxa"/>
            <w:tcMar>
              <w:left w:w="57" w:type="dxa"/>
              <w:right w:w="57" w:type="dxa"/>
            </w:tcMar>
          </w:tcPr>
          <w:p w14:paraId="4F47FF79" w14:textId="592BE9D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lastRenderedPageBreak/>
              <w:t>Jul-18.</w:t>
            </w:r>
          </w:p>
        </w:tc>
        <w:tc>
          <w:tcPr>
            <w:tcW w:w="850" w:type="dxa"/>
            <w:tcMar>
              <w:left w:w="57" w:type="dxa"/>
              <w:right w:w="57" w:type="dxa"/>
            </w:tcMar>
          </w:tcPr>
          <w:p w14:paraId="1820B4C1" w14:textId="78818ED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60" w:type="dxa"/>
            <w:tcMar>
              <w:left w:w="57" w:type="dxa"/>
              <w:right w:w="57" w:type="dxa"/>
            </w:tcMar>
          </w:tcPr>
          <w:p w14:paraId="39C303E4" w14:textId="5FBCA30A"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71,300 (5,900/</w:t>
            </w:r>
            <w:r w:rsidR="00222291">
              <w:t>month</w:t>
            </w:r>
            <w:r>
              <w:t>)</w:t>
            </w:r>
          </w:p>
        </w:tc>
        <w:tc>
          <w:tcPr>
            <w:tcW w:w="850" w:type="dxa"/>
            <w:tcMar>
              <w:left w:w="57" w:type="dxa"/>
              <w:right w:w="57" w:type="dxa"/>
            </w:tcMar>
          </w:tcPr>
          <w:p w14:paraId="09790903" w14:textId="2401981C" w:rsidR="00122C59" w:rsidRPr="00B224F5"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4,100</w:t>
            </w:r>
          </w:p>
        </w:tc>
        <w:tc>
          <w:tcPr>
            <w:tcW w:w="2268" w:type="dxa"/>
            <w:tcMar>
              <w:left w:w="57" w:type="dxa"/>
              <w:right w:w="57" w:type="dxa"/>
            </w:tcMar>
          </w:tcPr>
          <w:p w14:paraId="6870865C" w14:textId="4EAC5C3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122C59" w14:paraId="33BD1BC0"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163B1FD0" w14:textId="38A3D629" w:rsidR="00122C59" w:rsidRDefault="00122C59" w:rsidP="000861EA">
            <w:pPr>
              <w:pStyle w:val="BodyText"/>
              <w:spacing w:before="40" w:after="40"/>
            </w:pPr>
            <w:r>
              <w:t>Taiwan</w:t>
            </w:r>
          </w:p>
        </w:tc>
        <w:tc>
          <w:tcPr>
            <w:tcW w:w="5953" w:type="dxa"/>
          </w:tcPr>
          <w:p w14:paraId="75401B24" w14:textId="1D692A8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14"/>
            </w:r>
            <w:r>
              <w:t xml:space="preserve">. Paper imports restricted to only deinked paper, kraft paper, corrugated paper or cardboard that is not bleached. Import of waste newspapers and magazines </w:t>
            </w:r>
            <w:r w:rsidRPr="0020021B">
              <w:t>banned</w:t>
            </w:r>
            <w:r>
              <w:t>.</w:t>
            </w:r>
          </w:p>
        </w:tc>
        <w:tc>
          <w:tcPr>
            <w:tcW w:w="1843" w:type="dxa"/>
          </w:tcPr>
          <w:p w14:paraId="5BBBA143"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Aug-18</w:t>
            </w:r>
          </w:p>
          <w:p w14:paraId="375E3734" w14:textId="2CAE20EB"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 Oct-18</w:t>
            </w:r>
          </w:p>
        </w:tc>
        <w:tc>
          <w:tcPr>
            <w:tcW w:w="850" w:type="dxa"/>
          </w:tcPr>
          <w:p w14:paraId="34789AEF" w14:textId="14D21053"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w:t>
            </w:r>
          </w:p>
        </w:tc>
        <w:tc>
          <w:tcPr>
            <w:tcW w:w="1560" w:type="dxa"/>
          </w:tcPr>
          <w:p w14:paraId="11DCA2E3" w14:textId="21930ED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14,100 (500/</w:t>
            </w:r>
            <w:r w:rsidR="00222291">
              <w:t>month</w:t>
            </w:r>
            <w:r>
              <w:t>)</w:t>
            </w:r>
          </w:p>
        </w:tc>
        <w:tc>
          <w:tcPr>
            <w:tcW w:w="850" w:type="dxa"/>
          </w:tcPr>
          <w:p w14:paraId="58618CB2" w14:textId="6C353925" w:rsidR="00122C59" w:rsidDel="00825E99"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1,800</w:t>
            </w:r>
          </w:p>
        </w:tc>
        <w:tc>
          <w:tcPr>
            <w:tcW w:w="2268" w:type="dxa"/>
          </w:tcPr>
          <w:p w14:paraId="315F6547"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r>
      <w:tr w:rsidR="00122C59" w14:paraId="721D32D7" w14:textId="77777777" w:rsidTr="000861E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513CC2B" w14:textId="7C7125F4" w:rsidR="00122C59" w:rsidRDefault="00122C59" w:rsidP="000861EA">
            <w:pPr>
              <w:pStyle w:val="BodyText"/>
              <w:spacing w:before="40" w:after="40"/>
            </w:pPr>
            <w:r>
              <w:t>Thailand</w:t>
            </w:r>
          </w:p>
        </w:tc>
        <w:tc>
          <w:tcPr>
            <w:tcW w:w="5953" w:type="dxa"/>
          </w:tcPr>
          <w:p w14:paraId="038C43A6" w14:textId="273854B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15"/>
            </w:r>
            <w:r>
              <w:rPr>
                <w:vertAlign w:val="superscript"/>
              </w:rPr>
              <w:t>,</w:t>
            </w:r>
            <w:r>
              <w:rPr>
                <w:rStyle w:val="FootnoteReference"/>
              </w:rPr>
              <w:footnoteReference w:id="16"/>
            </w:r>
            <w:r>
              <w:rPr>
                <w:vertAlign w:val="superscript"/>
              </w:rPr>
              <w:t>,</w:t>
            </w:r>
            <w:r>
              <w:rPr>
                <w:rStyle w:val="FootnoteReference"/>
              </w:rPr>
              <w:footnoteReference w:id="17"/>
            </w:r>
            <w:r>
              <w:t>. Looking to ban e</w:t>
            </w:r>
            <w:r>
              <w:noBreakHyphen/>
              <w:t xml:space="preserve">waste </w:t>
            </w:r>
            <w:r w:rsidR="00222291">
              <w:t xml:space="preserve">imports </w:t>
            </w:r>
            <w:r>
              <w:t>within 2 yrs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4E4C1B">
              <w:rPr>
                <w:vertAlign w:val="superscript"/>
              </w:rPr>
              <w:t>10</w:t>
            </w:r>
            <w:r w:rsidRPr="00105F0F">
              <w:rPr>
                <w:vertAlign w:val="superscript"/>
              </w:rPr>
              <w:fldChar w:fldCharType="end"/>
            </w:r>
            <w:r>
              <w:t>.</w:t>
            </w:r>
            <w:r w:rsidR="00810C2E">
              <w:t xml:space="preserve"> </w:t>
            </w:r>
          </w:p>
        </w:tc>
        <w:tc>
          <w:tcPr>
            <w:tcW w:w="1843" w:type="dxa"/>
          </w:tcPr>
          <w:p w14:paraId="370BE95C" w14:textId="503B9650"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Both ann. Aug-18, plastic imp. Aug-18, e-waste within 2 years.</w:t>
            </w:r>
          </w:p>
        </w:tc>
        <w:tc>
          <w:tcPr>
            <w:tcW w:w="850" w:type="dxa"/>
          </w:tcPr>
          <w:p w14:paraId="5F042EC9" w14:textId="2FAF1378"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60" w:type="dxa"/>
          </w:tcPr>
          <w:p w14:paraId="3E83AFFC" w14:textId="2E4C68B2"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750BDD">
              <w:t>26,900</w:t>
            </w:r>
            <w:r>
              <w:t xml:space="preserve"> (</w:t>
            </w:r>
            <w:r w:rsidRPr="00750BDD">
              <w:t>2,200</w:t>
            </w:r>
            <w:r>
              <w:t>/</w:t>
            </w:r>
            <w:r w:rsidR="00222291">
              <w:t>month</w:t>
            </w:r>
            <w:r>
              <w:t>)</w:t>
            </w:r>
          </w:p>
        </w:tc>
        <w:tc>
          <w:tcPr>
            <w:tcW w:w="850" w:type="dxa"/>
          </w:tcPr>
          <w:p w14:paraId="5D031DA7" w14:textId="79AAA860" w:rsidR="00122C59" w:rsidRPr="00B224F5"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1,300</w:t>
            </w:r>
          </w:p>
        </w:tc>
        <w:tc>
          <w:tcPr>
            <w:tcW w:w="2268" w:type="dxa"/>
          </w:tcPr>
          <w:p w14:paraId="102838F1" w14:textId="0054D2AD"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Apparent impact evident. Government announcement available in Thai only.</w:t>
            </w:r>
          </w:p>
        </w:tc>
      </w:tr>
      <w:tr w:rsidR="00122C59" w14:paraId="064043B9" w14:textId="77777777" w:rsidTr="000861EA">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left w:w="57" w:type="dxa"/>
              <w:right w:w="57" w:type="dxa"/>
            </w:tcMar>
            <w:vAlign w:val="top"/>
          </w:tcPr>
          <w:p w14:paraId="619628D7" w14:textId="7D248F70" w:rsidR="00122C59" w:rsidRPr="00B224F5" w:rsidRDefault="00122C59" w:rsidP="000861EA">
            <w:pPr>
              <w:pStyle w:val="BodyText"/>
              <w:spacing w:before="40" w:after="40"/>
            </w:pPr>
            <w:r w:rsidRPr="00B224F5">
              <w:t>Vietnam</w:t>
            </w:r>
          </w:p>
        </w:tc>
        <w:tc>
          <w:tcPr>
            <w:tcW w:w="5953" w:type="dxa"/>
            <w:shd w:val="clear" w:color="auto" w:fill="auto"/>
          </w:tcPr>
          <w:p w14:paraId="662C08F9" w14:textId="2447FFC0" w:rsidR="00122C59" w:rsidRPr="003827FC"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18"/>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4E4C1B">
              <w:rPr>
                <w:vertAlign w:val="superscript"/>
              </w:rPr>
              <w:t>10</w:t>
            </w:r>
            <w:r w:rsidRPr="0020021B">
              <w:rPr>
                <w:vertAlign w:val="superscript"/>
              </w:rPr>
              <w:fldChar w:fldCharType="end"/>
            </w:r>
            <w:r>
              <w:t xml:space="preserve">. </w:t>
            </w:r>
            <w:r w:rsidR="004646A2">
              <w:t>Plastic scrap imports to be banned by 2025</w:t>
            </w:r>
            <w:r w:rsidR="004646A2">
              <w:rPr>
                <w:rStyle w:val="FootnoteReference"/>
              </w:rPr>
              <w:footnoteReference w:id="19"/>
            </w:r>
            <w:r w:rsidR="004646A2">
              <w:t>.</w:t>
            </w:r>
          </w:p>
          <w:p w14:paraId="32278933" w14:textId="5B7C0385"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w:t>
            </w:r>
            <w:r w:rsidR="001D40D7">
              <w:t>(e.g.</w:t>
            </w:r>
            <w:r w:rsidRPr="00B224F5">
              <w:t xml:space="preserve"> cases of TVs</w:t>
            </w:r>
            <w:r w:rsidR="001D40D7">
              <w:t xml:space="preserve"> and</w:t>
            </w:r>
            <w:r w:rsidRPr="00B224F5">
              <w:t xml:space="preserve"> computers</w:t>
            </w:r>
            <w:r w:rsidR="001D40D7">
              <w:t>)</w:t>
            </w:r>
            <w:r w:rsidRPr="00B224F5">
              <w:t xml:space="preserve"> would be </w:t>
            </w:r>
            <w:r>
              <w:t>forbidden</w:t>
            </w:r>
            <w:r>
              <w:rPr>
                <w:rStyle w:val="FootnoteReference"/>
              </w:rPr>
              <w:footnoteReference w:id="20"/>
            </w:r>
            <w:r w:rsidRPr="00B224F5">
              <w:t>.</w:t>
            </w:r>
          </w:p>
          <w:p w14:paraId="683AAEB6" w14:textId="1E9F882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Pr>
                <w:rStyle w:val="FootnoteReference"/>
              </w:rPr>
              <w:footnoteReference w:id="21"/>
            </w:r>
            <w:r>
              <w:t>.</w:t>
            </w:r>
          </w:p>
          <w:p w14:paraId="58A9A362" w14:textId="68C28E11" w:rsidR="00122C59" w:rsidRPr="00DD7C6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Pr>
                <w:rStyle w:val="FootnoteReference"/>
              </w:rPr>
              <w:footnoteReference w:id="22"/>
            </w:r>
            <w:r>
              <w:t>.</w:t>
            </w:r>
          </w:p>
        </w:tc>
        <w:tc>
          <w:tcPr>
            <w:tcW w:w="1843" w:type="dxa"/>
            <w:shd w:val="clear" w:color="auto" w:fill="auto"/>
          </w:tcPr>
          <w:p w14:paraId="103B4B55"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7EEDDA4A" w14:textId="305F5BE6"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850" w:type="dxa"/>
            <w:shd w:val="clear" w:color="auto" w:fill="auto"/>
          </w:tcPr>
          <w:p w14:paraId="05DC341C" w14:textId="2493FDCE"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560" w:type="dxa"/>
            <w:shd w:val="clear" w:color="auto" w:fill="auto"/>
          </w:tcPr>
          <w:p w14:paraId="6BC7C6F3" w14:textId="2C6E32DA"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603,000 (50,300</w:t>
            </w:r>
            <w:r>
              <w:t>/</w:t>
            </w:r>
            <w:r w:rsidR="00222291">
              <w:t>month</w:t>
            </w:r>
            <w:r w:rsidRPr="00B224F5">
              <w:t>)</w:t>
            </w:r>
          </w:p>
        </w:tc>
        <w:tc>
          <w:tcPr>
            <w:tcW w:w="850" w:type="dxa"/>
            <w:shd w:val="clear" w:color="auto" w:fill="auto"/>
          </w:tcPr>
          <w:p w14:paraId="6A283BA1" w14:textId="230A76B1" w:rsidR="00122C59" w:rsidRPr="000314C2"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7,300</w:t>
            </w:r>
          </w:p>
        </w:tc>
        <w:tc>
          <w:tcPr>
            <w:tcW w:w="2268" w:type="dxa"/>
            <w:shd w:val="clear" w:color="auto" w:fill="auto"/>
          </w:tcPr>
          <w:p w14:paraId="641D4983" w14:textId="1C19B26A"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Apparent impact evident for plastic exports from Australia. </w:t>
            </w:r>
            <w:r w:rsidRPr="00B224F5">
              <w:t xml:space="preserve"> </w:t>
            </w:r>
          </w:p>
          <w:p w14:paraId="0BBA544A" w14:textId="06C2394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tbl>
    <w:p w14:paraId="60CA50B2" w14:textId="58B0F14B" w:rsidR="00B81C50" w:rsidRDefault="00B81C50" w:rsidP="00222291">
      <w:pPr>
        <w:rPr>
          <w:iCs/>
          <w:color w:val="4D4DB8" w:themeColor="accent1"/>
          <w:sz w:val="18"/>
          <w:szCs w:val="18"/>
        </w:rPr>
      </w:pPr>
    </w:p>
    <w:sectPr w:rsidR="00B81C50" w:rsidSect="00482EF7">
      <w:pgSz w:w="16838" w:h="11906" w:orient="landscape" w:code="9"/>
      <w:pgMar w:top="1134" w:right="1440"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5C82" w14:textId="77777777" w:rsidR="009C2E6B" w:rsidRDefault="009C2E6B" w:rsidP="00547C1A">
      <w:r>
        <w:separator/>
      </w:r>
    </w:p>
  </w:endnote>
  <w:endnote w:type="continuationSeparator" w:id="0">
    <w:p w14:paraId="59CB6D74" w14:textId="77777777" w:rsidR="009C2E6B" w:rsidRDefault="009C2E6B"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70FA9" w14:textId="77777777" w:rsidR="00FE273E" w:rsidRDefault="00FE2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DB6872" w:rsidRPr="00A71209" w:rsidRDefault="00DB6872">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FE273E">
          <w:rPr>
            <w:rFonts w:asciiTheme="minorHAnsi" w:hAnsiTheme="minorHAnsi" w:cstheme="minorHAnsi"/>
            <w:noProof/>
            <w:sz w:val="18"/>
          </w:rPr>
          <w:t>2</w:t>
        </w:r>
        <w:r w:rsidRPr="00A71209">
          <w:rPr>
            <w:rFonts w:asciiTheme="minorHAnsi" w:hAnsiTheme="minorHAnsi" w:cstheme="minorHAnsi"/>
            <w:noProof/>
            <w:sz w:val="18"/>
          </w:rPr>
          <w:fldChar w:fldCharType="end"/>
        </w:r>
      </w:p>
    </w:sdtContent>
  </w:sdt>
  <w:p w14:paraId="7444963F" w14:textId="1C80880B" w:rsidR="00DB6872" w:rsidRPr="00305B22" w:rsidRDefault="00DB6872" w:rsidP="00305B22">
    <w:pPr>
      <w:pStyle w:val="Footer"/>
      <w:pBdr>
        <w:top w:val="none" w:sz="0" w:space="0" w:color="auto"/>
      </w:pBdr>
      <w:rPr>
        <w:rStyle w:val="PageNumber"/>
        <w:rFonts w:ascii="Arial" w:hAnsi="Arial"/>
        <w:b w:val="0"/>
        <w:color w:val="7F7F7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D799" w14:textId="77777777" w:rsidR="00FE273E" w:rsidRDefault="00FE2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9C9F" w14:textId="77777777" w:rsidR="009C2E6B" w:rsidRPr="00477147" w:rsidRDefault="009C2E6B" w:rsidP="00547C1A">
      <w:pPr>
        <w:rPr>
          <w:color w:val="4D4DB8" w:themeColor="accent1"/>
        </w:rPr>
      </w:pPr>
      <w:bookmarkStart w:id="0" w:name="_Hlk487465832"/>
      <w:bookmarkEnd w:id="0"/>
      <w:r w:rsidRPr="00477147">
        <w:rPr>
          <w:color w:val="4D4DB8" w:themeColor="accent1"/>
        </w:rPr>
        <w:separator/>
      </w:r>
    </w:p>
  </w:footnote>
  <w:footnote w:type="continuationSeparator" w:id="0">
    <w:p w14:paraId="2B721746" w14:textId="77777777" w:rsidR="009C2E6B" w:rsidRDefault="009C2E6B" w:rsidP="00547C1A">
      <w:r>
        <w:continuationSeparator/>
      </w:r>
    </w:p>
  </w:footnote>
  <w:footnote w:id="1">
    <w:p w14:paraId="336DCC26" w14:textId="1EF4F3C7" w:rsidR="00DB6872" w:rsidRDefault="00DB6872" w:rsidP="001D40D7">
      <w:pPr>
        <w:pStyle w:val="FootnoteText"/>
        <w:spacing w:after="0"/>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2">
    <w:p w14:paraId="43164700" w14:textId="4CD6F003" w:rsidR="00DB6872" w:rsidRPr="00105F0F" w:rsidRDefault="00DB6872" w:rsidP="001D40D7">
      <w:pPr>
        <w:pStyle w:val="FootnoteText"/>
        <w:spacing w:after="0"/>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3">
    <w:p w14:paraId="2A832991" w14:textId="2B8EDA42" w:rsidR="00DB6872" w:rsidRDefault="00DB6872" w:rsidP="001D40D7">
      <w:pPr>
        <w:pStyle w:val="FootnoteText"/>
        <w:spacing w:after="0"/>
      </w:pPr>
      <w:r>
        <w:rPr>
          <w:rStyle w:val="FootnoteReference"/>
        </w:rPr>
        <w:footnoteRef/>
      </w:r>
      <w:r>
        <w:t xml:space="preserve"> </w:t>
      </w:r>
      <w:r w:rsidRPr="00E50A59">
        <w:rPr>
          <w:iCs/>
        </w:rPr>
        <w:t>Reuters, 28/12/18,</w:t>
      </w:r>
      <w:r w:rsidRPr="00105F0F">
        <w:rPr>
          <w:i/>
          <w:iCs/>
        </w:rPr>
        <w:t xml:space="preserve"> </w:t>
      </w:r>
      <w:hyperlink r:id="rId2" w:history="1">
        <w:r w:rsidRPr="005A5B49">
          <w:rPr>
            <w:rStyle w:val="Hyperlink"/>
            <w:sz w:val="18"/>
          </w:rPr>
          <w:t>China to restrict imports of scrap steel, aluminium from July</w:t>
        </w:r>
      </w:hyperlink>
    </w:p>
  </w:footnote>
  <w:footnote w:id="4">
    <w:p w14:paraId="77751AB0" w14:textId="3CDC08C0" w:rsidR="00DB6872" w:rsidRDefault="00DB6872" w:rsidP="001D40D7">
      <w:pPr>
        <w:pStyle w:val="FootnoteText"/>
        <w:spacing w:after="0"/>
      </w:pPr>
      <w:r>
        <w:rPr>
          <w:rStyle w:val="FootnoteReference"/>
        </w:rPr>
        <w:footnoteRef/>
      </w:r>
      <w:r>
        <w:t xml:space="preserve"> Business Today, (24 June 2019) </w:t>
      </w:r>
      <w:hyperlink r:id="rId3" w:history="1">
        <w:r w:rsidRPr="000D09E3">
          <w:rPr>
            <w:rStyle w:val="Hyperlink"/>
            <w:sz w:val="18"/>
          </w:rPr>
          <w:t>India bans import of plastic waste from August this year to curb pollution</w:t>
        </w:r>
      </w:hyperlink>
    </w:p>
  </w:footnote>
  <w:footnote w:id="5">
    <w:p w14:paraId="2A58D2E7" w14:textId="190BC1DC" w:rsidR="00DB6872" w:rsidRDefault="00DB6872" w:rsidP="001D40D7">
      <w:pPr>
        <w:pStyle w:val="FootnoteText"/>
        <w:spacing w:after="0"/>
      </w:pPr>
      <w:r>
        <w:rPr>
          <w:rStyle w:val="FootnoteReference"/>
        </w:rPr>
        <w:footnoteRef/>
      </w:r>
      <w:r>
        <w:t xml:space="preserve"> </w:t>
      </w:r>
      <w:r w:rsidRPr="00E50A59">
        <w:rPr>
          <w:iCs/>
        </w:rPr>
        <w:t>Ministry of Environment, Forest and Climate Change (2019)</w:t>
      </w:r>
      <w:r>
        <w:rPr>
          <w:i/>
          <w:iCs/>
        </w:rPr>
        <w:t xml:space="preserve"> </w:t>
      </w:r>
      <w:hyperlink r:id="rId4" w:history="1">
        <w:r w:rsidRPr="005A5B49">
          <w:rPr>
            <w:rStyle w:val="Hyperlink"/>
            <w:sz w:val="18"/>
          </w:rPr>
          <w:t>Amendment in Hazardous Waste (Management &amp; Transboundary Movement Rules, 2016)</w:t>
        </w:r>
      </w:hyperlink>
    </w:p>
  </w:footnote>
  <w:footnote w:id="6">
    <w:p w14:paraId="1533C314" w14:textId="77777777" w:rsidR="000F5668" w:rsidRDefault="000F5668" w:rsidP="000F5668">
      <w:pPr>
        <w:pStyle w:val="FootnoteText"/>
        <w:spacing w:after="0"/>
      </w:pPr>
      <w:r>
        <w:rPr>
          <w:rStyle w:val="FootnoteReference"/>
        </w:rPr>
        <w:footnoteRef/>
      </w:r>
      <w:r>
        <w:t xml:space="preserve"> Sydney Morning Herald, 9/7/19, </w:t>
      </w:r>
      <w:hyperlink r:id="rId5" w:history="1">
        <w:r w:rsidRPr="00121B6C">
          <w:rPr>
            <w:rStyle w:val="Hyperlink"/>
            <w:sz w:val="18"/>
          </w:rPr>
          <w:t>Eight more containers of 'toxic' rubbish to be sent back to Australia</w:t>
        </w:r>
      </w:hyperlink>
    </w:p>
  </w:footnote>
  <w:footnote w:id="7">
    <w:p w14:paraId="0741771E" w14:textId="4C777638" w:rsidR="00DB6872" w:rsidRDefault="00DB6872" w:rsidP="001D40D7">
      <w:pPr>
        <w:pStyle w:val="FootnoteText"/>
        <w:spacing w:after="0"/>
      </w:pPr>
      <w:r>
        <w:rPr>
          <w:rStyle w:val="FootnoteReference"/>
        </w:rPr>
        <w:footnoteRef/>
      </w:r>
      <w:r>
        <w:t xml:space="preserve"> Waste Management Review (2019) </w:t>
      </w:r>
      <w:hyperlink r:id="rId6" w:history="1">
        <w:r w:rsidRPr="00A7645B">
          <w:rPr>
            <w:rStyle w:val="Hyperlink"/>
            <w:sz w:val="18"/>
          </w:rPr>
          <w:t>Indonesia announces 100 per cent paper inspection rate</w:t>
        </w:r>
      </w:hyperlink>
    </w:p>
  </w:footnote>
  <w:footnote w:id="8">
    <w:p w14:paraId="6E786F12" w14:textId="490B527D" w:rsidR="00DB6872" w:rsidRDefault="00DB6872" w:rsidP="001D40D7">
      <w:pPr>
        <w:pStyle w:val="FootnoteText"/>
        <w:spacing w:after="0"/>
      </w:pPr>
      <w:r>
        <w:rPr>
          <w:rStyle w:val="FootnoteReference"/>
        </w:rPr>
        <w:footnoteRef/>
      </w:r>
      <w:r>
        <w:t xml:space="preserve"> VOA news (2019) </w:t>
      </w:r>
      <w:hyperlink r:id="rId7" w:history="1">
        <w:r w:rsidRPr="00CA1E1A">
          <w:rPr>
            <w:rStyle w:val="Hyperlink"/>
            <w:sz w:val="18"/>
          </w:rPr>
          <w:t>Indonesia vows to send back illegal plastic waste</w:t>
        </w:r>
      </w:hyperlink>
      <w:r>
        <w:t xml:space="preserve"> </w:t>
      </w:r>
    </w:p>
  </w:footnote>
  <w:footnote w:id="9">
    <w:p w14:paraId="5B32C77E" w14:textId="73546028" w:rsidR="00DB6872" w:rsidRDefault="00DB6872" w:rsidP="001D40D7">
      <w:pPr>
        <w:pStyle w:val="FootnoteText"/>
        <w:spacing w:after="0"/>
      </w:pPr>
      <w:r>
        <w:rPr>
          <w:rStyle w:val="FootnoteReference"/>
        </w:rPr>
        <w:footnoteRef/>
      </w:r>
      <w:r>
        <w:t xml:space="preserve"> </w:t>
      </w:r>
      <w:r w:rsidRPr="00E50A59">
        <w:rPr>
          <w:iCs/>
        </w:rPr>
        <w:t>FMT News (2018)</w:t>
      </w:r>
      <w:r w:rsidRPr="00191D6A">
        <w:t xml:space="preserve"> </w:t>
      </w:r>
      <w:hyperlink r:id="rId8" w:history="1">
        <w:r w:rsidRPr="005A5B49">
          <w:rPr>
            <w:rStyle w:val="Hyperlink"/>
            <w:sz w:val="18"/>
          </w:rPr>
          <w:t>Permits to import plastic waste for 114 factories revoked</w:t>
        </w:r>
      </w:hyperlink>
    </w:p>
  </w:footnote>
  <w:footnote w:id="10">
    <w:p w14:paraId="3E96BC85" w14:textId="45AB5BCD" w:rsidR="00DB6872" w:rsidRDefault="00DB6872" w:rsidP="001D40D7">
      <w:pPr>
        <w:pStyle w:val="FootnoteText"/>
        <w:spacing w:after="0"/>
      </w:pPr>
      <w:r>
        <w:rPr>
          <w:rStyle w:val="FootnoteReference"/>
        </w:rPr>
        <w:footnoteRef/>
      </w:r>
      <w:r>
        <w:t xml:space="preserve"> </w:t>
      </w:r>
      <w:r w:rsidRPr="00E50A59">
        <w:rPr>
          <w:iCs/>
        </w:rPr>
        <w:t xml:space="preserve">Waste Management Review (2018) </w:t>
      </w:r>
      <w:hyperlink r:id="rId9" w:history="1">
        <w:r w:rsidRPr="00105F0F">
          <w:rPr>
            <w:rStyle w:val="Hyperlink"/>
            <w:iCs/>
            <w:sz w:val="18"/>
          </w:rPr>
          <w:t>Malaysia, Thailand and Vietnam waste import</w:t>
        </w:r>
        <w:r>
          <w:rPr>
            <w:rStyle w:val="Hyperlink"/>
            <w:iCs/>
            <w:sz w:val="18"/>
          </w:rPr>
          <w:t>s crackdown</w:t>
        </w:r>
      </w:hyperlink>
    </w:p>
  </w:footnote>
  <w:footnote w:id="11">
    <w:p w14:paraId="15E4B404" w14:textId="431B17E3" w:rsidR="00DB6872" w:rsidRPr="00105F0F" w:rsidRDefault="00DB6872" w:rsidP="001D40D7">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10" w:history="1">
        <w:r w:rsidRPr="0020021B">
          <w:rPr>
            <w:rStyle w:val="Hyperlink"/>
            <w:i/>
            <w:sz w:val="18"/>
          </w:rPr>
          <w:t>Govt to ban import of all non-recyclable waste</w:t>
        </w:r>
      </w:hyperlink>
      <w:r w:rsidRPr="002D5CF7">
        <w:rPr>
          <w:i w:val="0"/>
          <w:sz w:val="18"/>
        </w:rPr>
        <w:t xml:space="preserve"> </w:t>
      </w:r>
    </w:p>
  </w:footnote>
  <w:footnote w:id="12">
    <w:p w14:paraId="00D97AB9" w14:textId="40E589AF" w:rsidR="00DB6872" w:rsidRDefault="00DB6872" w:rsidP="001D40D7">
      <w:pPr>
        <w:pStyle w:val="FootnoteText"/>
        <w:spacing w:after="0"/>
      </w:pPr>
      <w:r>
        <w:rPr>
          <w:rStyle w:val="FootnoteReference"/>
        </w:rPr>
        <w:footnoteRef/>
      </w:r>
      <w:r>
        <w:t xml:space="preserve"> </w:t>
      </w:r>
      <w:r w:rsidRPr="00CA1E1A">
        <w:rPr>
          <w:iCs/>
        </w:rPr>
        <w:t>The Australian (2019)</w:t>
      </w:r>
      <w:r w:rsidRPr="00CA1E1A">
        <w:rPr>
          <w:i/>
        </w:rPr>
        <w:t xml:space="preserve"> </w:t>
      </w:r>
      <w:hyperlink r:id="rId11" w:history="1">
        <w:r w:rsidRPr="00CA1E1A">
          <w:rPr>
            <w:rStyle w:val="Hyperlink"/>
            <w:sz w:val="18"/>
          </w:rPr>
          <w:t>Australia would vet any waste returns, says Ley</w:t>
        </w:r>
      </w:hyperlink>
      <w:r>
        <w:t xml:space="preserve"> </w:t>
      </w:r>
    </w:p>
  </w:footnote>
  <w:footnote w:id="13">
    <w:p w14:paraId="11E1C6DF" w14:textId="20990DF6" w:rsidR="00DB6872" w:rsidRDefault="00DB6872" w:rsidP="001D40D7">
      <w:pPr>
        <w:pStyle w:val="FootnoteText"/>
        <w:spacing w:after="0"/>
      </w:pPr>
      <w:r>
        <w:rPr>
          <w:rStyle w:val="FootnoteReference"/>
        </w:rPr>
        <w:footnoteRef/>
      </w:r>
      <w:r>
        <w:t xml:space="preserve"> Malaymail (2019) </w:t>
      </w:r>
      <w:hyperlink r:id="rId12" w:history="1">
        <w:r w:rsidRPr="00CA1E1A">
          <w:rPr>
            <w:rStyle w:val="Hyperlink"/>
            <w:sz w:val="18"/>
          </w:rPr>
          <w:t>Yeo Bee Yin moots RM1,500 charge per shipping container to cut illegal imported plastic waste</w:t>
        </w:r>
      </w:hyperlink>
      <w:r>
        <w:t xml:space="preserve"> </w:t>
      </w:r>
    </w:p>
  </w:footnote>
  <w:footnote w:id="14">
    <w:p w14:paraId="5CB950B6" w14:textId="4A89A90A" w:rsidR="00DB6872" w:rsidRPr="00105F0F" w:rsidRDefault="00DB6872" w:rsidP="001D40D7">
      <w:pPr>
        <w:pStyle w:val="FootnoteText"/>
        <w:spacing w:after="0"/>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3" w:history="1">
        <w:r w:rsidRPr="0020021B">
          <w:rPr>
            <w:rStyle w:val="Hyperlink"/>
            <w:sz w:val="18"/>
          </w:rPr>
          <w:t>New waste plastic, paper import rules to take effect</w:t>
        </w:r>
      </w:hyperlink>
    </w:p>
  </w:footnote>
  <w:footnote w:id="15">
    <w:p w14:paraId="473A266F" w14:textId="7909EFCD" w:rsidR="00DB6872" w:rsidRDefault="00DB6872" w:rsidP="001D40D7">
      <w:pPr>
        <w:pStyle w:val="FootnoteText"/>
        <w:spacing w:after="0"/>
      </w:pPr>
      <w:r>
        <w:rPr>
          <w:rStyle w:val="FootnoteReference"/>
        </w:rPr>
        <w:footnoteRef/>
      </w:r>
      <w:r>
        <w:t xml:space="preserve"> </w:t>
      </w:r>
      <w:r w:rsidRPr="00191D6A">
        <w:rPr>
          <w:i/>
        </w:rPr>
        <w:t xml:space="preserve">The Nation (2018) </w:t>
      </w:r>
      <w:hyperlink r:id="rId14" w:history="1">
        <w:r w:rsidRPr="00105F0F">
          <w:rPr>
            <w:rStyle w:val="Hyperlink"/>
            <w:sz w:val="18"/>
          </w:rPr>
          <w:t>Import of plastic waste banned</w:t>
        </w:r>
      </w:hyperlink>
      <w:r w:rsidRPr="00191D6A">
        <w:rPr>
          <w:i/>
        </w:rPr>
        <w:t xml:space="preserve"> </w:t>
      </w:r>
    </w:p>
  </w:footnote>
  <w:footnote w:id="16">
    <w:p w14:paraId="74B09F76" w14:textId="6FC28D34" w:rsidR="00DB6872" w:rsidRPr="00105F0F" w:rsidRDefault="00DB6872" w:rsidP="001D40D7">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15" w:history="1">
        <w:r w:rsidRPr="0020021B">
          <w:rPr>
            <w:rStyle w:val="Hyperlink"/>
            <w:i/>
            <w:sz w:val="18"/>
          </w:rPr>
          <w:t>Thailand set to ban plastic waste imports by 2021</w:t>
        </w:r>
      </w:hyperlink>
      <w:r>
        <w:rPr>
          <w:i w:val="0"/>
          <w:sz w:val="18"/>
        </w:rPr>
        <w:t xml:space="preserve"> </w:t>
      </w:r>
    </w:p>
  </w:footnote>
  <w:footnote w:id="17">
    <w:p w14:paraId="4D48DB8A" w14:textId="0EDD49DE" w:rsidR="00DB6872" w:rsidRDefault="00DB6872" w:rsidP="001D40D7">
      <w:pPr>
        <w:pStyle w:val="FootnoteText"/>
        <w:spacing w:after="0"/>
      </w:pPr>
      <w:r>
        <w:rPr>
          <w:rStyle w:val="FootnoteReference"/>
        </w:rPr>
        <w:footnoteRef/>
      </w:r>
      <w:r>
        <w:t xml:space="preserve"> </w:t>
      </w:r>
      <w:hyperlink r:id="rId16" w:history="1">
        <w:r w:rsidRPr="00105F0F">
          <w:rPr>
            <w:rStyle w:val="Hyperlink"/>
            <w:sz w:val="18"/>
          </w:rPr>
          <w:t>Government Gazette Thailand</w:t>
        </w:r>
      </w:hyperlink>
      <w:r w:rsidRPr="00191D6A">
        <w:t xml:space="preserve"> (2018) </w:t>
      </w:r>
    </w:p>
  </w:footnote>
  <w:footnote w:id="18">
    <w:p w14:paraId="3336C0AB" w14:textId="77777777" w:rsidR="00DB6872" w:rsidRDefault="00DB6872" w:rsidP="001D40D7">
      <w:pPr>
        <w:pStyle w:val="FootnoteText"/>
        <w:spacing w:after="0"/>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17" w:history="1">
        <w:r w:rsidRPr="00105F0F">
          <w:rPr>
            <w:rStyle w:val="Hyperlink"/>
            <w:iCs/>
            <w:sz w:val="18"/>
          </w:rPr>
          <w:t>Vietnam to Restrict Surging Scrap Imports</w:t>
        </w:r>
      </w:hyperlink>
      <w:r w:rsidRPr="00191D6A">
        <w:t xml:space="preserve"> </w:t>
      </w:r>
    </w:p>
  </w:footnote>
  <w:footnote w:id="19">
    <w:p w14:paraId="4DA4E9F7" w14:textId="5458838D" w:rsidR="00DB6872" w:rsidRDefault="00DB6872" w:rsidP="001D40D7">
      <w:pPr>
        <w:pStyle w:val="FootnoteText"/>
        <w:spacing w:after="0"/>
      </w:pPr>
      <w:r>
        <w:rPr>
          <w:rStyle w:val="FootnoteReference"/>
        </w:rPr>
        <w:footnoteRef/>
      </w:r>
      <w:r>
        <w:t xml:space="preserve"> VN Express International (2019) </w:t>
      </w:r>
      <w:r w:rsidRPr="005904C7">
        <w:rPr>
          <w:i/>
        </w:rPr>
        <w:t>Vietnam to end plastic scrap imports from 2025</w:t>
      </w:r>
    </w:p>
  </w:footnote>
  <w:footnote w:id="20">
    <w:p w14:paraId="2369F076" w14:textId="6233A581" w:rsidR="00DB6872" w:rsidRDefault="00DB6872" w:rsidP="001D40D7">
      <w:pPr>
        <w:pStyle w:val="FootnoteText"/>
        <w:spacing w:after="0"/>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8" w:history="1">
        <w:r w:rsidRPr="00105F0F">
          <w:rPr>
            <w:rStyle w:val="Hyperlink"/>
            <w:iCs/>
            <w:sz w:val="18"/>
          </w:rPr>
          <w:t>Vietnam to ban imports of plastic from used electronics</w:t>
        </w:r>
      </w:hyperlink>
      <w:r w:rsidRPr="003827FC">
        <w:rPr>
          <w:color w:val="4D4DB8" w:themeColor="accent1"/>
        </w:rPr>
        <w:t xml:space="preserve"> </w:t>
      </w:r>
    </w:p>
  </w:footnote>
  <w:footnote w:id="21">
    <w:p w14:paraId="6937B69B" w14:textId="7644FA6A" w:rsidR="00DB6872" w:rsidRPr="00105F0F" w:rsidRDefault="00DB6872" w:rsidP="001D40D7">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19"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22">
    <w:p w14:paraId="6AA8D419" w14:textId="5929A70C" w:rsidR="00DB6872" w:rsidRPr="00105F0F" w:rsidRDefault="00DB6872" w:rsidP="00105F0F">
      <w:pPr>
        <w:pStyle w:val="FootnoteText"/>
        <w:spacing w:after="0"/>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20"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BA15" w14:textId="77777777" w:rsidR="00FE273E" w:rsidRDefault="00FE2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77777777" w:rsidR="00DB6872" w:rsidRDefault="00DB6872" w:rsidP="00F255F5">
    <w:pPr>
      <w:pStyle w:val="Header"/>
      <w:jc w:val="right"/>
    </w:pPr>
    <w:r>
      <w:rPr>
        <w:noProof/>
        <w:lang w:eastAsia="en-AU"/>
      </w:rPr>
      <w:drawing>
        <wp:inline distT="0" distB="0" distL="0" distR="0" wp14:anchorId="501D369F" wp14:editId="0BC5527F">
          <wp:extent cx="1692000" cy="291600"/>
          <wp:effectExtent l="0" t="0" r="3810" b="0"/>
          <wp:docPr id="8" name="Picture 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9FC0" w14:textId="77777777" w:rsidR="00FE273E" w:rsidRDefault="00FE2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107D9"/>
    <w:rsid w:val="00013771"/>
    <w:rsid w:val="00014326"/>
    <w:rsid w:val="00014661"/>
    <w:rsid w:val="00014D20"/>
    <w:rsid w:val="00015680"/>
    <w:rsid w:val="00016958"/>
    <w:rsid w:val="00017CE2"/>
    <w:rsid w:val="000200AA"/>
    <w:rsid w:val="00027BF6"/>
    <w:rsid w:val="000314C2"/>
    <w:rsid w:val="00031E18"/>
    <w:rsid w:val="00034E04"/>
    <w:rsid w:val="00034E49"/>
    <w:rsid w:val="00043891"/>
    <w:rsid w:val="00043904"/>
    <w:rsid w:val="00050375"/>
    <w:rsid w:val="00050D40"/>
    <w:rsid w:val="00051315"/>
    <w:rsid w:val="000522BD"/>
    <w:rsid w:val="0006188C"/>
    <w:rsid w:val="0006462D"/>
    <w:rsid w:val="000649A6"/>
    <w:rsid w:val="000652A8"/>
    <w:rsid w:val="00065F58"/>
    <w:rsid w:val="00066339"/>
    <w:rsid w:val="000774B8"/>
    <w:rsid w:val="00081A6E"/>
    <w:rsid w:val="000839C7"/>
    <w:rsid w:val="00084A66"/>
    <w:rsid w:val="00085DEB"/>
    <w:rsid w:val="000861EA"/>
    <w:rsid w:val="000946CC"/>
    <w:rsid w:val="0009631E"/>
    <w:rsid w:val="000A1226"/>
    <w:rsid w:val="000A4807"/>
    <w:rsid w:val="000A699D"/>
    <w:rsid w:val="000B1B45"/>
    <w:rsid w:val="000B70E6"/>
    <w:rsid w:val="000C10AF"/>
    <w:rsid w:val="000C2908"/>
    <w:rsid w:val="000C2E15"/>
    <w:rsid w:val="000C3D48"/>
    <w:rsid w:val="000D09E3"/>
    <w:rsid w:val="000D1DD0"/>
    <w:rsid w:val="000D318A"/>
    <w:rsid w:val="000D59D5"/>
    <w:rsid w:val="000D5C62"/>
    <w:rsid w:val="000D7BAE"/>
    <w:rsid w:val="000E0DCE"/>
    <w:rsid w:val="000E12DA"/>
    <w:rsid w:val="000E25E2"/>
    <w:rsid w:val="000E3E5E"/>
    <w:rsid w:val="000E3ECE"/>
    <w:rsid w:val="000E58CE"/>
    <w:rsid w:val="000E66E1"/>
    <w:rsid w:val="000E701C"/>
    <w:rsid w:val="000E7A91"/>
    <w:rsid w:val="000F3C58"/>
    <w:rsid w:val="000F5668"/>
    <w:rsid w:val="000F5E99"/>
    <w:rsid w:val="000F730D"/>
    <w:rsid w:val="000F7B61"/>
    <w:rsid w:val="00104E96"/>
    <w:rsid w:val="0010581B"/>
    <w:rsid w:val="00105927"/>
    <w:rsid w:val="00105F0F"/>
    <w:rsid w:val="001136A4"/>
    <w:rsid w:val="00116EF5"/>
    <w:rsid w:val="00121B6C"/>
    <w:rsid w:val="00122A4F"/>
    <w:rsid w:val="00122C59"/>
    <w:rsid w:val="001231DB"/>
    <w:rsid w:val="00123654"/>
    <w:rsid w:val="00131654"/>
    <w:rsid w:val="00132EE2"/>
    <w:rsid w:val="001366C5"/>
    <w:rsid w:val="00136CCB"/>
    <w:rsid w:val="001375D7"/>
    <w:rsid w:val="00137604"/>
    <w:rsid w:val="00143570"/>
    <w:rsid w:val="00144EAA"/>
    <w:rsid w:val="001469F7"/>
    <w:rsid w:val="00153E95"/>
    <w:rsid w:val="0015519B"/>
    <w:rsid w:val="001553AE"/>
    <w:rsid w:val="00157C85"/>
    <w:rsid w:val="00160076"/>
    <w:rsid w:val="0016119B"/>
    <w:rsid w:val="00163D4C"/>
    <w:rsid w:val="001656C3"/>
    <w:rsid w:val="00166F3F"/>
    <w:rsid w:val="00175583"/>
    <w:rsid w:val="0017623C"/>
    <w:rsid w:val="00176D89"/>
    <w:rsid w:val="0018220D"/>
    <w:rsid w:val="0019139B"/>
    <w:rsid w:val="00191D6A"/>
    <w:rsid w:val="00192FBE"/>
    <w:rsid w:val="001942C6"/>
    <w:rsid w:val="00194C0F"/>
    <w:rsid w:val="0019506F"/>
    <w:rsid w:val="0019594A"/>
    <w:rsid w:val="001963F3"/>
    <w:rsid w:val="001970F8"/>
    <w:rsid w:val="001971DA"/>
    <w:rsid w:val="001A2FCD"/>
    <w:rsid w:val="001A3DBD"/>
    <w:rsid w:val="001B208E"/>
    <w:rsid w:val="001B3845"/>
    <w:rsid w:val="001B40C7"/>
    <w:rsid w:val="001B4275"/>
    <w:rsid w:val="001B7EA7"/>
    <w:rsid w:val="001C0F90"/>
    <w:rsid w:val="001C1171"/>
    <w:rsid w:val="001C39D1"/>
    <w:rsid w:val="001D0455"/>
    <w:rsid w:val="001D40D7"/>
    <w:rsid w:val="001D4217"/>
    <w:rsid w:val="001E0118"/>
    <w:rsid w:val="001E0B3F"/>
    <w:rsid w:val="001E2C16"/>
    <w:rsid w:val="001E6B7B"/>
    <w:rsid w:val="001F036C"/>
    <w:rsid w:val="001F0D42"/>
    <w:rsid w:val="001F137E"/>
    <w:rsid w:val="001F17C8"/>
    <w:rsid w:val="001F1F2C"/>
    <w:rsid w:val="001F6713"/>
    <w:rsid w:val="001F7B08"/>
    <w:rsid w:val="0020021B"/>
    <w:rsid w:val="002018D5"/>
    <w:rsid w:val="00202222"/>
    <w:rsid w:val="0021020D"/>
    <w:rsid w:val="00213BD8"/>
    <w:rsid w:val="00215B3A"/>
    <w:rsid w:val="00217DFA"/>
    <w:rsid w:val="002216DF"/>
    <w:rsid w:val="00222291"/>
    <w:rsid w:val="0022408C"/>
    <w:rsid w:val="0022523F"/>
    <w:rsid w:val="00225C83"/>
    <w:rsid w:val="0023197E"/>
    <w:rsid w:val="00231FF3"/>
    <w:rsid w:val="00250D19"/>
    <w:rsid w:val="00253E7C"/>
    <w:rsid w:val="00254A4D"/>
    <w:rsid w:val="00255077"/>
    <w:rsid w:val="00255205"/>
    <w:rsid w:val="002563F5"/>
    <w:rsid w:val="00256665"/>
    <w:rsid w:val="002611E3"/>
    <w:rsid w:val="00262C2C"/>
    <w:rsid w:val="00264EAA"/>
    <w:rsid w:val="00266398"/>
    <w:rsid w:val="0026691B"/>
    <w:rsid w:val="002671B4"/>
    <w:rsid w:val="0027261E"/>
    <w:rsid w:val="00273BFA"/>
    <w:rsid w:val="00276674"/>
    <w:rsid w:val="00276C0F"/>
    <w:rsid w:val="00277E9A"/>
    <w:rsid w:val="0028017F"/>
    <w:rsid w:val="0028399E"/>
    <w:rsid w:val="00290209"/>
    <w:rsid w:val="0029322D"/>
    <w:rsid w:val="00296B46"/>
    <w:rsid w:val="00297755"/>
    <w:rsid w:val="002A04C7"/>
    <w:rsid w:val="002A1FC6"/>
    <w:rsid w:val="002A3EEE"/>
    <w:rsid w:val="002A6BD6"/>
    <w:rsid w:val="002A7D62"/>
    <w:rsid w:val="002A7FC6"/>
    <w:rsid w:val="002B0A12"/>
    <w:rsid w:val="002B0A1C"/>
    <w:rsid w:val="002B3841"/>
    <w:rsid w:val="002C1FCE"/>
    <w:rsid w:val="002C6513"/>
    <w:rsid w:val="002C7FCC"/>
    <w:rsid w:val="002D3048"/>
    <w:rsid w:val="002D5CF7"/>
    <w:rsid w:val="002D5EC9"/>
    <w:rsid w:val="002D7EAE"/>
    <w:rsid w:val="002E0503"/>
    <w:rsid w:val="002E0839"/>
    <w:rsid w:val="002E3BAB"/>
    <w:rsid w:val="002E413D"/>
    <w:rsid w:val="002E44F5"/>
    <w:rsid w:val="002E5092"/>
    <w:rsid w:val="002E50A2"/>
    <w:rsid w:val="002E646C"/>
    <w:rsid w:val="002E73CE"/>
    <w:rsid w:val="002F21C0"/>
    <w:rsid w:val="002F2F10"/>
    <w:rsid w:val="002F63DB"/>
    <w:rsid w:val="00301125"/>
    <w:rsid w:val="0030202E"/>
    <w:rsid w:val="003020CC"/>
    <w:rsid w:val="00304F93"/>
    <w:rsid w:val="00305B22"/>
    <w:rsid w:val="00306728"/>
    <w:rsid w:val="00310533"/>
    <w:rsid w:val="003109EB"/>
    <w:rsid w:val="00311B2F"/>
    <w:rsid w:val="00313D56"/>
    <w:rsid w:val="00315A6B"/>
    <w:rsid w:val="00320095"/>
    <w:rsid w:val="003318A6"/>
    <w:rsid w:val="0033301F"/>
    <w:rsid w:val="003332A9"/>
    <w:rsid w:val="0033455F"/>
    <w:rsid w:val="00334DD5"/>
    <w:rsid w:val="003354D5"/>
    <w:rsid w:val="0033615A"/>
    <w:rsid w:val="00336883"/>
    <w:rsid w:val="00341996"/>
    <w:rsid w:val="00344366"/>
    <w:rsid w:val="003505D5"/>
    <w:rsid w:val="003522E8"/>
    <w:rsid w:val="00354F01"/>
    <w:rsid w:val="003555F8"/>
    <w:rsid w:val="0035674A"/>
    <w:rsid w:val="003609B9"/>
    <w:rsid w:val="00360F6D"/>
    <w:rsid w:val="00361CA1"/>
    <w:rsid w:val="00367049"/>
    <w:rsid w:val="00370946"/>
    <w:rsid w:val="00370989"/>
    <w:rsid w:val="003719CE"/>
    <w:rsid w:val="003723CE"/>
    <w:rsid w:val="00373F48"/>
    <w:rsid w:val="0038250B"/>
    <w:rsid w:val="003827FC"/>
    <w:rsid w:val="00382BD3"/>
    <w:rsid w:val="0038378E"/>
    <w:rsid w:val="0038678C"/>
    <w:rsid w:val="003905AB"/>
    <w:rsid w:val="00393835"/>
    <w:rsid w:val="00394F07"/>
    <w:rsid w:val="00396E64"/>
    <w:rsid w:val="00397378"/>
    <w:rsid w:val="00397677"/>
    <w:rsid w:val="003A1072"/>
    <w:rsid w:val="003A4F41"/>
    <w:rsid w:val="003A67D8"/>
    <w:rsid w:val="003A6C54"/>
    <w:rsid w:val="003B1B8A"/>
    <w:rsid w:val="003B3436"/>
    <w:rsid w:val="003B3CFA"/>
    <w:rsid w:val="003B4A97"/>
    <w:rsid w:val="003C1174"/>
    <w:rsid w:val="003C1F67"/>
    <w:rsid w:val="003C4D4E"/>
    <w:rsid w:val="003C5EAE"/>
    <w:rsid w:val="003C6AC7"/>
    <w:rsid w:val="003D0563"/>
    <w:rsid w:val="003D1A4F"/>
    <w:rsid w:val="003D33AB"/>
    <w:rsid w:val="003D4044"/>
    <w:rsid w:val="003E20DE"/>
    <w:rsid w:val="003E405B"/>
    <w:rsid w:val="003E59EA"/>
    <w:rsid w:val="003F0185"/>
    <w:rsid w:val="003F3AD3"/>
    <w:rsid w:val="003F494C"/>
    <w:rsid w:val="003F4FB0"/>
    <w:rsid w:val="00401DFB"/>
    <w:rsid w:val="004031A9"/>
    <w:rsid w:val="004049FC"/>
    <w:rsid w:val="00410421"/>
    <w:rsid w:val="00410587"/>
    <w:rsid w:val="00417E73"/>
    <w:rsid w:val="004256CC"/>
    <w:rsid w:val="0043219D"/>
    <w:rsid w:val="004368A9"/>
    <w:rsid w:val="00437FF2"/>
    <w:rsid w:val="004408F6"/>
    <w:rsid w:val="004412D9"/>
    <w:rsid w:val="00441371"/>
    <w:rsid w:val="00441933"/>
    <w:rsid w:val="00442670"/>
    <w:rsid w:val="00442ED0"/>
    <w:rsid w:val="00447505"/>
    <w:rsid w:val="00451269"/>
    <w:rsid w:val="00460A12"/>
    <w:rsid w:val="00461BB4"/>
    <w:rsid w:val="004646A2"/>
    <w:rsid w:val="00465F75"/>
    <w:rsid w:val="004713B0"/>
    <w:rsid w:val="00474E0C"/>
    <w:rsid w:val="00477147"/>
    <w:rsid w:val="00481E0F"/>
    <w:rsid w:val="00482477"/>
    <w:rsid w:val="00482856"/>
    <w:rsid w:val="0048299E"/>
    <w:rsid w:val="00482EF7"/>
    <w:rsid w:val="00484DFB"/>
    <w:rsid w:val="00490D7E"/>
    <w:rsid w:val="00491214"/>
    <w:rsid w:val="00493FA0"/>
    <w:rsid w:val="00496CD5"/>
    <w:rsid w:val="00497733"/>
    <w:rsid w:val="00497EE5"/>
    <w:rsid w:val="004A3DD6"/>
    <w:rsid w:val="004A46CD"/>
    <w:rsid w:val="004B2354"/>
    <w:rsid w:val="004B3734"/>
    <w:rsid w:val="004B6823"/>
    <w:rsid w:val="004B6E4C"/>
    <w:rsid w:val="004C0DC4"/>
    <w:rsid w:val="004C0F5B"/>
    <w:rsid w:val="004C1D5F"/>
    <w:rsid w:val="004C4856"/>
    <w:rsid w:val="004C5A2C"/>
    <w:rsid w:val="004D0434"/>
    <w:rsid w:val="004D32F7"/>
    <w:rsid w:val="004D4A33"/>
    <w:rsid w:val="004D5093"/>
    <w:rsid w:val="004E4C1B"/>
    <w:rsid w:val="004E5976"/>
    <w:rsid w:val="004E688C"/>
    <w:rsid w:val="004F19D5"/>
    <w:rsid w:val="004F2E03"/>
    <w:rsid w:val="004F329B"/>
    <w:rsid w:val="004F4E2F"/>
    <w:rsid w:val="004F779A"/>
    <w:rsid w:val="00501E45"/>
    <w:rsid w:val="00503A65"/>
    <w:rsid w:val="00504672"/>
    <w:rsid w:val="005079FD"/>
    <w:rsid w:val="00510A11"/>
    <w:rsid w:val="0051139B"/>
    <w:rsid w:val="005117F0"/>
    <w:rsid w:val="00516295"/>
    <w:rsid w:val="00516C79"/>
    <w:rsid w:val="005172DB"/>
    <w:rsid w:val="00517A38"/>
    <w:rsid w:val="0052052F"/>
    <w:rsid w:val="00520FC2"/>
    <w:rsid w:val="00521AE2"/>
    <w:rsid w:val="005262CD"/>
    <w:rsid w:val="005277C3"/>
    <w:rsid w:val="0053592C"/>
    <w:rsid w:val="00536908"/>
    <w:rsid w:val="00537D30"/>
    <w:rsid w:val="00541B11"/>
    <w:rsid w:val="00543B80"/>
    <w:rsid w:val="00545999"/>
    <w:rsid w:val="00545CCF"/>
    <w:rsid w:val="00547C1A"/>
    <w:rsid w:val="0055017E"/>
    <w:rsid w:val="00552D4C"/>
    <w:rsid w:val="00552FE4"/>
    <w:rsid w:val="00553D3C"/>
    <w:rsid w:val="00556303"/>
    <w:rsid w:val="00557B1F"/>
    <w:rsid w:val="0056030E"/>
    <w:rsid w:val="00560CC1"/>
    <w:rsid w:val="00561237"/>
    <w:rsid w:val="00562DE7"/>
    <w:rsid w:val="00563C8B"/>
    <w:rsid w:val="00565389"/>
    <w:rsid w:val="0056599B"/>
    <w:rsid w:val="00570A0A"/>
    <w:rsid w:val="00571A19"/>
    <w:rsid w:val="00575150"/>
    <w:rsid w:val="00576B04"/>
    <w:rsid w:val="00580908"/>
    <w:rsid w:val="005830D2"/>
    <w:rsid w:val="00586128"/>
    <w:rsid w:val="005904C7"/>
    <w:rsid w:val="00590562"/>
    <w:rsid w:val="00591FF1"/>
    <w:rsid w:val="00595644"/>
    <w:rsid w:val="00596392"/>
    <w:rsid w:val="005A4E17"/>
    <w:rsid w:val="005A5B49"/>
    <w:rsid w:val="005B5FFA"/>
    <w:rsid w:val="005B6C44"/>
    <w:rsid w:val="005B731E"/>
    <w:rsid w:val="005C315D"/>
    <w:rsid w:val="005C412D"/>
    <w:rsid w:val="005C6724"/>
    <w:rsid w:val="005C67B9"/>
    <w:rsid w:val="005D0755"/>
    <w:rsid w:val="005D1638"/>
    <w:rsid w:val="005D178B"/>
    <w:rsid w:val="005D2265"/>
    <w:rsid w:val="005D617C"/>
    <w:rsid w:val="005D787D"/>
    <w:rsid w:val="005D7FF8"/>
    <w:rsid w:val="005E12C6"/>
    <w:rsid w:val="005E1702"/>
    <w:rsid w:val="005E50C3"/>
    <w:rsid w:val="005E59B0"/>
    <w:rsid w:val="005E5A3C"/>
    <w:rsid w:val="005E5F46"/>
    <w:rsid w:val="005F2419"/>
    <w:rsid w:val="005F3024"/>
    <w:rsid w:val="005F4829"/>
    <w:rsid w:val="005F4BDB"/>
    <w:rsid w:val="005F6BF5"/>
    <w:rsid w:val="005F7EEB"/>
    <w:rsid w:val="0060601B"/>
    <w:rsid w:val="00610014"/>
    <w:rsid w:val="00612D59"/>
    <w:rsid w:val="00625053"/>
    <w:rsid w:val="006261B0"/>
    <w:rsid w:val="00630F97"/>
    <w:rsid w:val="00631434"/>
    <w:rsid w:val="00631D0D"/>
    <w:rsid w:val="00632DE1"/>
    <w:rsid w:val="0063431F"/>
    <w:rsid w:val="006345C1"/>
    <w:rsid w:val="006371CB"/>
    <w:rsid w:val="00640D49"/>
    <w:rsid w:val="00642752"/>
    <w:rsid w:val="0064528E"/>
    <w:rsid w:val="006475A9"/>
    <w:rsid w:val="006476D3"/>
    <w:rsid w:val="00651DFE"/>
    <w:rsid w:val="006547CD"/>
    <w:rsid w:val="00656530"/>
    <w:rsid w:val="006631D5"/>
    <w:rsid w:val="00663C3A"/>
    <w:rsid w:val="00665063"/>
    <w:rsid w:val="0067118E"/>
    <w:rsid w:val="00671A53"/>
    <w:rsid w:val="00672009"/>
    <w:rsid w:val="0067231D"/>
    <w:rsid w:val="006737A1"/>
    <w:rsid w:val="00675759"/>
    <w:rsid w:val="0068174D"/>
    <w:rsid w:val="00686D9E"/>
    <w:rsid w:val="006901E8"/>
    <w:rsid w:val="00691DDE"/>
    <w:rsid w:val="00692A52"/>
    <w:rsid w:val="00693880"/>
    <w:rsid w:val="00695DC1"/>
    <w:rsid w:val="00697462"/>
    <w:rsid w:val="006A0847"/>
    <w:rsid w:val="006B0D83"/>
    <w:rsid w:val="006B238A"/>
    <w:rsid w:val="006B2DAC"/>
    <w:rsid w:val="006B3F22"/>
    <w:rsid w:val="006B50B9"/>
    <w:rsid w:val="006B7391"/>
    <w:rsid w:val="006B76BB"/>
    <w:rsid w:val="006B7DF4"/>
    <w:rsid w:val="006C0A94"/>
    <w:rsid w:val="006C19FD"/>
    <w:rsid w:val="006C6C29"/>
    <w:rsid w:val="006C6C97"/>
    <w:rsid w:val="006D11BA"/>
    <w:rsid w:val="006D29AB"/>
    <w:rsid w:val="006D33AE"/>
    <w:rsid w:val="006E03D8"/>
    <w:rsid w:val="006E0DB6"/>
    <w:rsid w:val="006E4B05"/>
    <w:rsid w:val="006E6F4D"/>
    <w:rsid w:val="006E6F9A"/>
    <w:rsid w:val="006E734B"/>
    <w:rsid w:val="006F31B4"/>
    <w:rsid w:val="006F6913"/>
    <w:rsid w:val="006F6C28"/>
    <w:rsid w:val="00700716"/>
    <w:rsid w:val="00703F4D"/>
    <w:rsid w:val="007055D4"/>
    <w:rsid w:val="00711753"/>
    <w:rsid w:val="00713D44"/>
    <w:rsid w:val="00715A1B"/>
    <w:rsid w:val="00716423"/>
    <w:rsid w:val="0071690A"/>
    <w:rsid w:val="00716B02"/>
    <w:rsid w:val="00720C59"/>
    <w:rsid w:val="00721788"/>
    <w:rsid w:val="00723D0A"/>
    <w:rsid w:val="00727060"/>
    <w:rsid w:val="00727DA1"/>
    <w:rsid w:val="0073030C"/>
    <w:rsid w:val="00731617"/>
    <w:rsid w:val="007324B7"/>
    <w:rsid w:val="0073416B"/>
    <w:rsid w:val="00736431"/>
    <w:rsid w:val="00736DE2"/>
    <w:rsid w:val="007374F2"/>
    <w:rsid w:val="00740031"/>
    <w:rsid w:val="0074180C"/>
    <w:rsid w:val="00742904"/>
    <w:rsid w:val="00745106"/>
    <w:rsid w:val="00750819"/>
    <w:rsid w:val="00750BDD"/>
    <w:rsid w:val="007512CB"/>
    <w:rsid w:val="0075133C"/>
    <w:rsid w:val="00752905"/>
    <w:rsid w:val="007546EA"/>
    <w:rsid w:val="00762252"/>
    <w:rsid w:val="00771C77"/>
    <w:rsid w:val="0077452F"/>
    <w:rsid w:val="00777F54"/>
    <w:rsid w:val="00783169"/>
    <w:rsid w:val="0078324A"/>
    <w:rsid w:val="00783F02"/>
    <w:rsid w:val="00784028"/>
    <w:rsid w:val="007928A3"/>
    <w:rsid w:val="007949F6"/>
    <w:rsid w:val="00795D05"/>
    <w:rsid w:val="007A0C03"/>
    <w:rsid w:val="007A1857"/>
    <w:rsid w:val="007A43BA"/>
    <w:rsid w:val="007B3736"/>
    <w:rsid w:val="007B39FB"/>
    <w:rsid w:val="007B3A98"/>
    <w:rsid w:val="007C1276"/>
    <w:rsid w:val="007C4044"/>
    <w:rsid w:val="007C45B4"/>
    <w:rsid w:val="007C497D"/>
    <w:rsid w:val="007D0211"/>
    <w:rsid w:val="007D33A0"/>
    <w:rsid w:val="007E5F8F"/>
    <w:rsid w:val="007E7FD6"/>
    <w:rsid w:val="007F145E"/>
    <w:rsid w:val="007F2123"/>
    <w:rsid w:val="007F25E4"/>
    <w:rsid w:val="007F3865"/>
    <w:rsid w:val="007F7C59"/>
    <w:rsid w:val="0080052F"/>
    <w:rsid w:val="00801789"/>
    <w:rsid w:val="00802BBD"/>
    <w:rsid w:val="00804D06"/>
    <w:rsid w:val="00807842"/>
    <w:rsid w:val="00810C2E"/>
    <w:rsid w:val="00811306"/>
    <w:rsid w:val="0082296E"/>
    <w:rsid w:val="00823A6A"/>
    <w:rsid w:val="008248D2"/>
    <w:rsid w:val="00825E99"/>
    <w:rsid w:val="008272A4"/>
    <w:rsid w:val="00827E2D"/>
    <w:rsid w:val="0083200E"/>
    <w:rsid w:val="0083490A"/>
    <w:rsid w:val="0083650A"/>
    <w:rsid w:val="00837CF1"/>
    <w:rsid w:val="00840806"/>
    <w:rsid w:val="00845EAB"/>
    <w:rsid w:val="00847BBC"/>
    <w:rsid w:val="00850B51"/>
    <w:rsid w:val="0085170E"/>
    <w:rsid w:val="008523B0"/>
    <w:rsid w:val="00852AE7"/>
    <w:rsid w:val="00855F59"/>
    <w:rsid w:val="00857AD7"/>
    <w:rsid w:val="008606EB"/>
    <w:rsid w:val="00861E89"/>
    <w:rsid w:val="00862033"/>
    <w:rsid w:val="00863038"/>
    <w:rsid w:val="00872A00"/>
    <w:rsid w:val="00874868"/>
    <w:rsid w:val="00874D3D"/>
    <w:rsid w:val="00876684"/>
    <w:rsid w:val="00880891"/>
    <w:rsid w:val="00884766"/>
    <w:rsid w:val="00885649"/>
    <w:rsid w:val="008879E5"/>
    <w:rsid w:val="008919C7"/>
    <w:rsid w:val="008937A4"/>
    <w:rsid w:val="00895804"/>
    <w:rsid w:val="008A0D3C"/>
    <w:rsid w:val="008A16FB"/>
    <w:rsid w:val="008A49C3"/>
    <w:rsid w:val="008B1DA0"/>
    <w:rsid w:val="008B21A5"/>
    <w:rsid w:val="008B2842"/>
    <w:rsid w:val="008B6593"/>
    <w:rsid w:val="008C0048"/>
    <w:rsid w:val="008C3D68"/>
    <w:rsid w:val="008C6B84"/>
    <w:rsid w:val="008C7057"/>
    <w:rsid w:val="008D516F"/>
    <w:rsid w:val="008D77C5"/>
    <w:rsid w:val="008D7C70"/>
    <w:rsid w:val="008E2C98"/>
    <w:rsid w:val="008E5F9C"/>
    <w:rsid w:val="008E67E6"/>
    <w:rsid w:val="008F121D"/>
    <w:rsid w:val="008F1ED6"/>
    <w:rsid w:val="008F26D9"/>
    <w:rsid w:val="008F31FE"/>
    <w:rsid w:val="008F5145"/>
    <w:rsid w:val="008F748B"/>
    <w:rsid w:val="008F7A17"/>
    <w:rsid w:val="0090278C"/>
    <w:rsid w:val="00902AF0"/>
    <w:rsid w:val="00905908"/>
    <w:rsid w:val="009114DF"/>
    <w:rsid w:val="0092100C"/>
    <w:rsid w:val="00922B5B"/>
    <w:rsid w:val="00923764"/>
    <w:rsid w:val="00930441"/>
    <w:rsid w:val="009350B9"/>
    <w:rsid w:val="00935BC8"/>
    <w:rsid w:val="00940D53"/>
    <w:rsid w:val="00941AE1"/>
    <w:rsid w:val="0094285D"/>
    <w:rsid w:val="00945681"/>
    <w:rsid w:val="00945E63"/>
    <w:rsid w:val="00947FCD"/>
    <w:rsid w:val="009505E6"/>
    <w:rsid w:val="00951F53"/>
    <w:rsid w:val="009524F9"/>
    <w:rsid w:val="009530D1"/>
    <w:rsid w:val="009552E9"/>
    <w:rsid w:val="00956115"/>
    <w:rsid w:val="00960FF7"/>
    <w:rsid w:val="009645E9"/>
    <w:rsid w:val="00964AB4"/>
    <w:rsid w:val="00964AC0"/>
    <w:rsid w:val="00965509"/>
    <w:rsid w:val="00973E3D"/>
    <w:rsid w:val="009741F3"/>
    <w:rsid w:val="00976D0A"/>
    <w:rsid w:val="00976ECA"/>
    <w:rsid w:val="00985CC9"/>
    <w:rsid w:val="009863A9"/>
    <w:rsid w:val="00987346"/>
    <w:rsid w:val="00987416"/>
    <w:rsid w:val="00991B38"/>
    <w:rsid w:val="00996685"/>
    <w:rsid w:val="00997A7D"/>
    <w:rsid w:val="009A103F"/>
    <w:rsid w:val="009A18DD"/>
    <w:rsid w:val="009A33A3"/>
    <w:rsid w:val="009A4DB5"/>
    <w:rsid w:val="009A5030"/>
    <w:rsid w:val="009A50E1"/>
    <w:rsid w:val="009B1926"/>
    <w:rsid w:val="009B1F51"/>
    <w:rsid w:val="009B29C4"/>
    <w:rsid w:val="009B47F5"/>
    <w:rsid w:val="009B642A"/>
    <w:rsid w:val="009C0FFC"/>
    <w:rsid w:val="009C2E6B"/>
    <w:rsid w:val="009C3A74"/>
    <w:rsid w:val="009C3D34"/>
    <w:rsid w:val="009C42B6"/>
    <w:rsid w:val="009C465E"/>
    <w:rsid w:val="009C712E"/>
    <w:rsid w:val="009C7A35"/>
    <w:rsid w:val="009D1226"/>
    <w:rsid w:val="009D36AE"/>
    <w:rsid w:val="009D64DD"/>
    <w:rsid w:val="009E2447"/>
    <w:rsid w:val="009E3FF9"/>
    <w:rsid w:val="009E56D2"/>
    <w:rsid w:val="009E6EAE"/>
    <w:rsid w:val="009F212A"/>
    <w:rsid w:val="009F560F"/>
    <w:rsid w:val="009F614F"/>
    <w:rsid w:val="009F7E35"/>
    <w:rsid w:val="00A02FFD"/>
    <w:rsid w:val="00A1122A"/>
    <w:rsid w:val="00A134CA"/>
    <w:rsid w:val="00A16B0B"/>
    <w:rsid w:val="00A176B0"/>
    <w:rsid w:val="00A23B8D"/>
    <w:rsid w:val="00A24ED9"/>
    <w:rsid w:val="00A34DD3"/>
    <w:rsid w:val="00A362ED"/>
    <w:rsid w:val="00A37319"/>
    <w:rsid w:val="00A37673"/>
    <w:rsid w:val="00A420D2"/>
    <w:rsid w:val="00A433D1"/>
    <w:rsid w:val="00A435B5"/>
    <w:rsid w:val="00A4384D"/>
    <w:rsid w:val="00A453CB"/>
    <w:rsid w:val="00A4674D"/>
    <w:rsid w:val="00A5001F"/>
    <w:rsid w:val="00A517CF"/>
    <w:rsid w:val="00A5533E"/>
    <w:rsid w:val="00A55896"/>
    <w:rsid w:val="00A600A6"/>
    <w:rsid w:val="00A612F7"/>
    <w:rsid w:val="00A624C9"/>
    <w:rsid w:val="00A669F1"/>
    <w:rsid w:val="00A675B6"/>
    <w:rsid w:val="00A71209"/>
    <w:rsid w:val="00A71807"/>
    <w:rsid w:val="00A73D3E"/>
    <w:rsid w:val="00A7504E"/>
    <w:rsid w:val="00A7645B"/>
    <w:rsid w:val="00A77E8B"/>
    <w:rsid w:val="00A81460"/>
    <w:rsid w:val="00A81990"/>
    <w:rsid w:val="00A82D58"/>
    <w:rsid w:val="00A84DAF"/>
    <w:rsid w:val="00A85C7C"/>
    <w:rsid w:val="00A8638A"/>
    <w:rsid w:val="00A9344A"/>
    <w:rsid w:val="00A95735"/>
    <w:rsid w:val="00A95FBD"/>
    <w:rsid w:val="00A9619C"/>
    <w:rsid w:val="00AA22AF"/>
    <w:rsid w:val="00AA2363"/>
    <w:rsid w:val="00AA57C9"/>
    <w:rsid w:val="00AA7BD3"/>
    <w:rsid w:val="00AB236F"/>
    <w:rsid w:val="00AB2574"/>
    <w:rsid w:val="00AB4EB8"/>
    <w:rsid w:val="00AC14A5"/>
    <w:rsid w:val="00AC3BAB"/>
    <w:rsid w:val="00AC4863"/>
    <w:rsid w:val="00AC5947"/>
    <w:rsid w:val="00AD2429"/>
    <w:rsid w:val="00AD3D97"/>
    <w:rsid w:val="00AD5E6D"/>
    <w:rsid w:val="00AE1086"/>
    <w:rsid w:val="00AE3329"/>
    <w:rsid w:val="00AE5451"/>
    <w:rsid w:val="00AF0FF8"/>
    <w:rsid w:val="00AF1D05"/>
    <w:rsid w:val="00AF26D0"/>
    <w:rsid w:val="00AF302E"/>
    <w:rsid w:val="00AF4310"/>
    <w:rsid w:val="00AF5622"/>
    <w:rsid w:val="00AF7A55"/>
    <w:rsid w:val="00B019BC"/>
    <w:rsid w:val="00B02451"/>
    <w:rsid w:val="00B11172"/>
    <w:rsid w:val="00B145AC"/>
    <w:rsid w:val="00B16888"/>
    <w:rsid w:val="00B17DC8"/>
    <w:rsid w:val="00B20ADC"/>
    <w:rsid w:val="00B21745"/>
    <w:rsid w:val="00B224F5"/>
    <w:rsid w:val="00B25C64"/>
    <w:rsid w:val="00B35626"/>
    <w:rsid w:val="00B43145"/>
    <w:rsid w:val="00B431B5"/>
    <w:rsid w:val="00B4323F"/>
    <w:rsid w:val="00B4774E"/>
    <w:rsid w:val="00B47CDD"/>
    <w:rsid w:val="00B50BE7"/>
    <w:rsid w:val="00B568A9"/>
    <w:rsid w:val="00B60941"/>
    <w:rsid w:val="00B60EA5"/>
    <w:rsid w:val="00B65019"/>
    <w:rsid w:val="00B65D6C"/>
    <w:rsid w:val="00B668E8"/>
    <w:rsid w:val="00B70EF1"/>
    <w:rsid w:val="00B71CDE"/>
    <w:rsid w:val="00B72250"/>
    <w:rsid w:val="00B732B7"/>
    <w:rsid w:val="00B74934"/>
    <w:rsid w:val="00B80137"/>
    <w:rsid w:val="00B80468"/>
    <w:rsid w:val="00B81344"/>
    <w:rsid w:val="00B81A1E"/>
    <w:rsid w:val="00B81C50"/>
    <w:rsid w:val="00B82CE6"/>
    <w:rsid w:val="00B840BF"/>
    <w:rsid w:val="00B86C1B"/>
    <w:rsid w:val="00B86F3F"/>
    <w:rsid w:val="00B87C9E"/>
    <w:rsid w:val="00B9046D"/>
    <w:rsid w:val="00B914B5"/>
    <w:rsid w:val="00B954D9"/>
    <w:rsid w:val="00BA00B7"/>
    <w:rsid w:val="00BA0569"/>
    <w:rsid w:val="00BA1283"/>
    <w:rsid w:val="00BA1E28"/>
    <w:rsid w:val="00BA4A65"/>
    <w:rsid w:val="00BA4F19"/>
    <w:rsid w:val="00BB05A8"/>
    <w:rsid w:val="00BB4CCC"/>
    <w:rsid w:val="00BB546E"/>
    <w:rsid w:val="00BB578F"/>
    <w:rsid w:val="00BB6687"/>
    <w:rsid w:val="00BB77FD"/>
    <w:rsid w:val="00BC1924"/>
    <w:rsid w:val="00BC53F5"/>
    <w:rsid w:val="00BD0A52"/>
    <w:rsid w:val="00BD16B3"/>
    <w:rsid w:val="00BE2496"/>
    <w:rsid w:val="00BE2A5E"/>
    <w:rsid w:val="00BF1A01"/>
    <w:rsid w:val="00C03B0F"/>
    <w:rsid w:val="00C06176"/>
    <w:rsid w:val="00C12FBC"/>
    <w:rsid w:val="00C13522"/>
    <w:rsid w:val="00C149A9"/>
    <w:rsid w:val="00C15929"/>
    <w:rsid w:val="00C20588"/>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4663F"/>
    <w:rsid w:val="00C627DA"/>
    <w:rsid w:val="00C64D4A"/>
    <w:rsid w:val="00C64D86"/>
    <w:rsid w:val="00C650E9"/>
    <w:rsid w:val="00C66BAD"/>
    <w:rsid w:val="00C70F65"/>
    <w:rsid w:val="00C73328"/>
    <w:rsid w:val="00C764CC"/>
    <w:rsid w:val="00C77A3A"/>
    <w:rsid w:val="00C77CC3"/>
    <w:rsid w:val="00C84522"/>
    <w:rsid w:val="00C84784"/>
    <w:rsid w:val="00C875EE"/>
    <w:rsid w:val="00C95848"/>
    <w:rsid w:val="00CA1E1A"/>
    <w:rsid w:val="00CA3F7D"/>
    <w:rsid w:val="00CA6A5B"/>
    <w:rsid w:val="00CA7904"/>
    <w:rsid w:val="00CB2117"/>
    <w:rsid w:val="00CB3C05"/>
    <w:rsid w:val="00CB41BD"/>
    <w:rsid w:val="00CB444B"/>
    <w:rsid w:val="00CB5862"/>
    <w:rsid w:val="00CB5EAF"/>
    <w:rsid w:val="00CC0B24"/>
    <w:rsid w:val="00CC0C7C"/>
    <w:rsid w:val="00CC3870"/>
    <w:rsid w:val="00CC4310"/>
    <w:rsid w:val="00CC4449"/>
    <w:rsid w:val="00CC4CC2"/>
    <w:rsid w:val="00CC6832"/>
    <w:rsid w:val="00CD1D4D"/>
    <w:rsid w:val="00CD7582"/>
    <w:rsid w:val="00CE1024"/>
    <w:rsid w:val="00CE1D25"/>
    <w:rsid w:val="00CE458C"/>
    <w:rsid w:val="00CE6853"/>
    <w:rsid w:val="00CE79C7"/>
    <w:rsid w:val="00CF1664"/>
    <w:rsid w:val="00CF46A0"/>
    <w:rsid w:val="00CF4C43"/>
    <w:rsid w:val="00D06147"/>
    <w:rsid w:val="00D07276"/>
    <w:rsid w:val="00D13C61"/>
    <w:rsid w:val="00D14347"/>
    <w:rsid w:val="00D14ED6"/>
    <w:rsid w:val="00D16A39"/>
    <w:rsid w:val="00D22CE2"/>
    <w:rsid w:val="00D23A0A"/>
    <w:rsid w:val="00D24493"/>
    <w:rsid w:val="00D2588B"/>
    <w:rsid w:val="00D26CF3"/>
    <w:rsid w:val="00D30A18"/>
    <w:rsid w:val="00D31113"/>
    <w:rsid w:val="00D3704A"/>
    <w:rsid w:val="00D370D7"/>
    <w:rsid w:val="00D43383"/>
    <w:rsid w:val="00D4370B"/>
    <w:rsid w:val="00D43E18"/>
    <w:rsid w:val="00D45492"/>
    <w:rsid w:val="00D468F6"/>
    <w:rsid w:val="00D50804"/>
    <w:rsid w:val="00D518F4"/>
    <w:rsid w:val="00D5236B"/>
    <w:rsid w:val="00D57743"/>
    <w:rsid w:val="00D62359"/>
    <w:rsid w:val="00D67151"/>
    <w:rsid w:val="00D67F6C"/>
    <w:rsid w:val="00D71ECE"/>
    <w:rsid w:val="00D72581"/>
    <w:rsid w:val="00D7610D"/>
    <w:rsid w:val="00D776E8"/>
    <w:rsid w:val="00D77F74"/>
    <w:rsid w:val="00D80CED"/>
    <w:rsid w:val="00D85B7F"/>
    <w:rsid w:val="00D85E30"/>
    <w:rsid w:val="00D870E4"/>
    <w:rsid w:val="00D96499"/>
    <w:rsid w:val="00DA2744"/>
    <w:rsid w:val="00DA2CD0"/>
    <w:rsid w:val="00DA3F37"/>
    <w:rsid w:val="00DA41D7"/>
    <w:rsid w:val="00DA5935"/>
    <w:rsid w:val="00DA6EE1"/>
    <w:rsid w:val="00DB1B5B"/>
    <w:rsid w:val="00DB2A7D"/>
    <w:rsid w:val="00DB3CC0"/>
    <w:rsid w:val="00DB6385"/>
    <w:rsid w:val="00DB651A"/>
    <w:rsid w:val="00DB6872"/>
    <w:rsid w:val="00DC0E69"/>
    <w:rsid w:val="00DC537F"/>
    <w:rsid w:val="00DC5799"/>
    <w:rsid w:val="00DC62FF"/>
    <w:rsid w:val="00DD1345"/>
    <w:rsid w:val="00DD3110"/>
    <w:rsid w:val="00DD7262"/>
    <w:rsid w:val="00DD7C65"/>
    <w:rsid w:val="00DE0256"/>
    <w:rsid w:val="00DF2CC6"/>
    <w:rsid w:val="00DF64D6"/>
    <w:rsid w:val="00E03CB0"/>
    <w:rsid w:val="00E07BFC"/>
    <w:rsid w:val="00E155D5"/>
    <w:rsid w:val="00E162A4"/>
    <w:rsid w:val="00E16781"/>
    <w:rsid w:val="00E16AE8"/>
    <w:rsid w:val="00E2225F"/>
    <w:rsid w:val="00E2288D"/>
    <w:rsid w:val="00E22E32"/>
    <w:rsid w:val="00E22FDB"/>
    <w:rsid w:val="00E24256"/>
    <w:rsid w:val="00E30A0E"/>
    <w:rsid w:val="00E30EBE"/>
    <w:rsid w:val="00E3108D"/>
    <w:rsid w:val="00E34057"/>
    <w:rsid w:val="00E3613A"/>
    <w:rsid w:val="00E36C70"/>
    <w:rsid w:val="00E37793"/>
    <w:rsid w:val="00E41F50"/>
    <w:rsid w:val="00E430B6"/>
    <w:rsid w:val="00E44679"/>
    <w:rsid w:val="00E46584"/>
    <w:rsid w:val="00E46613"/>
    <w:rsid w:val="00E50A59"/>
    <w:rsid w:val="00E514AB"/>
    <w:rsid w:val="00E53DE0"/>
    <w:rsid w:val="00E54D77"/>
    <w:rsid w:val="00E56FA1"/>
    <w:rsid w:val="00E60980"/>
    <w:rsid w:val="00E62223"/>
    <w:rsid w:val="00E625E4"/>
    <w:rsid w:val="00E715E4"/>
    <w:rsid w:val="00E82EA1"/>
    <w:rsid w:val="00E857DD"/>
    <w:rsid w:val="00E869F1"/>
    <w:rsid w:val="00E8731C"/>
    <w:rsid w:val="00E912B1"/>
    <w:rsid w:val="00E94109"/>
    <w:rsid w:val="00EA03E3"/>
    <w:rsid w:val="00EA41D1"/>
    <w:rsid w:val="00EA5A96"/>
    <w:rsid w:val="00EC00EE"/>
    <w:rsid w:val="00EC1B1B"/>
    <w:rsid w:val="00EC1C4A"/>
    <w:rsid w:val="00EC3E48"/>
    <w:rsid w:val="00EC5D7A"/>
    <w:rsid w:val="00ED5244"/>
    <w:rsid w:val="00EE58BB"/>
    <w:rsid w:val="00EE5A38"/>
    <w:rsid w:val="00EF409F"/>
    <w:rsid w:val="00EF6CBE"/>
    <w:rsid w:val="00EF7A7F"/>
    <w:rsid w:val="00F032E7"/>
    <w:rsid w:val="00F03947"/>
    <w:rsid w:val="00F05C45"/>
    <w:rsid w:val="00F069C9"/>
    <w:rsid w:val="00F122EA"/>
    <w:rsid w:val="00F1233E"/>
    <w:rsid w:val="00F14EEA"/>
    <w:rsid w:val="00F154F6"/>
    <w:rsid w:val="00F16277"/>
    <w:rsid w:val="00F1748F"/>
    <w:rsid w:val="00F179B8"/>
    <w:rsid w:val="00F2166E"/>
    <w:rsid w:val="00F24911"/>
    <w:rsid w:val="00F255F5"/>
    <w:rsid w:val="00F4065B"/>
    <w:rsid w:val="00F40ADA"/>
    <w:rsid w:val="00F40BD9"/>
    <w:rsid w:val="00F456AF"/>
    <w:rsid w:val="00F475BA"/>
    <w:rsid w:val="00F479D6"/>
    <w:rsid w:val="00F57A59"/>
    <w:rsid w:val="00F61A8E"/>
    <w:rsid w:val="00F65DB4"/>
    <w:rsid w:val="00F72A39"/>
    <w:rsid w:val="00F7455E"/>
    <w:rsid w:val="00F7712C"/>
    <w:rsid w:val="00F80132"/>
    <w:rsid w:val="00F804F3"/>
    <w:rsid w:val="00F84FD3"/>
    <w:rsid w:val="00F92AE7"/>
    <w:rsid w:val="00F92E20"/>
    <w:rsid w:val="00F939B8"/>
    <w:rsid w:val="00F96E69"/>
    <w:rsid w:val="00F972EE"/>
    <w:rsid w:val="00FA396B"/>
    <w:rsid w:val="00FA525A"/>
    <w:rsid w:val="00FA5E63"/>
    <w:rsid w:val="00FB037C"/>
    <w:rsid w:val="00FB3068"/>
    <w:rsid w:val="00FC3528"/>
    <w:rsid w:val="00FC4E11"/>
    <w:rsid w:val="00FC734D"/>
    <w:rsid w:val="00FD2AC8"/>
    <w:rsid w:val="00FD30F3"/>
    <w:rsid w:val="00FD31C5"/>
    <w:rsid w:val="00FD59C0"/>
    <w:rsid w:val="00FD63E7"/>
    <w:rsid w:val="00FE192D"/>
    <w:rsid w:val="00FE273E"/>
    <w:rsid w:val="00FE55FD"/>
    <w:rsid w:val="00FE5B36"/>
    <w:rsid w:val="00FF3DDA"/>
    <w:rsid w:val="00FF49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freemalaysiatoday.com/category/nation/2018/07/24/permits-to-import-plastic-waste-for-114-factories-revoked/" TargetMode="External"/><Relationship Id="rId13" Type="http://schemas.openxmlformats.org/officeDocument/2006/relationships/hyperlink" Target="http://www.taipeitimes.com/News/taiwan/archives/2018/10/02/2003701576" TargetMode="External"/><Relationship Id="rId18"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3" Type="http://schemas.openxmlformats.org/officeDocument/2006/relationships/hyperlink" Target="https://www.businesstoday.in/current/policy/india-bans-import-of-plastic-waste-from-august-this-year-to-curb-pollution/story/358778.html" TargetMode="External"/><Relationship Id="rId7" Type="http://schemas.openxmlformats.org/officeDocument/2006/relationships/hyperlink" Target="https://www.voanews.com/east-asia/indonesia-vows-send-back-illegal-plastic-waste" TargetMode="External"/><Relationship Id="rId12" Type="http://schemas.openxmlformats.org/officeDocument/2006/relationships/hyperlink" Target="https://www.malaymail.com/news/malaysia/2019/05/31/yeo-bee-yin-moots-rm1500-charge-per-shipping-container-to-cut-illegal-impor/1758091" TargetMode="External"/><Relationship Id="rId17" Type="http://schemas.openxmlformats.org/officeDocument/2006/relationships/hyperlink" Target="http://www.vietnam-briefing.com/news/vietnam-to-restrict-surging-scrap-imports.html/" TargetMode="External"/><Relationship Id="rId2" Type="http://schemas.openxmlformats.org/officeDocument/2006/relationships/hyperlink" Target="https://www.reuters.com/article/us-china-environment-waste/china-to-restrict-imports-of-scrap-steel-aluminum-from-july-idUSKCN1OS02X" TargetMode="External"/><Relationship Id="rId16" Type="http://schemas.openxmlformats.org/officeDocument/2006/relationships/hyperlink" Target="http://www.ratchakitcha.soc.go.th/DATA/PDF/2561/E/188/T15.PDF" TargetMode="External"/><Relationship Id="rId20" Type="http://schemas.openxmlformats.org/officeDocument/2006/relationships/hyperlink" Target="https://www.spglobal.com/platts/en/market-insights/latest-news/metals/022019-vietnams-jan-scrap-imports-plunge-amid-stricter-government-rules"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wastemanagementreview.com.au/indonesia-100-per-cent-paper-inspection-rate/" TargetMode="External"/><Relationship Id="rId11" Type="http://schemas.openxmlformats.org/officeDocument/2006/relationships/hyperlink" Target="https://www.theaustralian.com.au/nation/world/australia-would-vet-any-waste-returns-says-ley/news-story/96aaa8c05908bca11579908f128cf40e" TargetMode="External"/><Relationship Id="rId5" Type="http://schemas.openxmlformats.org/officeDocument/2006/relationships/hyperlink" Target="https://www.smh.com.au/world/asia/eight-more-containers-of-toxic-rubbish-to-be-sent-back-to-australia-20190709-p525kb.html" TargetMode="External"/><Relationship Id="rId15" Type="http://schemas.openxmlformats.org/officeDocument/2006/relationships/hyperlink" Target="https://ciwm-journal.co.uk/thailand-set-to-ban-plastic-waste-imports-by-2021/" TargetMode="External"/><Relationship Id="rId10" Type="http://schemas.openxmlformats.org/officeDocument/2006/relationships/hyperlink" Target="https://www.thestar.com.my/news/nation/2018/10/17/govt-to-ban-import-of-all-nonrecyclable-waste/" TargetMode="External"/><Relationship Id="rId19" Type="http://schemas.openxmlformats.org/officeDocument/2006/relationships/hyperlink" Target="https://en.vietnamplus.vn/scrap-imports-through-road-railway-border-gates-to-be-banned/145041.vnp" TargetMode="External"/><Relationship Id="rId4" Type="http://schemas.openxmlformats.org/officeDocument/2006/relationships/hyperlink" Target="http://pib.nic.in/PressReleseDetail.aspx?PRID=1567682" TargetMode="External"/><Relationship Id="rId9" Type="http://schemas.openxmlformats.org/officeDocument/2006/relationships/hyperlink" Target="http://wastemanagementreview.com.au/battling-sovereign-risk/" TargetMode="External"/><Relationship Id="rId14" Type="http://schemas.openxmlformats.org/officeDocument/2006/relationships/hyperlink" Target="http://www.nationmultimedia.com/detail/national/303517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reviewers>Name Surname, Name Surname</reviewers>
  <projnumber>1234</projnumber>
  <contractdate>2018-01-01T00:00:00</contractdate>
  <infocurrent>2017-07-01T00:00:00</infocurrent>
  <copyright/>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0F670-9325-470C-97D0-A9A4BC3018FA}">
  <ds:schemaRefs/>
</ds:datastoreItem>
</file>

<file path=customXml/itemProps3.xml><?xml version="1.0" encoding="utf-8"?>
<ds:datastoreItem xmlns:ds="http://schemas.openxmlformats.org/officeDocument/2006/customXml" ds:itemID="{40B2500C-06A2-4A4A-8C53-5A007BB5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DDF585C1.dotm</Template>
  <TotalTime>0</TotalTime>
  <Pages>5</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export summary - May 2019</dc:title>
  <dc:subject/>
  <dc:creator/>
  <cp:keywords/>
  <dc:description/>
  <cp:lastModifiedBy/>
  <cp:revision>1</cp:revision>
  <dcterms:created xsi:type="dcterms:W3CDTF">2019-07-22T04:45:00Z</dcterms:created>
  <dcterms:modified xsi:type="dcterms:W3CDTF">2019-07-22T04:45:00Z</dcterms:modified>
</cp:coreProperties>
</file>