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7255" w14:textId="12B55C19" w:rsidR="00DA6A45" w:rsidRPr="00DA6A45" w:rsidRDefault="00DA6A45" w:rsidP="00DA6A45">
      <w:pPr>
        <w:widowControl w:val="0"/>
        <w:spacing w:after="120"/>
        <w:outlineLvl w:val="1"/>
        <w:rPr>
          <w:rFonts w:eastAsiaTheme="majorEastAsia" w:cstheme="majorBidi"/>
          <w:b/>
          <w:color w:val="4D4DB8"/>
          <w:sz w:val="28"/>
          <w:szCs w:val="26"/>
        </w:rPr>
      </w:pPr>
      <w:r w:rsidRPr="00DA6A45">
        <w:rPr>
          <w:rFonts w:eastAsiaTheme="majorEastAsia" w:cstheme="majorBidi"/>
          <w:b/>
          <w:color w:val="4D4DB8"/>
          <w:sz w:val="28"/>
          <w:szCs w:val="26"/>
        </w:rPr>
        <w:t xml:space="preserve">Exports of Australian waste and recovered materials in </w:t>
      </w:r>
      <w:r w:rsidR="009B17CE">
        <w:rPr>
          <w:rFonts w:eastAsiaTheme="majorEastAsia" w:cstheme="majorBidi"/>
          <w:b/>
          <w:color w:val="4D4DB8"/>
          <w:sz w:val="28"/>
          <w:szCs w:val="26"/>
        </w:rPr>
        <w:t>May </w:t>
      </w:r>
      <w:r w:rsidRPr="00DA6A45">
        <w:rPr>
          <w:rFonts w:eastAsiaTheme="majorEastAsia" w:cstheme="majorBidi"/>
          <w:b/>
          <w:color w:val="4D4DB8"/>
          <w:sz w:val="28"/>
          <w:szCs w:val="26"/>
        </w:rPr>
        <w:t>202</w:t>
      </w:r>
      <w:r w:rsidR="00110651">
        <w:rPr>
          <w:rFonts w:eastAsiaTheme="majorEastAsia" w:cstheme="majorBidi"/>
          <w:b/>
          <w:color w:val="4D4DB8"/>
          <w:sz w:val="28"/>
          <w:szCs w:val="26"/>
        </w:rPr>
        <w:t>1</w:t>
      </w:r>
    </w:p>
    <w:p w14:paraId="599D0EBA" w14:textId="2817BB9A" w:rsidR="00DA6A45" w:rsidRPr="00DA6A45" w:rsidRDefault="00102B40" w:rsidP="00DA6A45">
      <w:pPr>
        <w:jc w:val="right"/>
        <w:rPr>
          <w:i/>
        </w:rPr>
      </w:pPr>
      <w:r>
        <w:rPr>
          <w:i/>
        </w:rPr>
        <w:t>16 August</w:t>
      </w:r>
      <w:r w:rsidR="009B4BCA">
        <w:rPr>
          <w:i/>
        </w:rPr>
        <w:t> </w:t>
      </w:r>
      <w:r w:rsidR="00DA6A45" w:rsidRPr="00DA6A45">
        <w:rPr>
          <w:i/>
        </w:rPr>
        <w:t>202</w:t>
      </w:r>
      <w:r w:rsidR="00E44550">
        <w:rPr>
          <w:i/>
        </w:rPr>
        <w:t>1</w:t>
      </w:r>
      <w:r w:rsidR="00DA6A45" w:rsidRPr="00DA6A45">
        <w:rPr>
          <w:i/>
        </w:rPr>
        <w:t>, Sally Donovan</w:t>
      </w:r>
      <w:r w:rsidR="00646F31">
        <w:rPr>
          <w:i/>
        </w:rPr>
        <w:t xml:space="preserve"> and Joe Pickin</w:t>
      </w:r>
    </w:p>
    <w:p w14:paraId="794AEC7A" w14:textId="77777777" w:rsidR="00DA6A45" w:rsidRPr="00DA6A45" w:rsidRDefault="00DA6A45" w:rsidP="00DA6A45">
      <w:pPr>
        <w:spacing w:before="120" w:after="120"/>
        <w:jc w:val="right"/>
        <w:rPr>
          <w:i/>
        </w:rPr>
      </w:pPr>
      <w:r w:rsidRPr="00DA6A45">
        <w:rPr>
          <w:i/>
          <w:sz w:val="16"/>
          <w:szCs w:val="16"/>
        </w:rPr>
        <w:t>©The Department of Agriculture, Water and the Environment</w:t>
      </w:r>
    </w:p>
    <w:p w14:paraId="3817858C" w14:textId="4C611B29" w:rsidR="00AD4659" w:rsidRDefault="00AF1D05" w:rsidP="00381EE0">
      <w:pPr>
        <w:pStyle w:val="BodyText"/>
        <w:spacing w:after="120"/>
      </w:pPr>
      <w:r>
        <w:t xml:space="preserve">Blue Environment is commissioned by the Department of </w:t>
      </w:r>
      <w:r w:rsidR="003B0ED0">
        <w:t xml:space="preserve">Agriculture, Water and </w:t>
      </w:r>
      <w:r w:rsidR="005D3814">
        <w:t xml:space="preserve">the </w:t>
      </w:r>
      <w:r w:rsidR="003B0ED0">
        <w:t>Environment</w:t>
      </w:r>
      <w:r>
        <w:t xml:space="preserve"> to </w:t>
      </w:r>
      <w:r w:rsidR="00DF2526">
        <w:t xml:space="preserve">produce, </w:t>
      </w:r>
      <w:r w:rsidR="001D40D7">
        <w:t xml:space="preserve">analyse and report on </w:t>
      </w:r>
      <w:r w:rsidR="00862833">
        <w:t xml:space="preserve">monthly exports of </w:t>
      </w:r>
      <w:r w:rsidR="00693E99">
        <w:t>waste</w:t>
      </w:r>
      <w:r w:rsidR="003F0BCD">
        <w:t xml:space="preserve"> and recovered materials</w:t>
      </w:r>
      <w:r w:rsidR="00AD4659">
        <w:rPr>
          <w:rStyle w:val="FootnoteReference"/>
        </w:rPr>
        <w:footnoteReference w:id="1"/>
      </w:r>
      <w:r>
        <w:t xml:space="preserve">. The </w:t>
      </w:r>
      <w:r w:rsidR="00DF2526">
        <w:t xml:space="preserve">original </w:t>
      </w:r>
      <w:r>
        <w:t>data is provided by the Australian Bureau of Statistics</w:t>
      </w:r>
      <w:r w:rsidR="00DF2526">
        <w:t xml:space="preserve"> (ABS)</w:t>
      </w:r>
      <w:r>
        <w:t xml:space="preserve">, </w:t>
      </w:r>
      <w:r w:rsidR="0033615A">
        <w:t>and comprises</w:t>
      </w:r>
      <w:r>
        <w:t xml:space="preserve"> monthly data </w:t>
      </w:r>
      <w:r w:rsidR="004058FA">
        <w:t>and</w:t>
      </w:r>
      <w:r>
        <w:t xml:space="preserve"> updates</w:t>
      </w:r>
      <w:r w:rsidR="00486797">
        <w:t xml:space="preserve"> to previously reported data</w:t>
      </w:r>
      <w:r w:rsidR="00084FDB">
        <w:rPr>
          <w:rStyle w:val="FootnoteReference"/>
        </w:rPr>
        <w:footnoteReference w:id="2"/>
      </w:r>
      <w:r w:rsidR="00084FDB">
        <w:rPr>
          <w:vertAlign w:val="superscript"/>
        </w:rPr>
        <w:t>,</w:t>
      </w:r>
      <w:r w:rsidR="004058FA">
        <w:rPr>
          <w:rStyle w:val="FootnoteReference"/>
        </w:rPr>
        <w:footnoteReference w:id="3"/>
      </w:r>
      <w:r w:rsidR="00084FDB">
        <w:rPr>
          <w:vertAlign w:val="superscript"/>
        </w:rPr>
        <w:t>,</w:t>
      </w:r>
      <w:r w:rsidR="00084FDB">
        <w:rPr>
          <w:rStyle w:val="FootnoteReference"/>
        </w:rPr>
        <w:footnoteReference w:id="4"/>
      </w:r>
      <w:r>
        <w:t>.</w:t>
      </w:r>
      <w:r w:rsidR="004B2354">
        <w:t xml:space="preserve"> </w:t>
      </w:r>
      <w:r w:rsidR="00DF2526">
        <w:t>Th</w:t>
      </w:r>
      <w:r w:rsidR="008A188B">
        <w:t>e</w:t>
      </w:r>
      <w:r w:rsidR="00DF2526">
        <w:t xml:space="preserve"> ABS data is transformed to account for issues such as trade codes </w:t>
      </w:r>
      <w:r w:rsidR="008A188B">
        <w:t>covering</w:t>
      </w:r>
      <w:r w:rsidR="00DF2526">
        <w:t xml:space="preserve"> a mixture of wastes and non-wastes, and </w:t>
      </w:r>
      <w:r w:rsidR="000A2ACE">
        <w:t>to make</w:t>
      </w:r>
      <w:r w:rsidR="00DF2526">
        <w:t xml:space="preserve"> it consistent with national waste data methods. </w:t>
      </w:r>
      <w:r w:rsidR="00F03947">
        <w:t>On a tonnage basis nearly all these exports are materials recovered from waste streams for recycling</w:t>
      </w:r>
      <w:r w:rsidR="003F0BCD">
        <w:rPr>
          <w:rStyle w:val="FootnoteReference"/>
        </w:rPr>
        <w:footnoteReference w:id="5"/>
      </w:r>
      <w:r w:rsidR="00F03947">
        <w:t xml:space="preserve"> or energy recovery</w:t>
      </w:r>
      <w:r w:rsidR="00B02A2E">
        <w:t>, but a small portion is hazardous waste sent for treatment</w:t>
      </w:r>
      <w:r w:rsidR="00F03947">
        <w:t xml:space="preserve">. </w:t>
      </w:r>
      <w:r w:rsidR="00AD4659">
        <w:t xml:space="preserve">Monthly data is highly variable, and trends </w:t>
      </w:r>
      <w:r w:rsidR="00FC346D">
        <w:t>are</w:t>
      </w:r>
      <w:r w:rsidR="00AD4659">
        <w:t xml:space="preserve"> best </w:t>
      </w:r>
      <w:r w:rsidR="00FC346D">
        <w:t>observed</w:t>
      </w:r>
      <w:r w:rsidR="00AD4659">
        <w:t xml:space="preserve"> through the annual reports produced in this series. </w:t>
      </w:r>
    </w:p>
    <w:p w14:paraId="46C49E33" w14:textId="7465FDA7" w:rsidR="00E30EBE" w:rsidRPr="00850B51" w:rsidRDefault="00E30EBE" w:rsidP="00A355CF">
      <w:pPr>
        <w:pStyle w:val="Heading3-nonumber"/>
        <w:shd w:val="clear" w:color="auto" w:fill="F2F2F2" w:themeFill="background1" w:themeFillShade="F2"/>
        <w:spacing w:before="240"/>
      </w:pPr>
      <w:r>
        <w:t>Summary</w:t>
      </w:r>
    </w:p>
    <w:p w14:paraId="7F2147B7" w14:textId="0E82DFC3" w:rsidR="00EF1F9C" w:rsidRDefault="0083200E" w:rsidP="00381EE0">
      <w:pPr>
        <w:pStyle w:val="BodyText"/>
        <w:shd w:val="clear" w:color="auto" w:fill="F2F2F2" w:themeFill="background1" w:themeFillShade="F2"/>
        <w:spacing w:after="120"/>
      </w:pPr>
      <w:r w:rsidRPr="00545CCF">
        <w:t xml:space="preserve">In </w:t>
      </w:r>
      <w:r w:rsidR="009B17CE">
        <w:t>May </w:t>
      </w:r>
      <w:r w:rsidR="00C742F0">
        <w:t>2</w:t>
      </w:r>
      <w:r w:rsidR="00110651">
        <w:t>021</w:t>
      </w:r>
      <w:r w:rsidRPr="00545CCF">
        <w:t xml:space="preserve">, Australia exported </w:t>
      </w:r>
      <w:r w:rsidR="00C3658F" w:rsidRPr="0049132A">
        <w:t>about</w:t>
      </w:r>
      <w:r w:rsidR="007928A3" w:rsidRPr="0049132A">
        <w:t xml:space="preserve"> </w:t>
      </w:r>
      <w:r w:rsidR="009B17CE">
        <w:t>510</w:t>
      </w:r>
      <w:r w:rsidR="00E80E97" w:rsidRPr="00D245D3">
        <w:t>,000</w:t>
      </w:r>
      <w:r w:rsidR="00A040BA">
        <w:t> </w:t>
      </w:r>
      <w:r w:rsidRPr="00545CCF">
        <w:t xml:space="preserve">tonnes of </w:t>
      </w:r>
      <w:r w:rsidR="00C9470A">
        <w:t>waste and recovered materials</w:t>
      </w:r>
      <w:r w:rsidRPr="00545CCF">
        <w:t xml:space="preserve"> with a </w:t>
      </w:r>
      <w:r w:rsidR="00A24EFE">
        <w:t xml:space="preserve">reported </w:t>
      </w:r>
      <w:r w:rsidRPr="00545CCF">
        <w:t xml:space="preserve">value </w:t>
      </w:r>
      <w:r w:rsidRPr="00D245D3">
        <w:t>of $</w:t>
      </w:r>
      <w:r w:rsidR="009B17CE">
        <w:t>420</w:t>
      </w:r>
      <w:r w:rsidR="008E309B">
        <w:t> </w:t>
      </w:r>
      <w:r w:rsidR="00B02451" w:rsidRPr="00D245D3">
        <w:t>million</w:t>
      </w:r>
      <w:r w:rsidR="00CA459B">
        <w:rPr>
          <w:rStyle w:val="FootnoteReference"/>
        </w:rPr>
        <w:footnoteReference w:id="6"/>
      </w:r>
      <w:r w:rsidRPr="00545CCF">
        <w:t>. This</w:t>
      </w:r>
      <w:r w:rsidR="00FD30F3" w:rsidRPr="00545CCF">
        <w:t xml:space="preserve"> represents</w:t>
      </w:r>
      <w:r w:rsidRPr="00545CCF">
        <w:t xml:space="preserve"> </w:t>
      </w:r>
      <w:r w:rsidR="0049132A">
        <w:t>a</w:t>
      </w:r>
      <w:r w:rsidR="009B17CE">
        <w:t xml:space="preserve">n increase </w:t>
      </w:r>
      <w:r w:rsidR="00E80E97">
        <w:t xml:space="preserve">of </w:t>
      </w:r>
      <w:r w:rsidR="009B17CE">
        <w:t>49</w:t>
      </w:r>
      <w:r w:rsidR="000A6DC0" w:rsidRPr="00D245D3">
        <w:t xml:space="preserve">% </w:t>
      </w:r>
      <w:r w:rsidR="00040D3F" w:rsidRPr="00D245D3">
        <w:t xml:space="preserve">in tonnage </w:t>
      </w:r>
      <w:r w:rsidR="00D4097E">
        <w:t xml:space="preserve">and </w:t>
      </w:r>
      <w:r w:rsidR="009B17CE">
        <w:t>33</w:t>
      </w:r>
      <w:r w:rsidR="00040D3F" w:rsidRPr="00D245D3">
        <w:t>% in value compared to the previous month.</w:t>
      </w:r>
      <w:r w:rsidR="00DD1345">
        <w:t xml:space="preserve"> </w:t>
      </w:r>
      <w:r w:rsidR="000277E7">
        <w:t xml:space="preserve">The exports included </w:t>
      </w:r>
      <w:r w:rsidR="009B17CE">
        <w:t>453</w:t>
      </w:r>
      <w:r w:rsidR="000277E7">
        <w:t>,000 tonnes (</w:t>
      </w:r>
      <w:r w:rsidR="0063021E">
        <w:t>8</w:t>
      </w:r>
      <w:r w:rsidR="0093636C">
        <w:t>9</w:t>
      </w:r>
      <w:r w:rsidR="000277E7">
        <w:t xml:space="preserve">%) </w:t>
      </w:r>
      <w:r w:rsidR="006F2701">
        <w:t>within the</w:t>
      </w:r>
      <w:r w:rsidR="00DF2526">
        <w:t xml:space="preserve"> </w:t>
      </w:r>
      <w:r w:rsidR="006F2701">
        <w:t>scope of national waste reporting</w:t>
      </w:r>
      <w:r w:rsidR="00E918F3">
        <w:t xml:space="preserve"> </w:t>
      </w:r>
      <w:r w:rsidR="006F2701">
        <w:t>(‘</w:t>
      </w:r>
      <w:r w:rsidR="00E918F3">
        <w:t>core waste plus ash</w:t>
      </w:r>
      <w:r w:rsidR="006F2701">
        <w:t>’)</w:t>
      </w:r>
      <w:r w:rsidR="00E918F3">
        <w:t xml:space="preserve">. </w:t>
      </w:r>
      <w:r w:rsidR="004109E1">
        <w:t xml:space="preserve">This is the </w:t>
      </w:r>
      <w:r w:rsidR="00744929">
        <w:t>highest</w:t>
      </w:r>
      <w:r w:rsidR="004109E1">
        <w:t xml:space="preserve"> </w:t>
      </w:r>
      <w:r w:rsidR="0093636C">
        <w:t xml:space="preserve">monthly </w:t>
      </w:r>
      <w:r w:rsidR="004109E1">
        <w:t>export</w:t>
      </w:r>
      <w:r w:rsidR="00E40518">
        <w:t xml:space="preserve"> tonnage in</w:t>
      </w:r>
      <w:r w:rsidR="0093636C">
        <w:t xml:space="preserve"> the analys</w:t>
      </w:r>
      <w:r w:rsidR="00E40518">
        <w:t xml:space="preserve">ed </w:t>
      </w:r>
      <w:r w:rsidR="0093636C">
        <w:t xml:space="preserve">period </w:t>
      </w:r>
      <w:r w:rsidR="00E40518">
        <w:t xml:space="preserve">from </w:t>
      </w:r>
      <w:r w:rsidR="004109E1">
        <w:t>July</w:t>
      </w:r>
      <w:r w:rsidR="00E40518">
        <w:t> </w:t>
      </w:r>
      <w:r w:rsidR="004109E1">
        <w:t>2017</w:t>
      </w:r>
      <w:r w:rsidR="0093636C">
        <w:t>.</w:t>
      </w:r>
      <w:r w:rsidR="004109E1">
        <w:t xml:space="preserve"> </w:t>
      </w:r>
      <w:r w:rsidR="00E40518">
        <w:t>The increase was</w:t>
      </w:r>
      <w:r w:rsidR="004109E1">
        <w:t xml:space="preserve"> mainly</w:t>
      </w:r>
      <w:r w:rsidR="00744929">
        <w:t xml:space="preserve"> </w:t>
      </w:r>
      <w:r w:rsidR="004109E1">
        <w:t>a surge in metal exports</w:t>
      </w:r>
      <w:r w:rsidR="00995D53">
        <w:t xml:space="preserve">, which </w:t>
      </w:r>
      <w:r w:rsidR="004109E1">
        <w:t>also</w:t>
      </w:r>
      <w:r w:rsidR="00744929">
        <w:t xml:space="preserve"> reached its highest level at</w:t>
      </w:r>
      <w:r w:rsidR="004109E1">
        <w:t xml:space="preserve"> 30</w:t>
      </w:r>
      <w:r w:rsidR="00744929">
        <w:t>6</w:t>
      </w:r>
      <w:r w:rsidR="004109E1">
        <w:t>,000 tonnes.</w:t>
      </w:r>
    </w:p>
    <w:p w14:paraId="4338DE4E" w14:textId="0E7378AA" w:rsidR="000B4AF3" w:rsidRDefault="002615D4" w:rsidP="00381EE0">
      <w:pPr>
        <w:pStyle w:val="BodyText"/>
        <w:shd w:val="clear" w:color="auto" w:fill="F2F2F2" w:themeFill="background1" w:themeFillShade="F2"/>
        <w:spacing w:after="120"/>
      </w:pPr>
      <w:r w:rsidRPr="00BF0139">
        <w:t xml:space="preserve">About </w:t>
      </w:r>
      <w:r w:rsidR="009B17CE">
        <w:t>132</w:t>
      </w:r>
      <w:r w:rsidR="009E5752" w:rsidRPr="00BF0139">
        <w:t>,000</w:t>
      </w:r>
      <w:r w:rsidR="00A040BA">
        <w:t> </w:t>
      </w:r>
      <w:r w:rsidRPr="00BF0139">
        <w:t xml:space="preserve">tonnes </w:t>
      </w:r>
      <w:r w:rsidR="00E865E3">
        <w:t>w</w:t>
      </w:r>
      <w:r w:rsidR="004E7104">
        <w:t>ere</w:t>
      </w:r>
      <w:r w:rsidR="001C3828" w:rsidRPr="00BF0139">
        <w:t xml:space="preserve"> </w:t>
      </w:r>
      <w:r w:rsidR="009E5752" w:rsidRPr="00BF0139">
        <w:t xml:space="preserve">exported in </w:t>
      </w:r>
      <w:r w:rsidR="009B17CE">
        <w:t>May</w:t>
      </w:r>
      <w:r w:rsidR="00E865E3">
        <w:t xml:space="preserve"> in codes that</w:t>
      </w:r>
      <w:r w:rsidR="00BB0D07" w:rsidRPr="00BF0139">
        <w:t xml:space="preserve"> </w:t>
      </w:r>
      <w:r w:rsidR="009E5752" w:rsidRPr="00BF0139">
        <w:t xml:space="preserve">could be affected by </w:t>
      </w:r>
      <w:r w:rsidR="00A86113">
        <w:t>Australia’s</w:t>
      </w:r>
      <w:r w:rsidR="001C3828" w:rsidRPr="00BF0139">
        <w:t xml:space="preserve"> </w:t>
      </w:r>
      <w:r w:rsidR="009E5752" w:rsidRPr="00BF0139">
        <w:t xml:space="preserve">export </w:t>
      </w:r>
      <w:r w:rsidR="001C3828" w:rsidRPr="00BF0139">
        <w:t>ban</w:t>
      </w:r>
      <w:r w:rsidR="00E865E3">
        <w:t>s</w:t>
      </w:r>
      <w:r w:rsidR="001C3828" w:rsidRPr="00BF0139">
        <w:t xml:space="preserve">. </w:t>
      </w:r>
      <w:r w:rsidR="009E5752" w:rsidRPr="00BF0139">
        <w:t xml:space="preserve">This </w:t>
      </w:r>
      <w:r w:rsidR="00180FF6" w:rsidRPr="00BF0139">
        <w:t>is</w:t>
      </w:r>
      <w:r w:rsidR="009E5752" w:rsidRPr="00BF0139">
        <w:t xml:space="preserve"> </w:t>
      </w:r>
      <w:r w:rsidR="009B17CE">
        <w:t>26</w:t>
      </w:r>
      <w:r w:rsidR="000F315D" w:rsidRPr="00BF0139">
        <w:t>%</w:t>
      </w:r>
      <w:r w:rsidR="009E5752" w:rsidRPr="00BF0139">
        <w:t xml:space="preserve"> of the total export</w:t>
      </w:r>
      <w:r w:rsidR="00E865E3">
        <w:t xml:space="preserve">s </w:t>
      </w:r>
      <w:r w:rsidR="00E865E3" w:rsidRPr="00BF0139">
        <w:t xml:space="preserve">of </w:t>
      </w:r>
      <w:r w:rsidR="00C9470A">
        <w:t>waste and recovered materials</w:t>
      </w:r>
      <w:r w:rsidR="009E5752" w:rsidRPr="00BF0139">
        <w:t>.</w:t>
      </w:r>
      <w:r w:rsidR="001C6127">
        <w:t xml:space="preserve"> </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4CDEB55B" w14:textId="2BCFCBC3" w:rsidR="006C74ED" w:rsidRDefault="00767CBE" w:rsidP="00381EE0">
      <w:pPr>
        <w:pStyle w:val="BodyText"/>
        <w:spacing w:after="120"/>
      </w:pPr>
      <w:r>
        <w:t>The top 10 recipients of Australian</w:t>
      </w:r>
      <w:r w:rsidR="002A4B1D">
        <w:t xml:space="preserve"> </w:t>
      </w:r>
      <w:r w:rsidR="00C9470A">
        <w:t>waste and recovered materials</w:t>
      </w:r>
      <w:r>
        <w:t xml:space="preserve"> </w:t>
      </w:r>
      <w:r w:rsidR="00913C37">
        <w:t>between</w:t>
      </w:r>
      <w:r w:rsidR="00A040BA">
        <w:t xml:space="preserve"> July </w:t>
      </w:r>
      <w:r>
        <w:t>201</w:t>
      </w:r>
      <w:r w:rsidR="00EF1F9C">
        <w:t>9</w:t>
      </w:r>
      <w:r w:rsidR="00913C37">
        <w:t xml:space="preserve"> and </w:t>
      </w:r>
      <w:r w:rsidR="009B17CE" w:rsidRPr="009B17CE">
        <w:t>May</w:t>
      </w:r>
      <w:r w:rsidR="009B17CE">
        <w:t> </w:t>
      </w:r>
      <w:r w:rsidR="00A31CAA" w:rsidRPr="009B17CE">
        <w:t>202</w:t>
      </w:r>
      <w:r w:rsidR="00110651" w:rsidRPr="009B17CE">
        <w:t>1</w:t>
      </w:r>
      <w:r w:rsidR="008E693A">
        <w:t>, in order,</w:t>
      </w:r>
      <w:r>
        <w:t xml:space="preserve"> were Indonesia</w:t>
      </w:r>
      <w:r w:rsidR="00D02BD1">
        <w:t>, India</w:t>
      </w:r>
      <w:r>
        <w:t xml:space="preserve">, </w:t>
      </w:r>
      <w:r w:rsidR="007225EB">
        <w:t>Vietnam</w:t>
      </w:r>
      <w:r w:rsidR="000C3A11">
        <w:t xml:space="preserve">, </w:t>
      </w:r>
      <w:r w:rsidR="007225EB">
        <w:t>Bangladesh</w:t>
      </w:r>
      <w:r>
        <w:t>,</w:t>
      </w:r>
      <w:r w:rsidR="003F4D50" w:rsidRPr="00586F34">
        <w:t xml:space="preserve"> </w:t>
      </w:r>
      <w:r w:rsidR="00B22900">
        <w:t xml:space="preserve">Malaysia, </w:t>
      </w:r>
      <w:r w:rsidRPr="00586F34">
        <w:t>China (including Hong Kong and Macau), Thailand, Taiwan</w:t>
      </w:r>
      <w:r w:rsidR="000C3A11">
        <w:t xml:space="preserve">, </w:t>
      </w:r>
      <w:r w:rsidR="00102B40">
        <w:t>South</w:t>
      </w:r>
      <w:r w:rsidR="000C3A11">
        <w:t xml:space="preserve"> Korea </w:t>
      </w:r>
      <w:r w:rsidRPr="00586F34">
        <w:t xml:space="preserve">and </w:t>
      </w:r>
      <w:r w:rsidR="00D02BD1">
        <w:t>Pakistan</w:t>
      </w:r>
      <w:r>
        <w:t>.</w:t>
      </w:r>
      <w:r w:rsidR="005D6C20">
        <w:t xml:space="preserve"> </w:t>
      </w:r>
      <w:r w:rsidR="006C74ED">
        <w:t>In</w:t>
      </w:r>
      <w:r w:rsidR="00756DD0">
        <w:t xml:space="preserve"> </w:t>
      </w:r>
      <w:r w:rsidR="009B17CE">
        <w:t>May </w:t>
      </w:r>
      <w:r w:rsidR="00110651">
        <w:t>2021</w:t>
      </w:r>
      <w:r w:rsidR="006C74ED">
        <w:t xml:space="preserve">, </w:t>
      </w:r>
      <w:r w:rsidR="009B17CE">
        <w:t>87</w:t>
      </w:r>
      <w:r w:rsidR="006C74ED">
        <w:t xml:space="preserve">% by weight of Australia’s </w:t>
      </w:r>
      <w:r w:rsidR="005D3814">
        <w:t xml:space="preserve">exported </w:t>
      </w:r>
      <w:r w:rsidR="000C3A11">
        <w:t>waste and recovered materials</w:t>
      </w:r>
      <w:r w:rsidR="006C74ED">
        <w:t xml:space="preserve"> </w:t>
      </w:r>
      <w:r w:rsidR="00971618">
        <w:t>was</w:t>
      </w:r>
      <w:r w:rsidR="006C74ED">
        <w:t xml:space="preserve"> </w:t>
      </w:r>
      <w:r w:rsidR="005D3814">
        <w:t xml:space="preserve">sent </w:t>
      </w:r>
      <w:r w:rsidR="006C74ED">
        <w:t>to the</w:t>
      </w:r>
      <w:r>
        <w:t xml:space="preserve">se </w:t>
      </w:r>
      <w:r w:rsidR="00AB1228">
        <w:t>destinations</w:t>
      </w:r>
      <w:r>
        <w:t>.</w:t>
      </w:r>
      <w:r w:rsidR="0064473D">
        <w:t xml:space="preserve"> </w:t>
      </w:r>
    </w:p>
    <w:p w14:paraId="151B174F" w14:textId="0A4554EB" w:rsidR="00E54C5F" w:rsidRDefault="00F75B4F" w:rsidP="00381EE0">
      <w:pPr>
        <w:pStyle w:val="BodyText"/>
        <w:spacing w:after="120"/>
      </w:pPr>
      <w:r w:rsidRPr="009F3FF5">
        <w:t xml:space="preserve">Table 1 </w:t>
      </w:r>
      <w:r w:rsidR="00767CBE" w:rsidRPr="009F3FF5">
        <w:t xml:space="preserve">(overleaf) </w:t>
      </w:r>
      <w:r w:rsidRPr="009F3FF5">
        <w:t xml:space="preserve">compares exports </w:t>
      </w:r>
      <w:r w:rsidR="000A6DC0" w:rsidRPr="009F3FF5">
        <w:t xml:space="preserve">of </w:t>
      </w:r>
      <w:r w:rsidR="00C9470A">
        <w:t>waste and recovered materials</w:t>
      </w:r>
      <w:r w:rsidR="000A6DC0" w:rsidRPr="009F3FF5">
        <w:t xml:space="preserve"> to </w:t>
      </w:r>
      <w:r w:rsidRPr="009F3FF5">
        <w:t xml:space="preserve">the top 10 </w:t>
      </w:r>
      <w:r w:rsidR="00AB1228">
        <w:t>destinations</w:t>
      </w:r>
      <w:r w:rsidRPr="009F3FF5">
        <w:t xml:space="preserve"> </w:t>
      </w:r>
      <w:r w:rsidR="00FE67BB" w:rsidRPr="009F3FF5">
        <w:t xml:space="preserve">in </w:t>
      </w:r>
      <w:r w:rsidR="009B17CE">
        <w:t>April</w:t>
      </w:r>
      <w:r w:rsidR="000C3A11">
        <w:t xml:space="preserve"> </w:t>
      </w:r>
      <w:r w:rsidR="00D02BD1">
        <w:t>and</w:t>
      </w:r>
      <w:r w:rsidR="00756DD0">
        <w:t xml:space="preserve"> </w:t>
      </w:r>
      <w:r w:rsidR="009B17CE">
        <w:t>May </w:t>
      </w:r>
      <w:r w:rsidR="00A31CAA" w:rsidRPr="009F3FF5">
        <w:t>202</w:t>
      </w:r>
      <w:r w:rsidR="00110651">
        <w:t>1</w:t>
      </w:r>
      <w:r w:rsidR="00BB0D07" w:rsidRPr="009F3FF5">
        <w:t xml:space="preserve"> </w:t>
      </w:r>
      <w:r w:rsidR="00FE67BB" w:rsidRPr="009F3FF5">
        <w:t xml:space="preserve">and includes each </w:t>
      </w:r>
      <w:r w:rsidR="00AB1228">
        <w:t>recipient’s</w:t>
      </w:r>
      <w:r w:rsidR="00FE67BB" w:rsidRPr="009F3FF5">
        <w:t xml:space="preserve"> 201</w:t>
      </w:r>
      <w:r w:rsidR="000C3A11">
        <w:t>9</w:t>
      </w:r>
      <w:r w:rsidR="00FE67BB" w:rsidRPr="009F3FF5">
        <w:t>-</w:t>
      </w:r>
      <w:r w:rsidR="000C3A11">
        <w:t>20</w:t>
      </w:r>
      <w:r w:rsidR="00FE67BB" w:rsidRPr="009F3FF5">
        <w:t xml:space="preserve"> monthly average</w:t>
      </w:r>
      <w:r w:rsidR="00FE67BB" w:rsidRPr="004109E1">
        <w:t xml:space="preserve">. </w:t>
      </w:r>
      <w:r w:rsidR="00E54C5F" w:rsidRPr="004109E1">
        <w:t xml:space="preserve">Exports to </w:t>
      </w:r>
      <w:r w:rsidR="00FA7FE5" w:rsidRPr="004109E1">
        <w:t xml:space="preserve">Vietnam, Taiwan and </w:t>
      </w:r>
      <w:r w:rsidR="00102B40">
        <w:t>South</w:t>
      </w:r>
      <w:r w:rsidR="00FA7FE5" w:rsidRPr="004109E1">
        <w:t xml:space="preserve"> Korea </w:t>
      </w:r>
      <w:r w:rsidR="00251931">
        <w:t>fell</w:t>
      </w:r>
      <w:r w:rsidR="00FA7FE5" w:rsidRPr="004109E1">
        <w:t xml:space="preserve"> slightly, while all other destinations </w:t>
      </w:r>
      <w:r w:rsidR="004109E1" w:rsidRPr="004109E1">
        <w:t>increased</w:t>
      </w:r>
      <w:r w:rsidR="004109E1">
        <w:t xml:space="preserve">. </w:t>
      </w:r>
      <w:r w:rsidR="000E05A0">
        <w:t>The largest total increase was to Indonesia, which received over 120,000 tonnes in May, the highest</w:t>
      </w:r>
      <w:r w:rsidR="00251931">
        <w:t xml:space="preserve"> monthly total to any country</w:t>
      </w:r>
      <w:r w:rsidR="000E05A0">
        <w:t xml:space="preserve"> </w:t>
      </w:r>
      <w:r w:rsidR="00251931">
        <w:t>over the 47-month</w:t>
      </w:r>
      <w:r w:rsidR="000E05A0">
        <w:t xml:space="preserve"> analysis period. This </w:t>
      </w:r>
      <w:r w:rsidR="00744929">
        <w:t xml:space="preserve">consisted of </w:t>
      </w:r>
      <w:r w:rsidR="00251931">
        <w:t xml:space="preserve">a large increase in scrap </w:t>
      </w:r>
      <w:r w:rsidR="000E05A0">
        <w:t>metal</w:t>
      </w:r>
      <w:r w:rsidR="00251931">
        <w:t>s on top of</w:t>
      </w:r>
      <w:r w:rsidR="00995D53">
        <w:t xml:space="preserve"> </w:t>
      </w:r>
      <w:r w:rsidR="000E05A0">
        <w:t xml:space="preserve">consistently </w:t>
      </w:r>
      <w:r w:rsidR="00744929">
        <w:t>high levels of scrap</w:t>
      </w:r>
      <w:r w:rsidR="000E05A0">
        <w:t xml:space="preserve"> paper and cardboard</w:t>
      </w:r>
      <w:r w:rsidR="00995D53">
        <w:t xml:space="preserve"> received by Indonesia since November 2020</w:t>
      </w:r>
      <w:r w:rsidR="000E05A0">
        <w:t xml:space="preserve">. </w:t>
      </w:r>
      <w:r w:rsidR="002C74EA">
        <w:t xml:space="preserve">The </w:t>
      </w:r>
      <w:r w:rsidR="00744929">
        <w:t>biggest</w:t>
      </w:r>
      <w:r w:rsidR="002C74EA">
        <w:t xml:space="preserve"> percentage increase was to Pakistan, which has periodically received similar large shipments of scrap metals.</w:t>
      </w:r>
    </w:p>
    <w:p w14:paraId="24C09868" w14:textId="07D3B276" w:rsidR="009E736B" w:rsidRDefault="009E736B" w:rsidP="005C2D73">
      <w:pPr>
        <w:pStyle w:val="BodyText"/>
        <w:spacing w:after="120"/>
      </w:pPr>
      <w:r w:rsidRPr="00BC658A">
        <w:t>Scrap m</w:t>
      </w:r>
      <w:r w:rsidR="0055204B" w:rsidRPr="00BC658A">
        <w:t>etals were the</w:t>
      </w:r>
      <w:r w:rsidR="00267D5A" w:rsidRPr="00BC658A">
        <w:t xml:space="preserve"> sole or</w:t>
      </w:r>
      <w:r w:rsidR="0055204B" w:rsidRPr="00BC658A">
        <w:t xml:space="preserve"> main export t</w:t>
      </w:r>
      <w:r w:rsidR="00767CBE" w:rsidRPr="00BC658A">
        <w:t>o Bangladesh</w:t>
      </w:r>
      <w:r w:rsidR="00B07B30" w:rsidRPr="00BC658A">
        <w:t> </w:t>
      </w:r>
      <w:r w:rsidR="0055204B" w:rsidRPr="00BC658A">
        <w:t>(</w:t>
      </w:r>
      <w:r w:rsidR="00E651FF" w:rsidRPr="00BC658A">
        <w:t>100</w:t>
      </w:r>
      <w:r w:rsidR="0055204B" w:rsidRPr="00BC658A">
        <w:t xml:space="preserve">%), </w:t>
      </w:r>
      <w:r w:rsidR="000C150C" w:rsidRPr="00BC658A">
        <w:t>Taiwan</w:t>
      </w:r>
      <w:r w:rsidR="00B07B30" w:rsidRPr="00BC658A">
        <w:t> </w:t>
      </w:r>
      <w:r w:rsidR="0055204B" w:rsidRPr="00BC658A">
        <w:t>(</w:t>
      </w:r>
      <w:r w:rsidR="00B540CE" w:rsidRPr="00BC658A">
        <w:t>9</w:t>
      </w:r>
      <w:r w:rsidR="00BC658A" w:rsidRPr="00BC658A">
        <w:t>8</w:t>
      </w:r>
      <w:r w:rsidR="0055204B" w:rsidRPr="00BC658A">
        <w:t>%)</w:t>
      </w:r>
      <w:r w:rsidR="00BC658A" w:rsidRPr="00BC658A">
        <w:t>,</w:t>
      </w:r>
      <w:r w:rsidR="00E651FF" w:rsidRPr="00BC658A">
        <w:t xml:space="preserve"> </w:t>
      </w:r>
      <w:r w:rsidR="002C74EA" w:rsidRPr="00BC658A">
        <w:t>Pakistan (94%)</w:t>
      </w:r>
      <w:r w:rsidR="002C74EA">
        <w:t xml:space="preserve"> and </w:t>
      </w:r>
      <w:r w:rsidR="00E651FF" w:rsidRPr="00BC658A">
        <w:t>China</w:t>
      </w:r>
      <w:r w:rsidR="00B07B30" w:rsidRPr="00BC658A">
        <w:t> </w:t>
      </w:r>
      <w:r w:rsidR="00E651FF" w:rsidRPr="00BC658A">
        <w:t>(8</w:t>
      </w:r>
      <w:r w:rsidR="00BC658A" w:rsidRPr="00BC658A">
        <w:t>9</w:t>
      </w:r>
      <w:r w:rsidR="00E651FF" w:rsidRPr="00BC658A">
        <w:t>%)</w:t>
      </w:r>
      <w:r w:rsidR="00BC658A" w:rsidRPr="00BC658A">
        <w:t>.</w:t>
      </w:r>
      <w:r w:rsidR="00B07B30" w:rsidRPr="00BC658A">
        <w:t xml:space="preserve"> Indonesia</w:t>
      </w:r>
      <w:r w:rsidR="000E73E5">
        <w:t xml:space="preserve"> received</w:t>
      </w:r>
      <w:r w:rsidR="006D2092">
        <w:t xml:space="preserve"> mainly</w:t>
      </w:r>
      <w:r w:rsidR="000E73E5">
        <w:t xml:space="preserve"> scrap paper and cardboard </w:t>
      </w:r>
      <w:r w:rsidR="006D2092">
        <w:t>(51</w:t>
      </w:r>
      <w:r w:rsidR="00675F55">
        <w:t>%)</w:t>
      </w:r>
      <w:r w:rsidR="006D2092">
        <w:t xml:space="preserve"> </w:t>
      </w:r>
      <w:r w:rsidR="000E73E5">
        <w:t>and metals</w:t>
      </w:r>
      <w:r w:rsidR="006D2092">
        <w:t xml:space="preserve"> (43%)</w:t>
      </w:r>
      <w:r w:rsidR="000E73E5">
        <w:t>, while Thailand accepted 83% metals and 16% paper and cardboard.</w:t>
      </w:r>
      <w:r w:rsidR="00267D5A" w:rsidRPr="00BC658A">
        <w:t xml:space="preserve"> </w:t>
      </w:r>
      <w:r w:rsidR="00B07B30" w:rsidRPr="00BC658A">
        <w:t>Vietnam</w:t>
      </w:r>
      <w:r w:rsidR="00360F1C">
        <w:t>’s receipts were</w:t>
      </w:r>
      <w:r w:rsidR="00B07B30" w:rsidRPr="00BC658A">
        <w:t xml:space="preserve"> </w:t>
      </w:r>
      <w:r w:rsidR="006D2092">
        <w:t xml:space="preserve">mainly </w:t>
      </w:r>
      <w:r w:rsidR="00B07B30" w:rsidRPr="00BC658A">
        <w:t>metals (</w:t>
      </w:r>
      <w:r w:rsidR="00BC658A" w:rsidRPr="00BC658A">
        <w:t>80</w:t>
      </w:r>
      <w:r w:rsidR="00B07B30" w:rsidRPr="00BC658A">
        <w:t>%) and agricultural organics (</w:t>
      </w:r>
      <w:r w:rsidR="00BC658A" w:rsidRPr="00BC658A">
        <w:t>1</w:t>
      </w:r>
      <w:r w:rsidR="00B07B30" w:rsidRPr="00BC658A">
        <w:t xml:space="preserve">3%). Exports to India were a mix of </w:t>
      </w:r>
      <w:r w:rsidR="00267D5A" w:rsidRPr="00BC658A">
        <w:t xml:space="preserve">scrap </w:t>
      </w:r>
      <w:r w:rsidR="00B07B30" w:rsidRPr="00BC658A">
        <w:t>metals (5</w:t>
      </w:r>
      <w:r w:rsidR="00BC658A" w:rsidRPr="00BC658A">
        <w:t>1</w:t>
      </w:r>
      <w:r w:rsidR="00B07B30" w:rsidRPr="00BC658A">
        <w:t>%), paper and cardboard (32%) and tyres (1</w:t>
      </w:r>
      <w:r w:rsidR="00BC658A" w:rsidRPr="00BC658A">
        <w:t>6</w:t>
      </w:r>
      <w:r w:rsidR="00B07B30" w:rsidRPr="00BC658A">
        <w:t xml:space="preserve">%). </w:t>
      </w:r>
      <w:r w:rsidR="00B07B30" w:rsidRPr="00EF08B5">
        <w:t>Malaysia received a mix of paper and cardboard (3</w:t>
      </w:r>
      <w:r w:rsidR="00BC658A" w:rsidRPr="00EF08B5">
        <w:t>8</w:t>
      </w:r>
      <w:r w:rsidR="00B07B30" w:rsidRPr="00EF08B5">
        <w:t>%), metals (</w:t>
      </w:r>
      <w:r w:rsidR="00BC658A" w:rsidRPr="00EF08B5">
        <w:t>33</w:t>
      </w:r>
      <w:r w:rsidR="00B07B30" w:rsidRPr="00EF08B5">
        <w:t>%) and plastic</w:t>
      </w:r>
      <w:r w:rsidR="00267D5A" w:rsidRPr="00EF08B5">
        <w:t>s</w:t>
      </w:r>
      <w:r w:rsidR="00B07B30" w:rsidRPr="00EF08B5">
        <w:t> (</w:t>
      </w:r>
      <w:r w:rsidR="00BC658A" w:rsidRPr="00EF08B5">
        <w:t>19</w:t>
      </w:r>
      <w:r w:rsidR="00B07B30" w:rsidRPr="00EF08B5">
        <w:t xml:space="preserve">%). </w:t>
      </w:r>
      <w:r w:rsidR="00102B40">
        <w:t>South</w:t>
      </w:r>
      <w:r w:rsidR="00B07B30" w:rsidRPr="00EF08B5">
        <w:t xml:space="preserve"> Korea received metals (</w:t>
      </w:r>
      <w:r w:rsidR="00BC658A" w:rsidRPr="00EF08B5">
        <w:t>63</w:t>
      </w:r>
      <w:r w:rsidR="00B07B30" w:rsidRPr="00EF08B5">
        <w:t>%), agricultural organics (</w:t>
      </w:r>
      <w:r w:rsidR="00EF08B5" w:rsidRPr="00EF08B5">
        <w:t>16</w:t>
      </w:r>
      <w:r w:rsidR="00B07B30" w:rsidRPr="00EF08B5">
        <w:t>%) and hazardous waste</w:t>
      </w:r>
      <w:r w:rsidR="002C74EA">
        <w:t>s</w:t>
      </w:r>
      <w:r w:rsidR="00B07B30" w:rsidRPr="00EF08B5">
        <w:t> (1</w:t>
      </w:r>
      <w:r w:rsidR="00BC658A" w:rsidRPr="00EF08B5">
        <w:t>2</w:t>
      </w:r>
      <w:r w:rsidR="00B07B30" w:rsidRPr="00EF08B5">
        <w:t>%).</w:t>
      </w:r>
      <w:r w:rsidR="00B07B30">
        <w:t xml:space="preserve"> </w:t>
      </w:r>
    </w:p>
    <w:p w14:paraId="3F774DC9" w14:textId="052DCC28" w:rsidR="00970B50" w:rsidRDefault="00B02451" w:rsidP="00AF3478">
      <w:pPr>
        <w:pStyle w:val="Caption"/>
      </w:pPr>
      <w:bookmarkStart w:id="1" w:name="_Ref524597468"/>
      <w:r>
        <w:lastRenderedPageBreak/>
        <w:t xml:space="preserve">Table </w:t>
      </w:r>
      <w:r w:rsidR="00EC1C4A">
        <w:rPr>
          <w:noProof/>
        </w:rPr>
        <w:fldChar w:fldCharType="begin"/>
      </w:r>
      <w:r w:rsidR="00EC1C4A">
        <w:rPr>
          <w:noProof/>
        </w:rPr>
        <w:instrText xml:space="preserve"> SEQ Table \* ARABIC </w:instrText>
      </w:r>
      <w:r w:rsidR="00EC1C4A">
        <w:rPr>
          <w:noProof/>
        </w:rPr>
        <w:fldChar w:fldCharType="separate"/>
      </w:r>
      <w:r w:rsidR="00295F56">
        <w:rPr>
          <w:noProof/>
        </w:rPr>
        <w:t>1</w:t>
      </w:r>
      <w:r w:rsidR="00EC1C4A">
        <w:rPr>
          <w:noProof/>
        </w:rPr>
        <w:fldChar w:fldCharType="end"/>
      </w:r>
      <w:bookmarkEnd w:id="1"/>
      <w:r>
        <w:tab/>
        <w:t>Comparison of month-to-month export</w:t>
      </w:r>
      <w:r w:rsidR="00FA1FB3">
        <w:t xml:space="preserve">s of </w:t>
      </w:r>
      <w:r w:rsidR="00C9470A">
        <w:t>waste and recovered materials</w:t>
      </w:r>
      <w:r w:rsidR="00FA1FB3">
        <w:t xml:space="preserve"> </w:t>
      </w:r>
      <w:r w:rsidR="003522E8">
        <w:t>by destination</w:t>
      </w:r>
    </w:p>
    <w:tbl>
      <w:tblPr>
        <w:tblW w:w="5001" w:type="pct"/>
        <w:tblLayout w:type="fixed"/>
        <w:tblLook w:val="04A0" w:firstRow="1" w:lastRow="0" w:firstColumn="1" w:lastColumn="0" w:noHBand="0" w:noVBand="1"/>
      </w:tblPr>
      <w:tblGrid>
        <w:gridCol w:w="453"/>
        <w:gridCol w:w="1666"/>
        <w:gridCol w:w="887"/>
        <w:gridCol w:w="613"/>
        <w:gridCol w:w="866"/>
        <w:gridCol w:w="804"/>
        <w:gridCol w:w="949"/>
        <w:gridCol w:w="850"/>
        <w:gridCol w:w="794"/>
        <w:gridCol w:w="817"/>
        <w:gridCol w:w="941"/>
      </w:tblGrid>
      <w:tr w:rsidR="00DF2526" w:rsidRPr="00AC119A" w14:paraId="6BC4C2A5" w14:textId="77777777" w:rsidTr="009B17CE">
        <w:trPr>
          <w:trHeight w:val="315"/>
        </w:trPr>
        <w:tc>
          <w:tcPr>
            <w:tcW w:w="1099" w:type="pct"/>
            <w:gridSpan w:val="2"/>
            <w:vMerge w:val="restart"/>
            <w:tcBorders>
              <w:left w:val="nil"/>
            </w:tcBorders>
            <w:shd w:val="clear" w:color="auto" w:fill="9494D4" w:themeFill="accent1" w:themeFillTint="99"/>
            <w:vAlign w:val="center"/>
            <w:hideMark/>
          </w:tcPr>
          <w:p w14:paraId="38D0287E" w14:textId="77777777" w:rsidR="00DF2526" w:rsidRPr="007D32CF" w:rsidRDefault="00DF2526" w:rsidP="00DF2526">
            <w:pPr>
              <w:rPr>
                <w:rFonts w:eastAsia="Times New Roman" w:cs="Calibri"/>
                <w:b/>
                <w:bCs/>
                <w:color w:val="FFFFFF"/>
                <w:sz w:val="18"/>
                <w:szCs w:val="18"/>
                <w:lang w:val="en-US"/>
              </w:rPr>
            </w:pPr>
            <w:r w:rsidRPr="007D32CF">
              <w:rPr>
                <w:rFonts w:eastAsia="Times New Roman" w:cs="Calibri"/>
                <w:b/>
                <w:bCs/>
                <w:color w:val="FFFFFF"/>
                <w:sz w:val="18"/>
                <w:szCs w:val="18"/>
                <w:lang w:val="en-US"/>
              </w:rPr>
              <w:t>Export destination (ranked by tonnes since July 201</w:t>
            </w:r>
            <w:r>
              <w:rPr>
                <w:rFonts w:eastAsia="Times New Roman" w:cs="Calibri"/>
                <w:b/>
                <w:bCs/>
                <w:color w:val="FFFFFF"/>
                <w:sz w:val="18"/>
                <w:szCs w:val="18"/>
                <w:lang w:val="en-US"/>
              </w:rPr>
              <w:t>9</w:t>
            </w:r>
            <w:r w:rsidRPr="007D32CF">
              <w:rPr>
                <w:rFonts w:eastAsia="Times New Roman" w:cs="Calibri"/>
                <w:b/>
                <w:bCs/>
                <w:color w:val="FFFFFF"/>
                <w:sz w:val="18"/>
                <w:szCs w:val="18"/>
                <w:lang w:val="en-US"/>
              </w:rPr>
              <w:t>)</w:t>
            </w:r>
          </w:p>
        </w:tc>
        <w:tc>
          <w:tcPr>
            <w:tcW w:w="778" w:type="pct"/>
            <w:gridSpan w:val="2"/>
            <w:shd w:val="clear" w:color="auto" w:fill="9494D4" w:themeFill="accent1" w:themeFillTint="99"/>
            <w:vAlign w:val="center"/>
            <w:hideMark/>
          </w:tcPr>
          <w:p w14:paraId="24AE3800" w14:textId="080E8B7D" w:rsidR="00DF2526" w:rsidRPr="007D32CF" w:rsidRDefault="009B17CE" w:rsidP="00DF2526">
            <w:pPr>
              <w:jc w:val="center"/>
              <w:rPr>
                <w:rFonts w:eastAsia="Times New Roman" w:cs="Calibri"/>
                <w:b/>
                <w:bCs/>
                <w:color w:val="FFFFFF"/>
                <w:sz w:val="18"/>
                <w:szCs w:val="18"/>
                <w:lang w:val="en-US"/>
              </w:rPr>
            </w:pPr>
            <w:r>
              <w:rPr>
                <w:rFonts w:eastAsia="Times New Roman" w:cs="Calibri"/>
                <w:b/>
                <w:bCs/>
                <w:color w:val="FFFFFF"/>
                <w:sz w:val="18"/>
                <w:szCs w:val="18"/>
                <w:lang w:val="en-US"/>
              </w:rPr>
              <w:t>May</w:t>
            </w:r>
            <w:r w:rsidR="00DF2526" w:rsidRPr="007D32CF">
              <w:rPr>
                <w:rFonts w:eastAsia="Times New Roman" w:cs="Calibri"/>
                <w:b/>
                <w:bCs/>
                <w:color w:val="FFFFFF"/>
                <w:sz w:val="18"/>
                <w:szCs w:val="18"/>
                <w:lang w:val="en-US"/>
              </w:rPr>
              <w:t>-2</w:t>
            </w:r>
            <w:r w:rsidR="00110651">
              <w:rPr>
                <w:rFonts w:eastAsia="Times New Roman" w:cs="Calibri"/>
                <w:b/>
                <w:bCs/>
                <w:color w:val="FFFFFF"/>
                <w:sz w:val="18"/>
                <w:szCs w:val="18"/>
                <w:lang w:val="en-US"/>
              </w:rPr>
              <w:t>1</w:t>
            </w:r>
          </w:p>
        </w:tc>
        <w:tc>
          <w:tcPr>
            <w:tcW w:w="449" w:type="pct"/>
            <w:shd w:val="clear" w:color="auto" w:fill="9494D4" w:themeFill="accent1" w:themeFillTint="99"/>
            <w:vAlign w:val="center"/>
            <w:hideMark/>
          </w:tcPr>
          <w:p w14:paraId="4AA723C1" w14:textId="0EF26F41" w:rsidR="00DF2526" w:rsidRPr="007D32CF" w:rsidRDefault="009B17CE"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Apr</w:t>
            </w:r>
            <w:r w:rsidR="00DF2526" w:rsidRPr="007D32CF">
              <w:rPr>
                <w:rFonts w:eastAsia="Times New Roman" w:cs="Calibri"/>
                <w:b/>
                <w:bCs/>
                <w:color w:val="FFFFFF"/>
                <w:sz w:val="18"/>
                <w:szCs w:val="18"/>
                <w:lang w:val="en-US"/>
              </w:rPr>
              <w:t>-2</w:t>
            </w:r>
            <w:r w:rsidR="00110651">
              <w:rPr>
                <w:rFonts w:eastAsia="Times New Roman" w:cs="Calibri"/>
                <w:b/>
                <w:bCs/>
                <w:color w:val="FFFFFF"/>
                <w:sz w:val="18"/>
                <w:szCs w:val="18"/>
                <w:lang w:val="en-US"/>
              </w:rPr>
              <w:t>1</w:t>
            </w:r>
          </w:p>
        </w:tc>
        <w:tc>
          <w:tcPr>
            <w:tcW w:w="417" w:type="pct"/>
            <w:shd w:val="clear" w:color="auto" w:fill="9494D4" w:themeFill="accent1" w:themeFillTint="99"/>
            <w:vAlign w:val="center"/>
            <w:hideMark/>
          </w:tcPr>
          <w:p w14:paraId="09136F18" w14:textId="77777777" w:rsidR="00DF2526" w:rsidRPr="007D32CF" w:rsidRDefault="00DF2526" w:rsidP="00DF2526">
            <w:pPr>
              <w:rPr>
                <w:rFonts w:eastAsia="Times New Roman" w:cs="Calibri"/>
                <w:b/>
                <w:bCs/>
                <w:color w:val="FFFFFF"/>
                <w:sz w:val="18"/>
                <w:szCs w:val="18"/>
                <w:lang w:val="en-US"/>
              </w:rPr>
            </w:pPr>
            <w:r w:rsidRPr="007D32CF">
              <w:rPr>
                <w:rFonts w:eastAsia="Times New Roman" w:cs="Calibri"/>
                <w:b/>
                <w:bCs/>
                <w:color w:val="FFFFFF"/>
                <w:sz w:val="18"/>
                <w:szCs w:val="18"/>
                <w:lang w:val="en-US"/>
              </w:rPr>
              <w:t> </w:t>
            </w:r>
          </w:p>
        </w:tc>
        <w:tc>
          <w:tcPr>
            <w:tcW w:w="492" w:type="pct"/>
            <w:vMerge w:val="restart"/>
            <w:shd w:val="clear" w:color="auto" w:fill="9494D4" w:themeFill="accent1" w:themeFillTint="99"/>
            <w:vAlign w:val="bottom"/>
            <w:hideMark/>
          </w:tcPr>
          <w:p w14:paraId="4999A63D"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2019-20 monthly avg</w:t>
            </w:r>
            <w:r>
              <w:rPr>
                <w:rFonts w:eastAsia="Times New Roman" w:cs="Calibri"/>
                <w:b/>
                <w:bCs/>
                <w:color w:val="FFFFFF"/>
                <w:sz w:val="18"/>
                <w:szCs w:val="18"/>
                <w:lang w:val="en-US"/>
              </w:rPr>
              <w:t xml:space="preserve"> tonnes</w:t>
            </w:r>
          </w:p>
        </w:tc>
        <w:tc>
          <w:tcPr>
            <w:tcW w:w="441" w:type="pct"/>
            <w:shd w:val="clear" w:color="auto" w:fill="9494D4" w:themeFill="accent1" w:themeFillTint="99"/>
            <w:vAlign w:val="center"/>
            <w:hideMark/>
          </w:tcPr>
          <w:p w14:paraId="268B46AE" w14:textId="585B0497" w:rsidR="00DF2526" w:rsidRPr="007D32CF" w:rsidRDefault="009B17CE"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May</w:t>
            </w:r>
            <w:r w:rsidR="00DF2526" w:rsidRPr="007D32CF">
              <w:rPr>
                <w:rFonts w:eastAsia="Times New Roman" w:cs="Calibri"/>
                <w:b/>
                <w:bCs/>
                <w:color w:val="FFFFFF"/>
                <w:sz w:val="18"/>
                <w:szCs w:val="18"/>
                <w:lang w:val="en-US"/>
              </w:rPr>
              <w:t>-2</w:t>
            </w:r>
            <w:r w:rsidR="00A05EC5">
              <w:rPr>
                <w:rFonts w:eastAsia="Times New Roman" w:cs="Calibri"/>
                <w:b/>
                <w:bCs/>
                <w:color w:val="FFFFFF"/>
                <w:sz w:val="18"/>
                <w:szCs w:val="18"/>
                <w:lang w:val="en-US"/>
              </w:rPr>
              <w:t>1</w:t>
            </w:r>
          </w:p>
        </w:tc>
        <w:tc>
          <w:tcPr>
            <w:tcW w:w="412" w:type="pct"/>
            <w:shd w:val="clear" w:color="auto" w:fill="9494D4" w:themeFill="accent1" w:themeFillTint="99"/>
            <w:vAlign w:val="center"/>
            <w:hideMark/>
          </w:tcPr>
          <w:p w14:paraId="482356DB" w14:textId="73E3A717" w:rsidR="00DF2526" w:rsidRPr="007D32CF" w:rsidRDefault="009B17CE"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Apr</w:t>
            </w:r>
            <w:r w:rsidR="00DF2526" w:rsidRPr="007D32CF">
              <w:rPr>
                <w:rFonts w:eastAsia="Times New Roman" w:cs="Calibri"/>
                <w:b/>
                <w:bCs/>
                <w:color w:val="FFFFFF"/>
                <w:sz w:val="18"/>
                <w:szCs w:val="18"/>
                <w:lang w:val="en-US"/>
              </w:rPr>
              <w:t>-2</w:t>
            </w:r>
            <w:r w:rsidR="00A05EC5">
              <w:rPr>
                <w:rFonts w:eastAsia="Times New Roman" w:cs="Calibri"/>
                <w:b/>
                <w:bCs/>
                <w:color w:val="FFFFFF"/>
                <w:sz w:val="18"/>
                <w:szCs w:val="18"/>
                <w:lang w:val="en-US"/>
              </w:rPr>
              <w:t>1</w:t>
            </w:r>
          </w:p>
        </w:tc>
        <w:tc>
          <w:tcPr>
            <w:tcW w:w="424" w:type="pct"/>
            <w:shd w:val="clear" w:color="auto" w:fill="9494D4" w:themeFill="accent1" w:themeFillTint="99"/>
            <w:hideMark/>
          </w:tcPr>
          <w:p w14:paraId="0EC7DAA4" w14:textId="77777777" w:rsidR="00DF2526" w:rsidRPr="007D32CF" w:rsidRDefault="00DF2526" w:rsidP="00DF2526">
            <w:pPr>
              <w:rPr>
                <w:rFonts w:eastAsia="Times New Roman" w:cs="Calibri"/>
                <w:b/>
                <w:bCs/>
                <w:color w:val="FFFFFF"/>
                <w:sz w:val="18"/>
                <w:szCs w:val="18"/>
                <w:lang w:val="en-US"/>
              </w:rPr>
            </w:pPr>
            <w:r w:rsidRPr="007D32CF">
              <w:rPr>
                <w:rFonts w:eastAsia="Times New Roman" w:cs="Calibri"/>
                <w:b/>
                <w:bCs/>
                <w:color w:val="FFFFFF"/>
                <w:sz w:val="18"/>
                <w:szCs w:val="18"/>
                <w:lang w:val="en-US"/>
              </w:rPr>
              <w:t> </w:t>
            </w:r>
          </w:p>
        </w:tc>
        <w:tc>
          <w:tcPr>
            <w:tcW w:w="488" w:type="pct"/>
            <w:vMerge w:val="restart"/>
            <w:tcBorders>
              <w:right w:val="nil"/>
            </w:tcBorders>
            <w:shd w:val="clear" w:color="auto" w:fill="9494D4" w:themeFill="accent1" w:themeFillTint="99"/>
            <w:vAlign w:val="bottom"/>
            <w:hideMark/>
          </w:tcPr>
          <w:p w14:paraId="241B7935" w14:textId="77777777" w:rsidR="00DF2526"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2019-20 monthly avg</w:t>
            </w:r>
            <w:r>
              <w:rPr>
                <w:rFonts w:eastAsia="Times New Roman" w:cs="Calibri"/>
                <w:b/>
                <w:bCs/>
                <w:color w:val="FFFFFF"/>
                <w:sz w:val="18"/>
                <w:szCs w:val="18"/>
                <w:lang w:val="en-US"/>
              </w:rPr>
              <w:t xml:space="preserve"> </w:t>
            </w:r>
          </w:p>
          <w:p w14:paraId="4D059F80" w14:textId="77777777" w:rsidR="00DF2526" w:rsidRPr="007D32CF" w:rsidRDefault="00DF2526"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 mil</w:t>
            </w:r>
          </w:p>
        </w:tc>
      </w:tr>
      <w:tr w:rsidR="00DF2526" w:rsidRPr="00AC119A" w14:paraId="397AE1DF" w14:textId="77777777" w:rsidTr="009B17CE">
        <w:trPr>
          <w:trHeight w:val="315"/>
        </w:trPr>
        <w:tc>
          <w:tcPr>
            <w:tcW w:w="1099" w:type="pct"/>
            <w:gridSpan w:val="2"/>
            <w:vMerge/>
            <w:tcBorders>
              <w:left w:val="nil"/>
              <w:bottom w:val="single" w:sz="8" w:space="0" w:color="B7B7E2"/>
            </w:tcBorders>
            <w:shd w:val="clear" w:color="auto" w:fill="9494D4" w:themeFill="accent1" w:themeFillTint="99"/>
            <w:vAlign w:val="center"/>
            <w:hideMark/>
          </w:tcPr>
          <w:p w14:paraId="766C2947" w14:textId="77777777" w:rsidR="00DF2526" w:rsidRPr="007D32CF" w:rsidRDefault="00DF2526" w:rsidP="00DF2526">
            <w:pPr>
              <w:rPr>
                <w:rFonts w:eastAsia="Times New Roman" w:cs="Calibri"/>
                <w:b/>
                <w:bCs/>
                <w:color w:val="FFFFFF"/>
                <w:sz w:val="18"/>
                <w:szCs w:val="18"/>
                <w:lang w:val="en-US"/>
              </w:rPr>
            </w:pPr>
          </w:p>
        </w:tc>
        <w:tc>
          <w:tcPr>
            <w:tcW w:w="460" w:type="pct"/>
            <w:tcBorders>
              <w:bottom w:val="single" w:sz="8" w:space="0" w:color="B7B7E2"/>
            </w:tcBorders>
            <w:shd w:val="clear" w:color="auto" w:fill="9494D4" w:themeFill="accent1" w:themeFillTint="99"/>
            <w:vAlign w:val="bottom"/>
            <w:hideMark/>
          </w:tcPr>
          <w:p w14:paraId="2E787404" w14:textId="77777777" w:rsidR="00DF2526" w:rsidRPr="007D32CF" w:rsidRDefault="00DF2526"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t</w:t>
            </w:r>
            <w:r w:rsidRPr="007D32CF">
              <w:rPr>
                <w:rFonts w:eastAsia="Times New Roman" w:cs="Calibri"/>
                <w:b/>
                <w:bCs/>
                <w:color w:val="FFFFFF"/>
                <w:sz w:val="18"/>
                <w:szCs w:val="18"/>
                <w:lang w:val="en-US"/>
              </w:rPr>
              <w:t>onnes</w:t>
            </w:r>
          </w:p>
        </w:tc>
        <w:tc>
          <w:tcPr>
            <w:tcW w:w="318" w:type="pct"/>
            <w:tcBorders>
              <w:bottom w:val="single" w:sz="8" w:space="0" w:color="B7B7E2"/>
            </w:tcBorders>
            <w:shd w:val="clear" w:color="auto" w:fill="9494D4" w:themeFill="accent1" w:themeFillTint="99"/>
            <w:vAlign w:val="bottom"/>
            <w:hideMark/>
          </w:tcPr>
          <w:p w14:paraId="5E079498"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of total</w:t>
            </w:r>
          </w:p>
        </w:tc>
        <w:tc>
          <w:tcPr>
            <w:tcW w:w="449" w:type="pct"/>
            <w:tcBorders>
              <w:bottom w:val="single" w:sz="8" w:space="0" w:color="B7B7E2"/>
            </w:tcBorders>
            <w:shd w:val="clear" w:color="auto" w:fill="9494D4" w:themeFill="accent1" w:themeFillTint="99"/>
            <w:vAlign w:val="bottom"/>
            <w:hideMark/>
          </w:tcPr>
          <w:p w14:paraId="63DC6E92" w14:textId="77777777" w:rsidR="00DF2526" w:rsidRPr="007D32CF" w:rsidRDefault="00DF2526" w:rsidP="00DF2526">
            <w:pPr>
              <w:jc w:val="right"/>
              <w:rPr>
                <w:rFonts w:eastAsia="Times New Roman" w:cs="Calibri"/>
                <w:b/>
                <w:bCs/>
                <w:color w:val="FFFFFF"/>
                <w:sz w:val="18"/>
                <w:szCs w:val="18"/>
                <w:lang w:val="en-US"/>
              </w:rPr>
            </w:pPr>
            <w:r>
              <w:rPr>
                <w:rFonts w:eastAsia="Times New Roman" w:cs="Calibri"/>
                <w:b/>
                <w:bCs/>
                <w:color w:val="FFFFFF"/>
                <w:sz w:val="18"/>
                <w:szCs w:val="18"/>
                <w:lang w:val="en-US"/>
              </w:rPr>
              <w:t>t</w:t>
            </w:r>
            <w:r w:rsidRPr="007D32CF">
              <w:rPr>
                <w:rFonts w:eastAsia="Times New Roman" w:cs="Calibri"/>
                <w:b/>
                <w:bCs/>
                <w:color w:val="FFFFFF"/>
                <w:sz w:val="18"/>
                <w:szCs w:val="18"/>
                <w:lang w:val="en-US"/>
              </w:rPr>
              <w:t>onnes</w:t>
            </w:r>
          </w:p>
        </w:tc>
        <w:tc>
          <w:tcPr>
            <w:tcW w:w="417" w:type="pct"/>
            <w:tcBorders>
              <w:bottom w:val="single" w:sz="8" w:space="0" w:color="B7B7E2"/>
            </w:tcBorders>
            <w:shd w:val="clear" w:color="auto" w:fill="9494D4" w:themeFill="accent1" w:themeFillTint="99"/>
            <w:vAlign w:val="bottom"/>
            <w:hideMark/>
          </w:tcPr>
          <w:p w14:paraId="1A8AD1B3"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change</w:t>
            </w:r>
          </w:p>
        </w:tc>
        <w:tc>
          <w:tcPr>
            <w:tcW w:w="492" w:type="pct"/>
            <w:vMerge/>
            <w:tcBorders>
              <w:bottom w:val="nil"/>
            </w:tcBorders>
            <w:shd w:val="clear" w:color="auto" w:fill="9494D4" w:themeFill="accent1" w:themeFillTint="99"/>
            <w:vAlign w:val="center"/>
            <w:hideMark/>
          </w:tcPr>
          <w:p w14:paraId="5A9B80C4" w14:textId="77777777" w:rsidR="00DF2526" w:rsidRPr="007D32CF" w:rsidRDefault="00DF2526" w:rsidP="00DF2526">
            <w:pPr>
              <w:rPr>
                <w:rFonts w:eastAsia="Times New Roman" w:cs="Calibri"/>
                <w:b/>
                <w:bCs/>
                <w:color w:val="FFFFFF"/>
                <w:sz w:val="18"/>
                <w:szCs w:val="18"/>
                <w:lang w:val="en-US"/>
              </w:rPr>
            </w:pPr>
          </w:p>
        </w:tc>
        <w:tc>
          <w:tcPr>
            <w:tcW w:w="441" w:type="pct"/>
            <w:tcBorders>
              <w:bottom w:val="nil"/>
            </w:tcBorders>
            <w:shd w:val="clear" w:color="auto" w:fill="9494D4" w:themeFill="accent1" w:themeFillTint="99"/>
            <w:vAlign w:val="bottom"/>
            <w:hideMark/>
          </w:tcPr>
          <w:p w14:paraId="1AA7B6A6"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mil</w:t>
            </w:r>
          </w:p>
        </w:tc>
        <w:tc>
          <w:tcPr>
            <w:tcW w:w="412" w:type="pct"/>
            <w:tcBorders>
              <w:bottom w:val="nil"/>
            </w:tcBorders>
            <w:shd w:val="clear" w:color="auto" w:fill="9494D4" w:themeFill="accent1" w:themeFillTint="99"/>
            <w:vAlign w:val="bottom"/>
            <w:hideMark/>
          </w:tcPr>
          <w:p w14:paraId="2F16B0CF"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mil</w:t>
            </w:r>
          </w:p>
        </w:tc>
        <w:tc>
          <w:tcPr>
            <w:tcW w:w="424" w:type="pct"/>
            <w:tcBorders>
              <w:bottom w:val="nil"/>
            </w:tcBorders>
            <w:shd w:val="clear" w:color="auto" w:fill="9494D4" w:themeFill="accent1" w:themeFillTint="99"/>
            <w:vAlign w:val="bottom"/>
            <w:hideMark/>
          </w:tcPr>
          <w:p w14:paraId="1489B903" w14:textId="77777777" w:rsidR="00DF2526" w:rsidRPr="007D32CF" w:rsidRDefault="00DF2526" w:rsidP="00DF2526">
            <w:pPr>
              <w:jc w:val="right"/>
              <w:rPr>
                <w:rFonts w:eastAsia="Times New Roman" w:cs="Calibri"/>
                <w:b/>
                <w:bCs/>
                <w:color w:val="FFFFFF"/>
                <w:sz w:val="18"/>
                <w:szCs w:val="18"/>
                <w:lang w:val="en-US"/>
              </w:rPr>
            </w:pPr>
            <w:r w:rsidRPr="007D32CF">
              <w:rPr>
                <w:rFonts w:eastAsia="Times New Roman" w:cs="Calibri"/>
                <w:b/>
                <w:bCs/>
                <w:color w:val="FFFFFF"/>
                <w:sz w:val="18"/>
                <w:szCs w:val="18"/>
                <w:lang w:val="en-US"/>
              </w:rPr>
              <w:t>% change</w:t>
            </w:r>
          </w:p>
        </w:tc>
        <w:tc>
          <w:tcPr>
            <w:tcW w:w="488" w:type="pct"/>
            <w:vMerge/>
            <w:tcBorders>
              <w:bottom w:val="nil"/>
              <w:right w:val="nil"/>
            </w:tcBorders>
            <w:shd w:val="clear" w:color="auto" w:fill="9494D4" w:themeFill="accent1" w:themeFillTint="99"/>
            <w:vAlign w:val="center"/>
            <w:hideMark/>
          </w:tcPr>
          <w:p w14:paraId="028B6A55" w14:textId="77777777" w:rsidR="00DF2526" w:rsidRPr="007D32CF" w:rsidRDefault="00DF2526" w:rsidP="00DF2526">
            <w:pPr>
              <w:rPr>
                <w:rFonts w:eastAsia="Times New Roman" w:cs="Calibri"/>
                <w:b/>
                <w:bCs/>
                <w:color w:val="FFFFFF"/>
                <w:sz w:val="18"/>
                <w:szCs w:val="18"/>
                <w:lang w:val="en-US"/>
              </w:rPr>
            </w:pPr>
          </w:p>
        </w:tc>
      </w:tr>
      <w:tr w:rsidR="00DF2526" w:rsidRPr="00AC119A" w14:paraId="70B8DD81" w14:textId="77777777" w:rsidTr="009B17CE">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3A37FB2F"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w:t>
            </w:r>
          </w:p>
        </w:tc>
        <w:tc>
          <w:tcPr>
            <w:tcW w:w="864" w:type="pct"/>
            <w:tcBorders>
              <w:top w:val="nil"/>
              <w:left w:val="nil"/>
              <w:bottom w:val="single" w:sz="8" w:space="0" w:color="B7B7E2"/>
              <w:right w:val="single" w:sz="8" w:space="0" w:color="B7B7E2"/>
            </w:tcBorders>
            <w:shd w:val="clear" w:color="auto" w:fill="auto"/>
            <w:vAlign w:val="center"/>
            <w:hideMark/>
          </w:tcPr>
          <w:p w14:paraId="10AC1C62"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Indonesia</w:t>
            </w:r>
          </w:p>
        </w:tc>
        <w:tc>
          <w:tcPr>
            <w:tcW w:w="460" w:type="pct"/>
            <w:tcBorders>
              <w:top w:val="nil"/>
              <w:left w:val="nil"/>
              <w:bottom w:val="single" w:sz="8" w:space="0" w:color="B7B7E2"/>
              <w:right w:val="single" w:sz="8" w:space="0" w:color="B7B7E2"/>
            </w:tcBorders>
            <w:shd w:val="clear" w:color="auto" w:fill="auto"/>
            <w:vAlign w:val="center"/>
            <w:hideMark/>
          </w:tcPr>
          <w:p w14:paraId="35C99B11" w14:textId="0B01984C"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122</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124EAF40" w14:textId="6FA6A71B"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24</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6FA5D615" w14:textId="5B8759A3"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8</w:t>
            </w:r>
            <w:r w:rsidR="009B17CE">
              <w:rPr>
                <w:rFonts w:eastAsia="Times New Roman" w:cs="Calibri"/>
                <w:color w:val="000000"/>
                <w:sz w:val="18"/>
                <w:szCs w:val="18"/>
                <w:lang w:val="en-US"/>
              </w:rPr>
              <w:t>0</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4812C76F" w14:textId="5539142D"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5</w:t>
            </w:r>
            <w:r w:rsidR="009B17CE">
              <w:rPr>
                <w:rFonts w:eastAsia="Times New Roman" w:cs="Calibri"/>
                <w:color w:val="000000"/>
                <w:sz w:val="18"/>
                <w:szCs w:val="18"/>
                <w:lang w:val="en-US"/>
              </w:rPr>
              <w:t>2</w:t>
            </w:r>
            <w:r w:rsidR="00DF2526" w:rsidRPr="007D32CF">
              <w:rPr>
                <w:rFonts w:eastAsia="Times New Roman" w:cs="Calibri"/>
                <w:color w:val="000000"/>
                <w:sz w:val="18"/>
                <w:szCs w:val="18"/>
                <w:lang w:val="en-US"/>
              </w:rPr>
              <w:t>%</w:t>
            </w:r>
          </w:p>
        </w:tc>
        <w:tc>
          <w:tcPr>
            <w:tcW w:w="492" w:type="pct"/>
            <w:tcBorders>
              <w:top w:val="nil"/>
              <w:left w:val="nil"/>
              <w:bottom w:val="single" w:sz="8" w:space="0" w:color="B7B7E2"/>
              <w:right w:val="single" w:sz="8" w:space="0" w:color="B7B7E2"/>
            </w:tcBorders>
            <w:shd w:val="clear" w:color="auto" w:fill="auto"/>
            <w:vAlign w:val="center"/>
            <w:hideMark/>
          </w:tcPr>
          <w:p w14:paraId="1379C511"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52,000</w:t>
            </w:r>
          </w:p>
        </w:tc>
        <w:tc>
          <w:tcPr>
            <w:tcW w:w="441" w:type="pct"/>
            <w:tcBorders>
              <w:top w:val="nil"/>
              <w:left w:val="nil"/>
              <w:bottom w:val="single" w:sz="8" w:space="0" w:color="B7B7E2"/>
              <w:right w:val="single" w:sz="8" w:space="0" w:color="B7B7E2"/>
            </w:tcBorders>
            <w:shd w:val="clear" w:color="auto" w:fill="auto"/>
            <w:vAlign w:val="center"/>
            <w:hideMark/>
          </w:tcPr>
          <w:p w14:paraId="4189EB8D" w14:textId="2761EBB2"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9B17CE">
              <w:rPr>
                <w:rFonts w:eastAsia="Times New Roman" w:cs="Calibri"/>
                <w:color w:val="000000"/>
                <w:sz w:val="18"/>
                <w:szCs w:val="18"/>
                <w:lang w:val="en-US"/>
              </w:rPr>
              <w:t>48.6</w:t>
            </w:r>
          </w:p>
        </w:tc>
        <w:tc>
          <w:tcPr>
            <w:tcW w:w="412" w:type="pct"/>
            <w:tcBorders>
              <w:top w:val="nil"/>
              <w:left w:val="nil"/>
              <w:bottom w:val="single" w:sz="8" w:space="0" w:color="B7B7E2"/>
              <w:right w:val="single" w:sz="8" w:space="0" w:color="B7B7E2"/>
            </w:tcBorders>
            <w:shd w:val="clear" w:color="auto" w:fill="auto"/>
            <w:vAlign w:val="center"/>
            <w:hideMark/>
          </w:tcPr>
          <w:p w14:paraId="631E59E9" w14:textId="09CBABD3"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2</w:t>
            </w:r>
            <w:r w:rsidR="009B17CE">
              <w:rPr>
                <w:rFonts w:eastAsia="Times New Roman" w:cs="Calibri"/>
                <w:color w:val="000000"/>
                <w:sz w:val="18"/>
                <w:szCs w:val="18"/>
                <w:lang w:val="en-US"/>
              </w:rPr>
              <w:t>7.5</w:t>
            </w:r>
          </w:p>
        </w:tc>
        <w:tc>
          <w:tcPr>
            <w:tcW w:w="424" w:type="pct"/>
            <w:tcBorders>
              <w:top w:val="nil"/>
              <w:left w:val="nil"/>
              <w:bottom w:val="single" w:sz="8" w:space="0" w:color="B7B7E2"/>
              <w:right w:val="single" w:sz="8" w:space="0" w:color="B7B7E2"/>
            </w:tcBorders>
            <w:shd w:val="clear" w:color="auto" w:fill="auto"/>
            <w:vAlign w:val="center"/>
            <w:hideMark/>
          </w:tcPr>
          <w:p w14:paraId="1E6C29BF" w14:textId="2C65246F"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76</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68A3FA8"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$16.1</w:t>
            </w:r>
          </w:p>
        </w:tc>
      </w:tr>
      <w:tr w:rsidR="00DF2526" w:rsidRPr="00AC119A" w14:paraId="011FA879" w14:textId="77777777" w:rsidTr="009B17CE">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7F169705"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2</w:t>
            </w:r>
          </w:p>
        </w:tc>
        <w:tc>
          <w:tcPr>
            <w:tcW w:w="864" w:type="pct"/>
            <w:tcBorders>
              <w:top w:val="nil"/>
              <w:left w:val="nil"/>
              <w:bottom w:val="single" w:sz="8" w:space="0" w:color="B7B7E2"/>
              <w:right w:val="single" w:sz="8" w:space="0" w:color="B7B7E2"/>
            </w:tcBorders>
            <w:shd w:val="clear" w:color="auto" w:fill="auto"/>
            <w:vAlign w:val="center"/>
            <w:hideMark/>
          </w:tcPr>
          <w:p w14:paraId="20AC9015"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India</w:t>
            </w:r>
          </w:p>
        </w:tc>
        <w:tc>
          <w:tcPr>
            <w:tcW w:w="460" w:type="pct"/>
            <w:tcBorders>
              <w:top w:val="nil"/>
              <w:left w:val="nil"/>
              <w:bottom w:val="single" w:sz="8" w:space="0" w:color="B7B7E2"/>
              <w:right w:val="single" w:sz="8" w:space="0" w:color="B7B7E2"/>
            </w:tcBorders>
            <w:shd w:val="clear" w:color="auto" w:fill="auto"/>
            <w:vAlign w:val="center"/>
            <w:hideMark/>
          </w:tcPr>
          <w:p w14:paraId="17203373" w14:textId="07A52A0A"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59</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496270A2" w14:textId="449ADADE"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1</w:t>
            </w:r>
            <w:r w:rsidR="009B17CE">
              <w:rPr>
                <w:rFonts w:eastAsia="Times New Roman" w:cs="Calibri"/>
                <w:color w:val="000000"/>
                <w:sz w:val="18"/>
                <w:szCs w:val="18"/>
                <w:lang w:val="en-US"/>
              </w:rPr>
              <w:t>2</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6087D6FC" w14:textId="3398DA2E" w:rsidR="00DF2526" w:rsidRPr="007D32CF" w:rsidRDefault="00C742F0" w:rsidP="00DF2526">
            <w:pPr>
              <w:jc w:val="right"/>
              <w:rPr>
                <w:rFonts w:eastAsia="Times New Roman" w:cs="Calibri"/>
                <w:color w:val="000000"/>
                <w:sz w:val="18"/>
                <w:szCs w:val="18"/>
                <w:lang w:val="en-US"/>
              </w:rPr>
            </w:pPr>
            <w:r>
              <w:rPr>
                <w:rFonts w:eastAsia="Times New Roman" w:cs="Calibri"/>
                <w:color w:val="000000"/>
                <w:sz w:val="18"/>
                <w:szCs w:val="18"/>
                <w:lang w:val="en-US"/>
              </w:rPr>
              <w:t>3</w:t>
            </w:r>
            <w:r w:rsidR="009B17CE">
              <w:rPr>
                <w:rFonts w:eastAsia="Times New Roman" w:cs="Calibri"/>
                <w:color w:val="000000"/>
                <w:sz w:val="18"/>
                <w:szCs w:val="18"/>
                <w:lang w:val="en-US"/>
              </w:rPr>
              <w:t>7</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564F5D1C" w14:textId="4583ADD9"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62</w:t>
            </w:r>
            <w:r w:rsidR="00DF2526" w:rsidRPr="007D32CF">
              <w:rPr>
                <w:rFonts w:eastAsia="Times New Roman" w:cs="Calibri"/>
                <w:color w:val="000000"/>
                <w:sz w:val="18"/>
                <w:szCs w:val="18"/>
                <w:lang w:val="en-US"/>
              </w:rPr>
              <w:t>%</w:t>
            </w:r>
          </w:p>
        </w:tc>
        <w:tc>
          <w:tcPr>
            <w:tcW w:w="492" w:type="pct"/>
            <w:tcBorders>
              <w:top w:val="nil"/>
              <w:left w:val="nil"/>
              <w:bottom w:val="single" w:sz="8" w:space="0" w:color="B7B7E2"/>
              <w:right w:val="single" w:sz="8" w:space="0" w:color="B7B7E2"/>
            </w:tcBorders>
            <w:shd w:val="clear" w:color="auto" w:fill="auto"/>
            <w:vAlign w:val="center"/>
            <w:hideMark/>
          </w:tcPr>
          <w:p w14:paraId="3DB3D3AA"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48,000</w:t>
            </w:r>
          </w:p>
        </w:tc>
        <w:tc>
          <w:tcPr>
            <w:tcW w:w="441" w:type="pct"/>
            <w:tcBorders>
              <w:top w:val="nil"/>
              <w:left w:val="nil"/>
              <w:bottom w:val="single" w:sz="8" w:space="0" w:color="B7B7E2"/>
              <w:right w:val="single" w:sz="8" w:space="0" w:color="B7B7E2"/>
            </w:tcBorders>
            <w:shd w:val="clear" w:color="auto" w:fill="auto"/>
            <w:vAlign w:val="center"/>
            <w:hideMark/>
          </w:tcPr>
          <w:p w14:paraId="36CBE817" w14:textId="1C1E84BB"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9B17CE">
              <w:rPr>
                <w:rFonts w:eastAsia="Times New Roman" w:cs="Calibri"/>
                <w:color w:val="000000"/>
                <w:sz w:val="18"/>
                <w:szCs w:val="18"/>
                <w:lang w:val="en-US"/>
              </w:rPr>
              <w:t>44.5</w:t>
            </w:r>
          </w:p>
        </w:tc>
        <w:tc>
          <w:tcPr>
            <w:tcW w:w="412" w:type="pct"/>
            <w:tcBorders>
              <w:top w:val="nil"/>
              <w:left w:val="nil"/>
              <w:bottom w:val="single" w:sz="8" w:space="0" w:color="B7B7E2"/>
              <w:right w:val="single" w:sz="8" w:space="0" w:color="B7B7E2"/>
            </w:tcBorders>
            <w:shd w:val="clear" w:color="auto" w:fill="auto"/>
            <w:vAlign w:val="center"/>
            <w:hideMark/>
          </w:tcPr>
          <w:p w14:paraId="47939132" w14:textId="5FB88E85"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9B17CE">
              <w:rPr>
                <w:rFonts w:eastAsia="Times New Roman" w:cs="Calibri"/>
                <w:color w:val="000000"/>
                <w:sz w:val="18"/>
                <w:szCs w:val="18"/>
                <w:lang w:val="en-US"/>
              </w:rPr>
              <w:t>24.5</w:t>
            </w:r>
          </w:p>
        </w:tc>
        <w:tc>
          <w:tcPr>
            <w:tcW w:w="424" w:type="pct"/>
            <w:tcBorders>
              <w:top w:val="nil"/>
              <w:left w:val="nil"/>
              <w:bottom w:val="single" w:sz="8" w:space="0" w:color="B7B7E2"/>
              <w:right w:val="single" w:sz="8" w:space="0" w:color="B7B7E2"/>
            </w:tcBorders>
            <w:shd w:val="clear" w:color="auto" w:fill="auto"/>
            <w:vAlign w:val="center"/>
            <w:hideMark/>
          </w:tcPr>
          <w:p w14:paraId="03361903" w14:textId="17C79C5E"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82</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4D6A4681"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$27.4</w:t>
            </w:r>
          </w:p>
        </w:tc>
      </w:tr>
      <w:tr w:rsidR="00DF2526" w:rsidRPr="00AC119A" w14:paraId="67DB85A8" w14:textId="77777777" w:rsidTr="009B17CE">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368ED9C3"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3</w:t>
            </w:r>
          </w:p>
        </w:tc>
        <w:tc>
          <w:tcPr>
            <w:tcW w:w="864" w:type="pct"/>
            <w:tcBorders>
              <w:top w:val="nil"/>
              <w:left w:val="nil"/>
              <w:bottom w:val="single" w:sz="8" w:space="0" w:color="B7B7E2"/>
              <w:right w:val="single" w:sz="8" w:space="0" w:color="B7B7E2"/>
            </w:tcBorders>
            <w:shd w:val="clear" w:color="auto" w:fill="auto"/>
            <w:vAlign w:val="center"/>
            <w:hideMark/>
          </w:tcPr>
          <w:p w14:paraId="2144E356" w14:textId="5406D42A" w:rsidR="00DF2526" w:rsidRPr="007D32CF" w:rsidRDefault="007225EB" w:rsidP="00DF2526">
            <w:pPr>
              <w:rPr>
                <w:rFonts w:eastAsia="Times New Roman" w:cs="Calibri"/>
                <w:color w:val="000000"/>
                <w:sz w:val="18"/>
                <w:szCs w:val="18"/>
                <w:lang w:val="en-US"/>
              </w:rPr>
            </w:pPr>
            <w:r>
              <w:rPr>
                <w:rFonts w:eastAsia="Times New Roman" w:cs="Calibri"/>
                <w:color w:val="000000"/>
                <w:sz w:val="18"/>
                <w:szCs w:val="18"/>
                <w:lang w:val="en-US"/>
              </w:rPr>
              <w:t>Vietnam</w:t>
            </w:r>
          </w:p>
        </w:tc>
        <w:tc>
          <w:tcPr>
            <w:tcW w:w="460" w:type="pct"/>
            <w:tcBorders>
              <w:top w:val="nil"/>
              <w:left w:val="nil"/>
              <w:bottom w:val="single" w:sz="8" w:space="0" w:color="B7B7E2"/>
              <w:right w:val="single" w:sz="8" w:space="0" w:color="B7B7E2"/>
            </w:tcBorders>
            <w:shd w:val="clear" w:color="auto" w:fill="auto"/>
            <w:vAlign w:val="center"/>
            <w:hideMark/>
          </w:tcPr>
          <w:p w14:paraId="6AD222D8" w14:textId="4188DC35"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56</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1A8FB90C" w14:textId="2ACA3259"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1</w:t>
            </w:r>
            <w:r w:rsidR="009B17CE">
              <w:rPr>
                <w:rFonts w:eastAsia="Times New Roman" w:cs="Calibri"/>
                <w:color w:val="000000"/>
                <w:sz w:val="18"/>
                <w:szCs w:val="18"/>
                <w:lang w:val="en-US"/>
              </w:rPr>
              <w:t>1</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16BACF83" w14:textId="61ACC87D"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59</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17B79960" w14:textId="1F18A55B"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w:t>
            </w:r>
            <w:r w:rsidR="009B17CE">
              <w:rPr>
                <w:rFonts w:eastAsia="Times New Roman" w:cs="Calibri"/>
                <w:color w:val="000000"/>
                <w:sz w:val="18"/>
                <w:szCs w:val="18"/>
                <w:lang w:val="en-US"/>
              </w:rPr>
              <w:t>5</w:t>
            </w:r>
            <w:r w:rsidR="00DF2526" w:rsidRPr="007D32CF">
              <w:rPr>
                <w:rFonts w:eastAsia="Times New Roman" w:cs="Calibri"/>
                <w:color w:val="000000"/>
                <w:sz w:val="18"/>
                <w:szCs w:val="18"/>
                <w:lang w:val="en-US"/>
              </w:rPr>
              <w:t>%</w:t>
            </w:r>
          </w:p>
        </w:tc>
        <w:tc>
          <w:tcPr>
            <w:tcW w:w="492" w:type="pct"/>
            <w:tcBorders>
              <w:top w:val="nil"/>
              <w:left w:val="nil"/>
              <w:bottom w:val="single" w:sz="8" w:space="0" w:color="B7B7E2"/>
              <w:right w:val="single" w:sz="8" w:space="0" w:color="B7B7E2"/>
            </w:tcBorders>
            <w:shd w:val="clear" w:color="auto" w:fill="auto"/>
            <w:vAlign w:val="center"/>
            <w:hideMark/>
          </w:tcPr>
          <w:p w14:paraId="7983C7F8" w14:textId="621D7BF0"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35</w:t>
            </w:r>
            <w:r w:rsidR="00DF2526" w:rsidRPr="007D32CF">
              <w:rPr>
                <w:rFonts w:eastAsia="Times New Roman" w:cs="Calibri"/>
                <w:color w:val="000000"/>
                <w:sz w:val="18"/>
                <w:szCs w:val="18"/>
                <w:lang w:val="en-US"/>
              </w:rPr>
              <w:t>,000</w:t>
            </w:r>
          </w:p>
        </w:tc>
        <w:tc>
          <w:tcPr>
            <w:tcW w:w="441" w:type="pct"/>
            <w:tcBorders>
              <w:top w:val="nil"/>
              <w:left w:val="nil"/>
              <w:bottom w:val="single" w:sz="8" w:space="0" w:color="B7B7E2"/>
              <w:right w:val="single" w:sz="8" w:space="0" w:color="B7B7E2"/>
            </w:tcBorders>
            <w:shd w:val="clear" w:color="auto" w:fill="auto"/>
            <w:vAlign w:val="center"/>
            <w:hideMark/>
          </w:tcPr>
          <w:p w14:paraId="4F9B7BF7" w14:textId="7D7B3B8F"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9B17CE">
              <w:rPr>
                <w:rFonts w:eastAsia="Times New Roman" w:cs="Calibri"/>
                <w:color w:val="000000"/>
                <w:sz w:val="18"/>
                <w:szCs w:val="18"/>
                <w:lang w:val="en-US"/>
              </w:rPr>
              <w:t>28.4</w:t>
            </w:r>
          </w:p>
        </w:tc>
        <w:tc>
          <w:tcPr>
            <w:tcW w:w="412" w:type="pct"/>
            <w:tcBorders>
              <w:top w:val="nil"/>
              <w:left w:val="nil"/>
              <w:bottom w:val="single" w:sz="8" w:space="0" w:color="B7B7E2"/>
              <w:right w:val="single" w:sz="8" w:space="0" w:color="B7B7E2"/>
            </w:tcBorders>
            <w:shd w:val="clear" w:color="auto" w:fill="auto"/>
            <w:vAlign w:val="center"/>
            <w:hideMark/>
          </w:tcPr>
          <w:p w14:paraId="1AEF8AC6" w14:textId="7C8F874D"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9B17CE">
              <w:rPr>
                <w:rFonts w:eastAsia="Times New Roman" w:cs="Calibri"/>
                <w:color w:val="000000"/>
                <w:sz w:val="18"/>
                <w:szCs w:val="18"/>
                <w:lang w:val="en-US"/>
              </w:rPr>
              <w:t>24.9</w:t>
            </w:r>
          </w:p>
        </w:tc>
        <w:tc>
          <w:tcPr>
            <w:tcW w:w="424" w:type="pct"/>
            <w:tcBorders>
              <w:top w:val="nil"/>
              <w:left w:val="nil"/>
              <w:bottom w:val="single" w:sz="8" w:space="0" w:color="B7B7E2"/>
              <w:right w:val="single" w:sz="8" w:space="0" w:color="B7B7E2"/>
            </w:tcBorders>
            <w:shd w:val="clear" w:color="auto" w:fill="auto"/>
            <w:vAlign w:val="center"/>
            <w:hideMark/>
          </w:tcPr>
          <w:p w14:paraId="72AB91D0" w14:textId="55B520C1"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14</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B05C822" w14:textId="603DE221"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6F0577">
              <w:rPr>
                <w:rFonts w:eastAsia="Times New Roman" w:cs="Calibri"/>
                <w:color w:val="000000"/>
                <w:sz w:val="18"/>
                <w:szCs w:val="18"/>
                <w:lang w:val="en-US"/>
              </w:rPr>
              <w:t>14.3</w:t>
            </w:r>
          </w:p>
        </w:tc>
      </w:tr>
      <w:tr w:rsidR="00DF2526" w:rsidRPr="00AC119A" w14:paraId="6EB7D70E" w14:textId="77777777" w:rsidTr="009B17CE">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6BA37EE8"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4</w:t>
            </w:r>
          </w:p>
        </w:tc>
        <w:tc>
          <w:tcPr>
            <w:tcW w:w="864" w:type="pct"/>
            <w:tcBorders>
              <w:top w:val="nil"/>
              <w:left w:val="nil"/>
              <w:bottom w:val="single" w:sz="8" w:space="0" w:color="B7B7E2"/>
              <w:right w:val="single" w:sz="8" w:space="0" w:color="B7B7E2"/>
            </w:tcBorders>
            <w:shd w:val="clear" w:color="auto" w:fill="auto"/>
            <w:vAlign w:val="center"/>
            <w:hideMark/>
          </w:tcPr>
          <w:p w14:paraId="7A48744D" w14:textId="5C61336E" w:rsidR="00DF2526" w:rsidRPr="007D32CF" w:rsidRDefault="007225EB" w:rsidP="00DF2526">
            <w:pPr>
              <w:rPr>
                <w:rFonts w:eastAsia="Times New Roman" w:cs="Calibri"/>
                <w:color w:val="000000"/>
                <w:sz w:val="18"/>
                <w:szCs w:val="18"/>
                <w:lang w:val="en-US"/>
              </w:rPr>
            </w:pPr>
            <w:r>
              <w:rPr>
                <w:rFonts w:eastAsia="Times New Roman" w:cs="Calibri"/>
                <w:color w:val="000000"/>
                <w:sz w:val="18"/>
                <w:szCs w:val="18"/>
                <w:lang w:val="en-US"/>
              </w:rPr>
              <w:t>Bangladesh</w:t>
            </w:r>
          </w:p>
        </w:tc>
        <w:tc>
          <w:tcPr>
            <w:tcW w:w="460" w:type="pct"/>
            <w:tcBorders>
              <w:top w:val="nil"/>
              <w:left w:val="nil"/>
              <w:bottom w:val="single" w:sz="8" w:space="0" w:color="B7B7E2"/>
              <w:right w:val="single" w:sz="8" w:space="0" w:color="B7B7E2"/>
            </w:tcBorders>
            <w:shd w:val="clear" w:color="auto" w:fill="auto"/>
            <w:vAlign w:val="center"/>
            <w:hideMark/>
          </w:tcPr>
          <w:p w14:paraId="48A2AF13" w14:textId="31A7572A"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49</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2423448B" w14:textId="32F92360"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10</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78095DC3" w14:textId="236A0981"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31</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1A5EF6CE" w14:textId="4F0623A7"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58</w:t>
            </w:r>
            <w:r w:rsidR="00DF2526" w:rsidRPr="007D32CF">
              <w:rPr>
                <w:rFonts w:eastAsia="Times New Roman" w:cs="Calibri"/>
                <w:color w:val="000000"/>
                <w:sz w:val="18"/>
                <w:szCs w:val="18"/>
                <w:lang w:val="en-US"/>
              </w:rPr>
              <w:t>%</w:t>
            </w:r>
          </w:p>
        </w:tc>
        <w:tc>
          <w:tcPr>
            <w:tcW w:w="492" w:type="pct"/>
            <w:tcBorders>
              <w:top w:val="nil"/>
              <w:left w:val="nil"/>
              <w:bottom w:val="single" w:sz="8" w:space="0" w:color="B7B7E2"/>
              <w:right w:val="single" w:sz="8" w:space="0" w:color="B7B7E2"/>
            </w:tcBorders>
            <w:shd w:val="clear" w:color="auto" w:fill="auto"/>
            <w:vAlign w:val="center"/>
            <w:hideMark/>
          </w:tcPr>
          <w:p w14:paraId="482F0524" w14:textId="23D89511"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52</w:t>
            </w:r>
            <w:r w:rsidR="00DF2526" w:rsidRPr="007D32CF">
              <w:rPr>
                <w:rFonts w:eastAsia="Times New Roman" w:cs="Calibri"/>
                <w:color w:val="000000"/>
                <w:sz w:val="18"/>
                <w:szCs w:val="18"/>
                <w:lang w:val="en-US"/>
              </w:rPr>
              <w:t>,000</w:t>
            </w:r>
          </w:p>
        </w:tc>
        <w:tc>
          <w:tcPr>
            <w:tcW w:w="441" w:type="pct"/>
            <w:tcBorders>
              <w:top w:val="nil"/>
              <w:left w:val="nil"/>
              <w:bottom w:val="single" w:sz="8" w:space="0" w:color="B7B7E2"/>
              <w:right w:val="single" w:sz="8" w:space="0" w:color="B7B7E2"/>
            </w:tcBorders>
            <w:shd w:val="clear" w:color="auto" w:fill="auto"/>
            <w:vAlign w:val="center"/>
            <w:hideMark/>
          </w:tcPr>
          <w:p w14:paraId="4EE51AC8" w14:textId="79C04647"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9B17CE">
              <w:rPr>
                <w:rFonts w:eastAsia="Times New Roman" w:cs="Calibri"/>
                <w:color w:val="000000"/>
                <w:sz w:val="18"/>
                <w:szCs w:val="18"/>
                <w:lang w:val="en-US"/>
              </w:rPr>
              <w:t>24.9</w:t>
            </w:r>
          </w:p>
        </w:tc>
        <w:tc>
          <w:tcPr>
            <w:tcW w:w="412" w:type="pct"/>
            <w:tcBorders>
              <w:top w:val="nil"/>
              <w:left w:val="nil"/>
              <w:bottom w:val="single" w:sz="8" w:space="0" w:color="B7B7E2"/>
              <w:right w:val="single" w:sz="8" w:space="0" w:color="B7B7E2"/>
            </w:tcBorders>
            <w:shd w:val="clear" w:color="auto" w:fill="auto"/>
            <w:vAlign w:val="center"/>
            <w:hideMark/>
          </w:tcPr>
          <w:p w14:paraId="4641494A" w14:textId="2594974D"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9B17CE">
              <w:rPr>
                <w:rFonts w:eastAsia="Times New Roman" w:cs="Calibri"/>
                <w:color w:val="000000"/>
                <w:sz w:val="18"/>
                <w:szCs w:val="18"/>
                <w:lang w:val="en-US"/>
              </w:rPr>
              <w:t>15.3</w:t>
            </w:r>
          </w:p>
        </w:tc>
        <w:tc>
          <w:tcPr>
            <w:tcW w:w="424" w:type="pct"/>
            <w:tcBorders>
              <w:top w:val="nil"/>
              <w:left w:val="nil"/>
              <w:bottom w:val="single" w:sz="8" w:space="0" w:color="B7B7E2"/>
              <w:right w:val="single" w:sz="8" w:space="0" w:color="B7B7E2"/>
            </w:tcBorders>
            <w:shd w:val="clear" w:color="auto" w:fill="auto"/>
            <w:vAlign w:val="center"/>
            <w:hideMark/>
          </w:tcPr>
          <w:p w14:paraId="51A58588" w14:textId="51F05FD1"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62</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56009097" w14:textId="0C977464"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6F0577">
              <w:rPr>
                <w:rFonts w:eastAsia="Times New Roman" w:cs="Calibri"/>
                <w:color w:val="000000"/>
                <w:sz w:val="18"/>
                <w:szCs w:val="18"/>
                <w:lang w:val="en-US"/>
              </w:rPr>
              <w:t>20.6</w:t>
            </w:r>
          </w:p>
        </w:tc>
      </w:tr>
      <w:tr w:rsidR="00DF2526" w:rsidRPr="00AC119A" w14:paraId="5EE4789E" w14:textId="77777777" w:rsidTr="009B17CE">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1DC22B00"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5</w:t>
            </w:r>
          </w:p>
        </w:tc>
        <w:tc>
          <w:tcPr>
            <w:tcW w:w="864" w:type="pct"/>
            <w:tcBorders>
              <w:top w:val="nil"/>
              <w:left w:val="nil"/>
              <w:bottom w:val="single" w:sz="8" w:space="0" w:color="B7B7E2"/>
              <w:right w:val="single" w:sz="8" w:space="0" w:color="B7B7E2"/>
            </w:tcBorders>
            <w:shd w:val="clear" w:color="auto" w:fill="auto"/>
            <w:vAlign w:val="center"/>
            <w:hideMark/>
          </w:tcPr>
          <w:p w14:paraId="3CF85CAB" w14:textId="77777777" w:rsidR="00DF2526" w:rsidRPr="007D32CF" w:rsidRDefault="00DF2526" w:rsidP="00DF2526">
            <w:pPr>
              <w:rPr>
                <w:rFonts w:eastAsia="Times New Roman" w:cs="Calibri"/>
                <w:color w:val="000000"/>
                <w:sz w:val="18"/>
                <w:szCs w:val="18"/>
                <w:lang w:val="en-US"/>
              </w:rPr>
            </w:pPr>
            <w:r>
              <w:rPr>
                <w:rFonts w:eastAsia="Times New Roman" w:cs="Calibri"/>
                <w:color w:val="000000"/>
                <w:sz w:val="18"/>
                <w:szCs w:val="18"/>
                <w:lang w:val="en-US"/>
              </w:rPr>
              <w:t>Malaysia</w:t>
            </w:r>
          </w:p>
        </w:tc>
        <w:tc>
          <w:tcPr>
            <w:tcW w:w="460" w:type="pct"/>
            <w:tcBorders>
              <w:top w:val="nil"/>
              <w:left w:val="nil"/>
              <w:bottom w:val="single" w:sz="8" w:space="0" w:color="B7B7E2"/>
              <w:right w:val="single" w:sz="8" w:space="0" w:color="B7B7E2"/>
            </w:tcBorders>
            <w:shd w:val="clear" w:color="auto" w:fill="auto"/>
            <w:vAlign w:val="center"/>
            <w:hideMark/>
          </w:tcPr>
          <w:p w14:paraId="1F07D268" w14:textId="1EA3223F"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32</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0A1FA1CC" w14:textId="10BEC147"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6</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7A8EC38E" w14:textId="05A1CAF8"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2</w:t>
            </w:r>
            <w:r w:rsidR="009B17CE">
              <w:rPr>
                <w:rFonts w:eastAsia="Times New Roman" w:cs="Calibri"/>
                <w:color w:val="000000"/>
                <w:sz w:val="18"/>
                <w:szCs w:val="18"/>
                <w:lang w:val="en-US"/>
              </w:rPr>
              <w:t>2</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51F1247B" w14:textId="7CC334E7"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41</w:t>
            </w:r>
            <w:r w:rsidR="00DF2526" w:rsidRPr="007D32CF">
              <w:rPr>
                <w:rFonts w:eastAsia="Times New Roman" w:cs="Calibri"/>
                <w:color w:val="000000"/>
                <w:sz w:val="18"/>
                <w:szCs w:val="18"/>
                <w:lang w:val="en-US"/>
              </w:rPr>
              <w:t>%</w:t>
            </w:r>
          </w:p>
        </w:tc>
        <w:tc>
          <w:tcPr>
            <w:tcW w:w="492" w:type="pct"/>
            <w:tcBorders>
              <w:top w:val="nil"/>
              <w:left w:val="nil"/>
              <w:bottom w:val="single" w:sz="8" w:space="0" w:color="B7B7E2"/>
              <w:right w:val="single" w:sz="8" w:space="0" w:color="B7B7E2"/>
            </w:tcBorders>
            <w:shd w:val="clear" w:color="auto" w:fill="auto"/>
            <w:vAlign w:val="center"/>
            <w:hideMark/>
          </w:tcPr>
          <w:p w14:paraId="2B11734D" w14:textId="77777777"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32</w:t>
            </w:r>
            <w:r w:rsidRPr="007D32CF">
              <w:rPr>
                <w:rFonts w:eastAsia="Times New Roman" w:cs="Calibri"/>
                <w:color w:val="000000"/>
                <w:sz w:val="18"/>
                <w:szCs w:val="18"/>
                <w:lang w:val="en-US"/>
              </w:rPr>
              <w:t>,000</w:t>
            </w:r>
          </w:p>
        </w:tc>
        <w:tc>
          <w:tcPr>
            <w:tcW w:w="441" w:type="pct"/>
            <w:tcBorders>
              <w:top w:val="nil"/>
              <w:left w:val="nil"/>
              <w:bottom w:val="single" w:sz="8" w:space="0" w:color="B7B7E2"/>
              <w:right w:val="single" w:sz="8" w:space="0" w:color="B7B7E2"/>
            </w:tcBorders>
            <w:shd w:val="clear" w:color="auto" w:fill="auto"/>
            <w:vAlign w:val="center"/>
            <w:hideMark/>
          </w:tcPr>
          <w:p w14:paraId="57812B09" w14:textId="616A8E9F"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9B17CE">
              <w:rPr>
                <w:rFonts w:eastAsia="Times New Roman" w:cs="Calibri"/>
                <w:color w:val="000000"/>
                <w:sz w:val="18"/>
                <w:szCs w:val="18"/>
                <w:lang w:val="en-US"/>
              </w:rPr>
              <w:t>27.8</w:t>
            </w:r>
          </w:p>
        </w:tc>
        <w:tc>
          <w:tcPr>
            <w:tcW w:w="412" w:type="pct"/>
            <w:tcBorders>
              <w:top w:val="nil"/>
              <w:left w:val="nil"/>
              <w:bottom w:val="single" w:sz="8" w:space="0" w:color="B7B7E2"/>
              <w:right w:val="single" w:sz="8" w:space="0" w:color="B7B7E2"/>
            </w:tcBorders>
            <w:shd w:val="clear" w:color="auto" w:fill="auto"/>
            <w:vAlign w:val="center"/>
            <w:hideMark/>
          </w:tcPr>
          <w:p w14:paraId="115CDED9" w14:textId="6485471C"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9B17CE">
              <w:rPr>
                <w:rFonts w:eastAsia="Times New Roman" w:cs="Calibri"/>
                <w:color w:val="000000"/>
                <w:sz w:val="18"/>
                <w:szCs w:val="18"/>
                <w:lang w:val="en-US"/>
              </w:rPr>
              <w:t>17.8</w:t>
            </w:r>
          </w:p>
        </w:tc>
        <w:tc>
          <w:tcPr>
            <w:tcW w:w="424" w:type="pct"/>
            <w:tcBorders>
              <w:top w:val="nil"/>
              <w:left w:val="nil"/>
              <w:bottom w:val="single" w:sz="8" w:space="0" w:color="B7B7E2"/>
              <w:right w:val="single" w:sz="8" w:space="0" w:color="B7B7E2"/>
            </w:tcBorders>
            <w:shd w:val="clear" w:color="auto" w:fill="auto"/>
            <w:vAlign w:val="center"/>
            <w:hideMark/>
          </w:tcPr>
          <w:p w14:paraId="32DDF7DC" w14:textId="6406A99C"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57</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087A8246"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13.2</w:t>
            </w:r>
          </w:p>
        </w:tc>
      </w:tr>
      <w:tr w:rsidR="00DF2526" w:rsidRPr="00AC119A" w14:paraId="476931F9" w14:textId="77777777" w:rsidTr="009B17CE">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7DF42048"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6</w:t>
            </w:r>
          </w:p>
        </w:tc>
        <w:tc>
          <w:tcPr>
            <w:tcW w:w="864" w:type="pct"/>
            <w:tcBorders>
              <w:top w:val="nil"/>
              <w:left w:val="nil"/>
              <w:bottom w:val="single" w:sz="8" w:space="0" w:color="B7B7E2"/>
              <w:right w:val="single" w:sz="8" w:space="0" w:color="B7B7E2"/>
            </w:tcBorders>
            <w:shd w:val="clear" w:color="auto" w:fill="auto"/>
            <w:vAlign w:val="center"/>
            <w:hideMark/>
          </w:tcPr>
          <w:p w14:paraId="19877706" w14:textId="77777777" w:rsidR="00DF2526" w:rsidRPr="007D32CF" w:rsidRDefault="00DF2526" w:rsidP="00DF2526">
            <w:pPr>
              <w:rPr>
                <w:rFonts w:eastAsia="Times New Roman" w:cs="Calibri"/>
                <w:color w:val="000000"/>
                <w:sz w:val="18"/>
                <w:szCs w:val="18"/>
                <w:lang w:val="en-US"/>
              </w:rPr>
            </w:pPr>
            <w:r>
              <w:rPr>
                <w:rFonts w:eastAsia="Times New Roman" w:cs="Calibri"/>
                <w:color w:val="000000"/>
                <w:sz w:val="18"/>
                <w:szCs w:val="18"/>
                <w:lang w:val="en-US"/>
              </w:rPr>
              <w:t>China</w:t>
            </w:r>
          </w:p>
        </w:tc>
        <w:tc>
          <w:tcPr>
            <w:tcW w:w="460" w:type="pct"/>
            <w:tcBorders>
              <w:top w:val="nil"/>
              <w:left w:val="nil"/>
              <w:bottom w:val="single" w:sz="8" w:space="0" w:color="B7B7E2"/>
              <w:right w:val="single" w:sz="8" w:space="0" w:color="B7B7E2"/>
            </w:tcBorders>
            <w:shd w:val="clear" w:color="auto" w:fill="auto"/>
            <w:vAlign w:val="center"/>
            <w:hideMark/>
          </w:tcPr>
          <w:p w14:paraId="7CEDE73C" w14:textId="0D48986B"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12,0</w:t>
            </w:r>
            <w:r w:rsidR="00DF2526" w:rsidRPr="007D32CF">
              <w:rPr>
                <w:rFonts w:eastAsia="Times New Roman" w:cs="Calibri"/>
                <w:color w:val="000000"/>
                <w:sz w:val="18"/>
                <w:szCs w:val="18"/>
                <w:lang w:val="en-US"/>
              </w:rPr>
              <w:t>00</w:t>
            </w:r>
          </w:p>
        </w:tc>
        <w:tc>
          <w:tcPr>
            <w:tcW w:w="318" w:type="pct"/>
            <w:tcBorders>
              <w:top w:val="nil"/>
              <w:left w:val="nil"/>
              <w:bottom w:val="single" w:sz="8" w:space="0" w:color="B7B7E2"/>
              <w:right w:val="single" w:sz="8" w:space="0" w:color="B7B7E2"/>
            </w:tcBorders>
            <w:shd w:val="clear" w:color="auto" w:fill="auto"/>
            <w:vAlign w:val="center"/>
            <w:hideMark/>
          </w:tcPr>
          <w:p w14:paraId="4DCCE2A1" w14:textId="4B98CA25"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2</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481F21D0" w14:textId="68B343E2"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7</w:t>
            </w:r>
            <w:r w:rsidR="00C742F0">
              <w:rPr>
                <w:rFonts w:eastAsia="Times New Roman" w:cs="Calibri"/>
                <w:color w:val="000000"/>
                <w:sz w:val="18"/>
                <w:szCs w:val="18"/>
                <w:lang w:val="en-US"/>
              </w:rPr>
              <w:t>,</w:t>
            </w:r>
            <w:r>
              <w:rPr>
                <w:rFonts w:eastAsia="Times New Roman" w:cs="Calibri"/>
                <w:color w:val="000000"/>
                <w:sz w:val="18"/>
                <w:szCs w:val="18"/>
                <w:lang w:val="en-US"/>
              </w:rPr>
              <w:t>8</w:t>
            </w:r>
            <w:r w:rsidR="00DF2526" w:rsidRPr="007D32CF">
              <w:rPr>
                <w:rFonts w:eastAsia="Times New Roman" w:cs="Calibri"/>
                <w:color w:val="000000"/>
                <w:sz w:val="18"/>
                <w:szCs w:val="18"/>
                <w:lang w:val="en-US"/>
              </w:rPr>
              <w:t>00</w:t>
            </w:r>
          </w:p>
        </w:tc>
        <w:tc>
          <w:tcPr>
            <w:tcW w:w="417" w:type="pct"/>
            <w:tcBorders>
              <w:top w:val="nil"/>
              <w:left w:val="nil"/>
              <w:bottom w:val="single" w:sz="8" w:space="0" w:color="B7B7E2"/>
              <w:right w:val="single" w:sz="8" w:space="0" w:color="B7B7E2"/>
            </w:tcBorders>
            <w:shd w:val="clear" w:color="auto" w:fill="auto"/>
            <w:vAlign w:val="center"/>
            <w:hideMark/>
          </w:tcPr>
          <w:p w14:paraId="6D6114E8" w14:textId="3C9DC134"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57</w:t>
            </w:r>
            <w:r w:rsidR="00DF2526" w:rsidRPr="007D32CF">
              <w:rPr>
                <w:rFonts w:eastAsia="Times New Roman" w:cs="Calibri"/>
                <w:color w:val="000000"/>
                <w:sz w:val="18"/>
                <w:szCs w:val="18"/>
                <w:lang w:val="en-US"/>
              </w:rPr>
              <w:t>%</w:t>
            </w:r>
          </w:p>
        </w:tc>
        <w:tc>
          <w:tcPr>
            <w:tcW w:w="492" w:type="pct"/>
            <w:tcBorders>
              <w:top w:val="nil"/>
              <w:left w:val="nil"/>
              <w:bottom w:val="single" w:sz="8" w:space="0" w:color="B7B7E2"/>
              <w:right w:val="single" w:sz="8" w:space="0" w:color="B7B7E2"/>
            </w:tcBorders>
            <w:shd w:val="clear" w:color="auto" w:fill="auto"/>
            <w:vAlign w:val="center"/>
            <w:hideMark/>
          </w:tcPr>
          <w:p w14:paraId="406BFB26" w14:textId="77777777" w:rsidR="00DF2526" w:rsidRPr="007D32CF" w:rsidRDefault="00DF2526" w:rsidP="00DF2526">
            <w:pPr>
              <w:jc w:val="right"/>
              <w:rPr>
                <w:rFonts w:eastAsia="Times New Roman" w:cs="Calibri"/>
                <w:color w:val="000000"/>
                <w:sz w:val="18"/>
                <w:szCs w:val="18"/>
                <w:lang w:val="en-US"/>
              </w:rPr>
            </w:pPr>
            <w:r>
              <w:rPr>
                <w:rFonts w:eastAsia="Times New Roman" w:cs="Calibri"/>
                <w:color w:val="000000"/>
                <w:sz w:val="18"/>
                <w:szCs w:val="18"/>
                <w:lang w:val="en-US"/>
              </w:rPr>
              <w:t>27</w:t>
            </w:r>
            <w:r w:rsidRPr="007D32CF">
              <w:rPr>
                <w:rFonts w:eastAsia="Times New Roman" w:cs="Calibri"/>
                <w:color w:val="000000"/>
                <w:sz w:val="18"/>
                <w:szCs w:val="18"/>
                <w:lang w:val="en-US"/>
              </w:rPr>
              <w:t>,000</w:t>
            </w:r>
          </w:p>
        </w:tc>
        <w:tc>
          <w:tcPr>
            <w:tcW w:w="441" w:type="pct"/>
            <w:tcBorders>
              <w:top w:val="nil"/>
              <w:left w:val="nil"/>
              <w:bottom w:val="single" w:sz="8" w:space="0" w:color="B7B7E2"/>
              <w:right w:val="single" w:sz="8" w:space="0" w:color="B7B7E2"/>
            </w:tcBorders>
            <w:shd w:val="clear" w:color="auto" w:fill="auto"/>
            <w:vAlign w:val="center"/>
            <w:hideMark/>
          </w:tcPr>
          <w:p w14:paraId="098EA5D1" w14:textId="609AB5B0"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9B17CE">
              <w:rPr>
                <w:rFonts w:eastAsia="Times New Roman" w:cs="Calibri"/>
                <w:color w:val="000000"/>
                <w:sz w:val="18"/>
                <w:szCs w:val="18"/>
                <w:lang w:val="en-US"/>
              </w:rPr>
              <w:t>45.7</w:t>
            </w:r>
          </w:p>
        </w:tc>
        <w:tc>
          <w:tcPr>
            <w:tcW w:w="412" w:type="pct"/>
            <w:tcBorders>
              <w:top w:val="nil"/>
              <w:left w:val="nil"/>
              <w:bottom w:val="single" w:sz="8" w:space="0" w:color="B7B7E2"/>
              <w:right w:val="single" w:sz="8" w:space="0" w:color="B7B7E2"/>
            </w:tcBorders>
            <w:shd w:val="clear" w:color="auto" w:fill="auto"/>
            <w:vAlign w:val="center"/>
            <w:hideMark/>
          </w:tcPr>
          <w:p w14:paraId="407C0191" w14:textId="5A9E5C18"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9B17CE">
              <w:rPr>
                <w:rFonts w:eastAsia="Times New Roman" w:cs="Calibri"/>
                <w:color w:val="000000"/>
                <w:sz w:val="18"/>
                <w:szCs w:val="18"/>
                <w:lang w:val="en-US"/>
              </w:rPr>
              <w:t>34.3</w:t>
            </w:r>
          </w:p>
        </w:tc>
        <w:tc>
          <w:tcPr>
            <w:tcW w:w="424" w:type="pct"/>
            <w:tcBorders>
              <w:top w:val="nil"/>
              <w:left w:val="nil"/>
              <w:bottom w:val="single" w:sz="8" w:space="0" w:color="B7B7E2"/>
              <w:right w:val="single" w:sz="8" w:space="0" w:color="B7B7E2"/>
            </w:tcBorders>
            <w:shd w:val="clear" w:color="auto" w:fill="auto"/>
            <w:vAlign w:val="center"/>
            <w:hideMark/>
          </w:tcPr>
          <w:p w14:paraId="7054EBD1" w14:textId="7A0458FD"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33</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04E7B075"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Pr>
                <w:rFonts w:eastAsia="Times New Roman" w:cs="Calibri"/>
                <w:color w:val="000000"/>
                <w:sz w:val="18"/>
                <w:szCs w:val="18"/>
                <w:lang w:val="en-US"/>
              </w:rPr>
              <w:t>28.3</w:t>
            </w:r>
          </w:p>
        </w:tc>
      </w:tr>
      <w:tr w:rsidR="00DF2526" w:rsidRPr="00AC119A" w14:paraId="51130628" w14:textId="77777777" w:rsidTr="009B17CE">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29AF0383"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7</w:t>
            </w:r>
          </w:p>
        </w:tc>
        <w:tc>
          <w:tcPr>
            <w:tcW w:w="864" w:type="pct"/>
            <w:tcBorders>
              <w:top w:val="nil"/>
              <w:left w:val="nil"/>
              <w:bottom w:val="single" w:sz="8" w:space="0" w:color="B7B7E2"/>
              <w:right w:val="single" w:sz="8" w:space="0" w:color="B7B7E2"/>
            </w:tcBorders>
            <w:shd w:val="clear" w:color="auto" w:fill="auto"/>
            <w:vAlign w:val="center"/>
            <w:hideMark/>
          </w:tcPr>
          <w:p w14:paraId="3A267B34"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Thailand</w:t>
            </w:r>
          </w:p>
        </w:tc>
        <w:tc>
          <w:tcPr>
            <w:tcW w:w="460" w:type="pct"/>
            <w:tcBorders>
              <w:top w:val="nil"/>
              <w:left w:val="nil"/>
              <w:bottom w:val="single" w:sz="8" w:space="0" w:color="B7B7E2"/>
              <w:right w:val="single" w:sz="8" w:space="0" w:color="B7B7E2"/>
            </w:tcBorders>
            <w:shd w:val="clear" w:color="auto" w:fill="auto"/>
            <w:vAlign w:val="center"/>
            <w:hideMark/>
          </w:tcPr>
          <w:p w14:paraId="71513FB9" w14:textId="491531D1"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48</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55068122" w14:textId="61655C41"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9</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7594E8F7" w14:textId="799A6AE5"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2</w:t>
            </w:r>
            <w:r w:rsidR="009B17CE">
              <w:rPr>
                <w:rFonts w:eastAsia="Times New Roman" w:cs="Calibri"/>
                <w:color w:val="000000"/>
                <w:sz w:val="18"/>
                <w:szCs w:val="18"/>
                <w:lang w:val="en-US"/>
              </w:rPr>
              <w:t>8</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6CBA2FFB" w14:textId="46C1AAED"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72</w:t>
            </w:r>
            <w:r w:rsidR="00DF2526" w:rsidRPr="007D32CF">
              <w:rPr>
                <w:rFonts w:eastAsia="Times New Roman" w:cs="Calibri"/>
                <w:color w:val="000000"/>
                <w:sz w:val="18"/>
                <w:szCs w:val="18"/>
                <w:lang w:val="en-US"/>
              </w:rPr>
              <w:t>%</w:t>
            </w:r>
          </w:p>
        </w:tc>
        <w:tc>
          <w:tcPr>
            <w:tcW w:w="492" w:type="pct"/>
            <w:tcBorders>
              <w:top w:val="nil"/>
              <w:left w:val="nil"/>
              <w:bottom w:val="single" w:sz="8" w:space="0" w:color="B7B7E2"/>
              <w:right w:val="single" w:sz="8" w:space="0" w:color="B7B7E2"/>
            </w:tcBorders>
            <w:shd w:val="clear" w:color="auto" w:fill="auto"/>
            <w:vAlign w:val="center"/>
            <w:hideMark/>
          </w:tcPr>
          <w:p w14:paraId="3DCFB1E3"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22,000</w:t>
            </w:r>
          </w:p>
        </w:tc>
        <w:tc>
          <w:tcPr>
            <w:tcW w:w="441" w:type="pct"/>
            <w:tcBorders>
              <w:top w:val="nil"/>
              <w:left w:val="nil"/>
              <w:bottom w:val="single" w:sz="8" w:space="0" w:color="B7B7E2"/>
              <w:right w:val="single" w:sz="8" w:space="0" w:color="B7B7E2"/>
            </w:tcBorders>
            <w:shd w:val="clear" w:color="auto" w:fill="auto"/>
            <w:vAlign w:val="center"/>
            <w:hideMark/>
          </w:tcPr>
          <w:p w14:paraId="63E81520" w14:textId="7F8A39F4"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9B17CE">
              <w:rPr>
                <w:rFonts w:eastAsia="Times New Roman" w:cs="Calibri"/>
                <w:color w:val="000000"/>
                <w:sz w:val="18"/>
                <w:szCs w:val="18"/>
                <w:lang w:val="en-US"/>
              </w:rPr>
              <w:t>31.1</w:t>
            </w:r>
          </w:p>
        </w:tc>
        <w:tc>
          <w:tcPr>
            <w:tcW w:w="412" w:type="pct"/>
            <w:tcBorders>
              <w:top w:val="nil"/>
              <w:left w:val="nil"/>
              <w:bottom w:val="single" w:sz="8" w:space="0" w:color="B7B7E2"/>
              <w:right w:val="single" w:sz="8" w:space="0" w:color="B7B7E2"/>
            </w:tcBorders>
            <w:shd w:val="clear" w:color="auto" w:fill="auto"/>
            <w:vAlign w:val="center"/>
            <w:hideMark/>
          </w:tcPr>
          <w:p w14:paraId="597F4749" w14:textId="7017AB36"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9B17CE">
              <w:rPr>
                <w:rFonts w:eastAsia="Times New Roman" w:cs="Calibri"/>
                <w:color w:val="000000"/>
                <w:sz w:val="18"/>
                <w:szCs w:val="18"/>
                <w:lang w:val="en-US"/>
              </w:rPr>
              <w:t>15.3</w:t>
            </w:r>
          </w:p>
        </w:tc>
        <w:tc>
          <w:tcPr>
            <w:tcW w:w="424" w:type="pct"/>
            <w:tcBorders>
              <w:top w:val="nil"/>
              <w:left w:val="nil"/>
              <w:bottom w:val="single" w:sz="8" w:space="0" w:color="B7B7E2"/>
              <w:right w:val="single" w:sz="8" w:space="0" w:color="B7B7E2"/>
            </w:tcBorders>
            <w:shd w:val="clear" w:color="auto" w:fill="auto"/>
            <w:vAlign w:val="center"/>
            <w:hideMark/>
          </w:tcPr>
          <w:p w14:paraId="02DEB37C" w14:textId="2562BEC3"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104</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498481B"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$7.6</w:t>
            </w:r>
            <w:r>
              <w:rPr>
                <w:rFonts w:eastAsia="Times New Roman" w:cs="Calibri"/>
                <w:color w:val="000000"/>
                <w:sz w:val="18"/>
                <w:szCs w:val="18"/>
                <w:lang w:val="en-US"/>
              </w:rPr>
              <w:t>2</w:t>
            </w:r>
          </w:p>
        </w:tc>
      </w:tr>
      <w:tr w:rsidR="00DF2526" w:rsidRPr="00AC119A" w14:paraId="69103EB6" w14:textId="77777777" w:rsidTr="009B17CE">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61E00EE9"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8</w:t>
            </w:r>
          </w:p>
        </w:tc>
        <w:tc>
          <w:tcPr>
            <w:tcW w:w="864" w:type="pct"/>
            <w:tcBorders>
              <w:top w:val="nil"/>
              <w:left w:val="nil"/>
              <w:bottom w:val="single" w:sz="8" w:space="0" w:color="B7B7E2"/>
              <w:right w:val="single" w:sz="8" w:space="0" w:color="B7B7E2"/>
            </w:tcBorders>
            <w:shd w:val="clear" w:color="auto" w:fill="auto"/>
            <w:vAlign w:val="center"/>
            <w:hideMark/>
          </w:tcPr>
          <w:p w14:paraId="6BA8ED70"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Taiwan</w:t>
            </w:r>
          </w:p>
        </w:tc>
        <w:tc>
          <w:tcPr>
            <w:tcW w:w="460" w:type="pct"/>
            <w:tcBorders>
              <w:top w:val="nil"/>
              <w:left w:val="nil"/>
              <w:bottom w:val="single" w:sz="8" w:space="0" w:color="B7B7E2"/>
              <w:right w:val="single" w:sz="8" w:space="0" w:color="B7B7E2"/>
            </w:tcBorders>
            <w:shd w:val="clear" w:color="auto" w:fill="auto"/>
            <w:vAlign w:val="center"/>
            <w:hideMark/>
          </w:tcPr>
          <w:p w14:paraId="4AA9D800" w14:textId="4EB854A0"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27</w:t>
            </w:r>
            <w:r w:rsidR="00DF2526">
              <w:rPr>
                <w:rFonts w:eastAsia="Times New Roman" w:cs="Calibri"/>
                <w:color w:val="000000"/>
                <w:sz w:val="18"/>
                <w:szCs w:val="18"/>
                <w:lang w:val="en-US"/>
              </w:rPr>
              <w:t>,</w:t>
            </w:r>
            <w:r w:rsidR="00110651">
              <w:rPr>
                <w:rFonts w:eastAsia="Times New Roman" w:cs="Calibri"/>
                <w:color w:val="000000"/>
                <w:sz w:val="18"/>
                <w:szCs w:val="18"/>
                <w:lang w:val="en-US"/>
              </w:rPr>
              <w:t>0</w:t>
            </w:r>
            <w:r w:rsidR="00DF2526" w:rsidRPr="007D32CF">
              <w:rPr>
                <w:rFonts w:eastAsia="Times New Roman" w:cs="Calibri"/>
                <w:color w:val="000000"/>
                <w:sz w:val="18"/>
                <w:szCs w:val="18"/>
                <w:lang w:val="en-US"/>
              </w:rPr>
              <w:t>00</w:t>
            </w:r>
          </w:p>
        </w:tc>
        <w:tc>
          <w:tcPr>
            <w:tcW w:w="318" w:type="pct"/>
            <w:tcBorders>
              <w:top w:val="nil"/>
              <w:left w:val="nil"/>
              <w:bottom w:val="single" w:sz="8" w:space="0" w:color="B7B7E2"/>
              <w:right w:val="single" w:sz="8" w:space="0" w:color="B7B7E2"/>
            </w:tcBorders>
            <w:shd w:val="clear" w:color="auto" w:fill="auto"/>
            <w:vAlign w:val="center"/>
            <w:hideMark/>
          </w:tcPr>
          <w:p w14:paraId="70D04AA5" w14:textId="434BDC14"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5</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01CC8332" w14:textId="0F2E19C2"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2</w:t>
            </w:r>
            <w:r w:rsidR="009B17CE">
              <w:rPr>
                <w:rFonts w:eastAsia="Times New Roman" w:cs="Calibri"/>
                <w:color w:val="000000"/>
                <w:sz w:val="18"/>
                <w:szCs w:val="18"/>
                <w:lang w:val="en-US"/>
              </w:rPr>
              <w:t>8</w:t>
            </w:r>
            <w:r w:rsidR="00DF2526" w:rsidRPr="007D32CF">
              <w:rPr>
                <w:rFonts w:eastAsia="Times New Roman" w:cs="Calibri"/>
                <w:color w:val="000000"/>
                <w:sz w:val="18"/>
                <w:szCs w:val="18"/>
                <w:lang w:val="en-US"/>
              </w:rPr>
              <w:t>,</w:t>
            </w:r>
            <w:r w:rsidR="00110651">
              <w:rPr>
                <w:rFonts w:eastAsia="Times New Roman" w:cs="Calibri"/>
                <w:color w:val="000000"/>
                <w:sz w:val="18"/>
                <w:szCs w:val="18"/>
                <w:lang w:val="en-US"/>
              </w:rPr>
              <w:t>0</w:t>
            </w:r>
            <w:r w:rsidR="00DF2526" w:rsidRPr="007D32CF">
              <w:rPr>
                <w:rFonts w:eastAsia="Times New Roman" w:cs="Calibri"/>
                <w:color w:val="000000"/>
                <w:sz w:val="18"/>
                <w:szCs w:val="18"/>
                <w:lang w:val="en-US"/>
              </w:rPr>
              <w:t>00</w:t>
            </w:r>
          </w:p>
        </w:tc>
        <w:tc>
          <w:tcPr>
            <w:tcW w:w="417" w:type="pct"/>
            <w:tcBorders>
              <w:top w:val="nil"/>
              <w:left w:val="nil"/>
              <w:bottom w:val="single" w:sz="8" w:space="0" w:color="B7B7E2"/>
              <w:right w:val="single" w:sz="8" w:space="0" w:color="B7B7E2"/>
            </w:tcBorders>
            <w:shd w:val="clear" w:color="auto" w:fill="auto"/>
            <w:vAlign w:val="center"/>
            <w:hideMark/>
          </w:tcPr>
          <w:p w14:paraId="1DD1D455" w14:textId="2A8710D2"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-4</w:t>
            </w:r>
            <w:r w:rsidR="00DF2526" w:rsidRPr="007D32CF">
              <w:rPr>
                <w:rFonts w:eastAsia="Times New Roman" w:cs="Calibri"/>
                <w:color w:val="000000"/>
                <w:sz w:val="18"/>
                <w:szCs w:val="18"/>
                <w:lang w:val="en-US"/>
              </w:rPr>
              <w:t>%</w:t>
            </w:r>
          </w:p>
        </w:tc>
        <w:tc>
          <w:tcPr>
            <w:tcW w:w="492" w:type="pct"/>
            <w:tcBorders>
              <w:top w:val="nil"/>
              <w:left w:val="nil"/>
              <w:bottom w:val="single" w:sz="8" w:space="0" w:color="B7B7E2"/>
              <w:right w:val="single" w:sz="8" w:space="0" w:color="B7B7E2"/>
            </w:tcBorders>
            <w:shd w:val="clear" w:color="auto" w:fill="auto"/>
            <w:vAlign w:val="center"/>
            <w:hideMark/>
          </w:tcPr>
          <w:p w14:paraId="15CB7915"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17,000</w:t>
            </w:r>
          </w:p>
        </w:tc>
        <w:tc>
          <w:tcPr>
            <w:tcW w:w="441" w:type="pct"/>
            <w:tcBorders>
              <w:top w:val="nil"/>
              <w:left w:val="nil"/>
              <w:bottom w:val="single" w:sz="8" w:space="0" w:color="B7B7E2"/>
              <w:right w:val="single" w:sz="8" w:space="0" w:color="B7B7E2"/>
            </w:tcBorders>
            <w:shd w:val="clear" w:color="auto" w:fill="auto"/>
            <w:vAlign w:val="center"/>
            <w:hideMark/>
          </w:tcPr>
          <w:p w14:paraId="39F0C796" w14:textId="09D0BD07"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9B17CE">
              <w:rPr>
                <w:rFonts w:eastAsia="Times New Roman" w:cs="Calibri"/>
                <w:color w:val="000000"/>
                <w:sz w:val="18"/>
                <w:szCs w:val="18"/>
                <w:lang w:val="en-US"/>
              </w:rPr>
              <w:t>11.2</w:t>
            </w:r>
          </w:p>
        </w:tc>
        <w:tc>
          <w:tcPr>
            <w:tcW w:w="412" w:type="pct"/>
            <w:tcBorders>
              <w:top w:val="nil"/>
              <w:left w:val="nil"/>
              <w:bottom w:val="single" w:sz="8" w:space="0" w:color="B7B7E2"/>
              <w:right w:val="single" w:sz="8" w:space="0" w:color="B7B7E2"/>
            </w:tcBorders>
            <w:shd w:val="clear" w:color="auto" w:fill="auto"/>
            <w:vAlign w:val="center"/>
            <w:hideMark/>
          </w:tcPr>
          <w:p w14:paraId="65259EBB" w14:textId="16BC0C04"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9B17CE">
              <w:rPr>
                <w:rFonts w:eastAsia="Times New Roman" w:cs="Calibri"/>
                <w:color w:val="000000"/>
                <w:sz w:val="18"/>
                <w:szCs w:val="18"/>
                <w:lang w:val="en-US"/>
              </w:rPr>
              <w:t>15.2</w:t>
            </w:r>
          </w:p>
        </w:tc>
        <w:tc>
          <w:tcPr>
            <w:tcW w:w="424" w:type="pct"/>
            <w:tcBorders>
              <w:top w:val="nil"/>
              <w:left w:val="nil"/>
              <w:bottom w:val="single" w:sz="8" w:space="0" w:color="B7B7E2"/>
              <w:right w:val="single" w:sz="8" w:space="0" w:color="B7B7E2"/>
            </w:tcBorders>
            <w:shd w:val="clear" w:color="auto" w:fill="auto"/>
            <w:vAlign w:val="center"/>
            <w:hideMark/>
          </w:tcPr>
          <w:p w14:paraId="6F475295" w14:textId="342DB711" w:rsidR="00DF2526" w:rsidRPr="007D32CF" w:rsidRDefault="002D0BFE" w:rsidP="00DF2526">
            <w:pPr>
              <w:jc w:val="right"/>
              <w:rPr>
                <w:rFonts w:eastAsia="Times New Roman" w:cs="Calibri"/>
                <w:color w:val="000000"/>
                <w:sz w:val="18"/>
                <w:szCs w:val="18"/>
                <w:lang w:val="en-US"/>
              </w:rPr>
            </w:pPr>
            <w:r>
              <w:rPr>
                <w:rFonts w:eastAsia="Times New Roman" w:cs="Calibri"/>
                <w:color w:val="000000"/>
                <w:sz w:val="18"/>
                <w:szCs w:val="18"/>
                <w:lang w:val="en-US"/>
              </w:rPr>
              <w:t>-27</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1E38187D"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$9.3</w:t>
            </w:r>
            <w:r>
              <w:rPr>
                <w:rFonts w:eastAsia="Times New Roman" w:cs="Calibri"/>
                <w:color w:val="000000"/>
                <w:sz w:val="18"/>
                <w:szCs w:val="18"/>
                <w:lang w:val="en-US"/>
              </w:rPr>
              <w:t>2</w:t>
            </w:r>
          </w:p>
        </w:tc>
      </w:tr>
      <w:tr w:rsidR="00DF2526" w:rsidRPr="00AC119A" w14:paraId="5CA1D3F7" w14:textId="77777777" w:rsidTr="009B17CE">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2F42BB03"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9</w:t>
            </w:r>
          </w:p>
        </w:tc>
        <w:tc>
          <w:tcPr>
            <w:tcW w:w="864" w:type="pct"/>
            <w:tcBorders>
              <w:top w:val="nil"/>
              <w:left w:val="nil"/>
              <w:bottom w:val="single" w:sz="8" w:space="0" w:color="B7B7E2"/>
              <w:right w:val="single" w:sz="8" w:space="0" w:color="B7B7E2"/>
            </w:tcBorders>
            <w:shd w:val="clear" w:color="auto" w:fill="auto"/>
            <w:vAlign w:val="center"/>
            <w:hideMark/>
          </w:tcPr>
          <w:p w14:paraId="2E0D3556" w14:textId="61A95AE6" w:rsidR="00DF2526" w:rsidRPr="007D32CF" w:rsidRDefault="00102B40" w:rsidP="00DF2526">
            <w:pPr>
              <w:rPr>
                <w:rFonts w:eastAsia="Times New Roman" w:cs="Calibri"/>
                <w:color w:val="000000"/>
                <w:sz w:val="18"/>
                <w:szCs w:val="18"/>
                <w:lang w:val="en-US"/>
              </w:rPr>
            </w:pPr>
            <w:r>
              <w:rPr>
                <w:rFonts w:eastAsia="Times New Roman" w:cs="Calibri"/>
                <w:color w:val="000000"/>
                <w:sz w:val="18"/>
                <w:szCs w:val="18"/>
                <w:lang w:val="en-US"/>
              </w:rPr>
              <w:t>South Korea</w:t>
            </w:r>
          </w:p>
        </w:tc>
        <w:tc>
          <w:tcPr>
            <w:tcW w:w="460" w:type="pct"/>
            <w:tcBorders>
              <w:top w:val="nil"/>
              <w:left w:val="nil"/>
              <w:bottom w:val="single" w:sz="8" w:space="0" w:color="B7B7E2"/>
              <w:right w:val="single" w:sz="8" w:space="0" w:color="B7B7E2"/>
            </w:tcBorders>
            <w:shd w:val="clear" w:color="auto" w:fill="auto"/>
            <w:vAlign w:val="center"/>
            <w:hideMark/>
          </w:tcPr>
          <w:p w14:paraId="4BC3F683" w14:textId="0203D4FD" w:rsidR="00DF2526" w:rsidRPr="007D32CF" w:rsidRDefault="007225EB" w:rsidP="00DF2526">
            <w:pPr>
              <w:jc w:val="right"/>
              <w:rPr>
                <w:rFonts w:eastAsia="Times New Roman" w:cs="Calibri"/>
                <w:color w:val="000000"/>
                <w:sz w:val="18"/>
                <w:szCs w:val="18"/>
                <w:lang w:val="en-US"/>
              </w:rPr>
            </w:pPr>
            <w:r>
              <w:rPr>
                <w:rFonts w:eastAsia="Times New Roman" w:cs="Calibri"/>
                <w:color w:val="000000"/>
                <w:sz w:val="18"/>
                <w:szCs w:val="18"/>
                <w:lang w:val="en-US"/>
              </w:rPr>
              <w:t>1</w:t>
            </w:r>
            <w:r w:rsidR="009B17CE">
              <w:rPr>
                <w:rFonts w:eastAsia="Times New Roman" w:cs="Calibri"/>
                <w:color w:val="000000"/>
                <w:sz w:val="18"/>
                <w:szCs w:val="18"/>
                <w:lang w:val="en-US"/>
              </w:rPr>
              <w:t>1</w:t>
            </w:r>
            <w:r w:rsidR="00DF2526">
              <w:rPr>
                <w:rFonts w:eastAsia="Times New Roman" w:cs="Calibri"/>
                <w:color w:val="000000"/>
                <w:sz w:val="18"/>
                <w:szCs w:val="18"/>
                <w:lang w:val="en-US"/>
              </w:rPr>
              <w:t>,0</w:t>
            </w:r>
            <w:r w:rsidR="00DF2526" w:rsidRPr="007D32CF">
              <w:rPr>
                <w:rFonts w:eastAsia="Times New Roman" w:cs="Calibri"/>
                <w:color w:val="000000"/>
                <w:sz w:val="18"/>
                <w:szCs w:val="18"/>
                <w:lang w:val="en-US"/>
              </w:rPr>
              <w:t>00</w:t>
            </w:r>
          </w:p>
        </w:tc>
        <w:tc>
          <w:tcPr>
            <w:tcW w:w="318" w:type="pct"/>
            <w:tcBorders>
              <w:top w:val="nil"/>
              <w:left w:val="nil"/>
              <w:bottom w:val="single" w:sz="8" w:space="0" w:color="B7B7E2"/>
              <w:right w:val="single" w:sz="8" w:space="0" w:color="B7B7E2"/>
            </w:tcBorders>
            <w:shd w:val="clear" w:color="auto" w:fill="auto"/>
            <w:vAlign w:val="center"/>
            <w:hideMark/>
          </w:tcPr>
          <w:p w14:paraId="37D4EA5D" w14:textId="488B3162"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2</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7E2FC567" w14:textId="4898A4EC"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1</w:t>
            </w:r>
            <w:r w:rsidR="009B17CE">
              <w:rPr>
                <w:rFonts w:eastAsia="Times New Roman" w:cs="Calibri"/>
                <w:color w:val="000000"/>
                <w:sz w:val="18"/>
                <w:szCs w:val="18"/>
                <w:lang w:val="en-US"/>
              </w:rPr>
              <w:t>3</w:t>
            </w:r>
            <w:r w:rsidR="00110651">
              <w:rPr>
                <w:rFonts w:eastAsia="Times New Roman" w:cs="Calibri"/>
                <w:color w:val="000000"/>
                <w:sz w:val="18"/>
                <w:szCs w:val="18"/>
                <w:lang w:val="en-US"/>
              </w:rPr>
              <w:t>,0</w:t>
            </w:r>
            <w:r w:rsidR="00DF2526" w:rsidRPr="007D32CF">
              <w:rPr>
                <w:rFonts w:eastAsia="Times New Roman" w:cs="Calibri"/>
                <w:color w:val="000000"/>
                <w:sz w:val="18"/>
                <w:szCs w:val="18"/>
                <w:lang w:val="en-US"/>
              </w:rPr>
              <w:t>00</w:t>
            </w:r>
          </w:p>
        </w:tc>
        <w:tc>
          <w:tcPr>
            <w:tcW w:w="417" w:type="pct"/>
            <w:tcBorders>
              <w:top w:val="nil"/>
              <w:left w:val="nil"/>
              <w:bottom w:val="single" w:sz="8" w:space="0" w:color="B7B7E2"/>
              <w:right w:val="single" w:sz="8" w:space="0" w:color="B7B7E2"/>
            </w:tcBorders>
            <w:shd w:val="clear" w:color="auto" w:fill="auto"/>
            <w:vAlign w:val="center"/>
            <w:hideMark/>
          </w:tcPr>
          <w:p w14:paraId="09B4F589" w14:textId="15BDC57F" w:rsidR="00DF2526" w:rsidRPr="007D32CF" w:rsidRDefault="006F0577" w:rsidP="00DF2526">
            <w:pPr>
              <w:jc w:val="right"/>
              <w:rPr>
                <w:rFonts w:eastAsia="Times New Roman" w:cs="Calibri"/>
                <w:color w:val="000000"/>
                <w:sz w:val="18"/>
                <w:szCs w:val="18"/>
                <w:lang w:val="en-US"/>
              </w:rPr>
            </w:pPr>
            <w:r>
              <w:rPr>
                <w:rFonts w:eastAsia="Times New Roman" w:cs="Calibri"/>
                <w:color w:val="000000"/>
                <w:sz w:val="18"/>
                <w:szCs w:val="18"/>
                <w:lang w:val="en-US"/>
              </w:rPr>
              <w:t>-1</w:t>
            </w:r>
            <w:r w:rsidR="009B17CE">
              <w:rPr>
                <w:rFonts w:eastAsia="Times New Roman" w:cs="Calibri"/>
                <w:color w:val="000000"/>
                <w:sz w:val="18"/>
                <w:szCs w:val="18"/>
                <w:lang w:val="en-US"/>
              </w:rPr>
              <w:t>4</w:t>
            </w:r>
            <w:r w:rsidR="00DF2526" w:rsidRPr="007D32CF">
              <w:rPr>
                <w:rFonts w:eastAsia="Times New Roman" w:cs="Calibri"/>
                <w:color w:val="000000"/>
                <w:sz w:val="18"/>
                <w:szCs w:val="18"/>
                <w:lang w:val="en-US"/>
              </w:rPr>
              <w:t>%</w:t>
            </w:r>
          </w:p>
        </w:tc>
        <w:tc>
          <w:tcPr>
            <w:tcW w:w="492" w:type="pct"/>
            <w:tcBorders>
              <w:top w:val="nil"/>
              <w:left w:val="nil"/>
              <w:bottom w:val="single" w:sz="8" w:space="0" w:color="B7B7E2"/>
              <w:right w:val="single" w:sz="8" w:space="0" w:color="B7B7E2"/>
            </w:tcBorders>
            <w:shd w:val="clear" w:color="auto" w:fill="auto"/>
            <w:vAlign w:val="center"/>
            <w:hideMark/>
          </w:tcPr>
          <w:p w14:paraId="7E3C38A5"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15,000</w:t>
            </w:r>
          </w:p>
        </w:tc>
        <w:tc>
          <w:tcPr>
            <w:tcW w:w="441" w:type="pct"/>
            <w:tcBorders>
              <w:top w:val="nil"/>
              <w:left w:val="nil"/>
              <w:bottom w:val="single" w:sz="8" w:space="0" w:color="B7B7E2"/>
              <w:right w:val="single" w:sz="8" w:space="0" w:color="B7B7E2"/>
            </w:tcBorders>
            <w:shd w:val="clear" w:color="auto" w:fill="auto"/>
            <w:vAlign w:val="center"/>
            <w:hideMark/>
          </w:tcPr>
          <w:p w14:paraId="675614C4" w14:textId="041420F9"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9B17CE">
              <w:rPr>
                <w:rFonts w:eastAsia="Times New Roman" w:cs="Calibri"/>
                <w:color w:val="000000"/>
                <w:sz w:val="18"/>
                <w:szCs w:val="18"/>
                <w:lang w:val="en-US"/>
              </w:rPr>
              <w:t>25.1</w:t>
            </w:r>
          </w:p>
        </w:tc>
        <w:tc>
          <w:tcPr>
            <w:tcW w:w="412" w:type="pct"/>
            <w:tcBorders>
              <w:top w:val="nil"/>
              <w:left w:val="nil"/>
              <w:bottom w:val="single" w:sz="8" w:space="0" w:color="B7B7E2"/>
              <w:right w:val="single" w:sz="8" w:space="0" w:color="B7B7E2"/>
            </w:tcBorders>
            <w:shd w:val="clear" w:color="auto" w:fill="auto"/>
            <w:vAlign w:val="center"/>
            <w:hideMark/>
          </w:tcPr>
          <w:p w14:paraId="6C6782BC" w14:textId="4D4B5A85"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9B17CE">
              <w:rPr>
                <w:rFonts w:eastAsia="Times New Roman" w:cs="Calibri"/>
                <w:color w:val="000000"/>
                <w:sz w:val="18"/>
                <w:szCs w:val="18"/>
                <w:lang w:val="en-US"/>
              </w:rPr>
              <w:t>41.4</w:t>
            </w:r>
          </w:p>
        </w:tc>
        <w:tc>
          <w:tcPr>
            <w:tcW w:w="424" w:type="pct"/>
            <w:tcBorders>
              <w:top w:val="nil"/>
              <w:left w:val="nil"/>
              <w:bottom w:val="single" w:sz="8" w:space="0" w:color="B7B7E2"/>
              <w:right w:val="single" w:sz="8" w:space="0" w:color="B7B7E2"/>
            </w:tcBorders>
            <w:shd w:val="clear" w:color="auto" w:fill="auto"/>
            <w:vAlign w:val="center"/>
            <w:hideMark/>
          </w:tcPr>
          <w:p w14:paraId="5A0F56D7" w14:textId="67D0EAA4" w:rsidR="00DF2526" w:rsidRPr="007D32CF" w:rsidRDefault="002D0BFE" w:rsidP="00DF2526">
            <w:pPr>
              <w:jc w:val="right"/>
              <w:rPr>
                <w:rFonts w:eastAsia="Times New Roman" w:cs="Calibri"/>
                <w:color w:val="000000"/>
                <w:sz w:val="18"/>
                <w:szCs w:val="18"/>
                <w:lang w:val="en-US"/>
              </w:rPr>
            </w:pPr>
            <w:r>
              <w:rPr>
                <w:rFonts w:eastAsia="Times New Roman" w:cs="Calibri"/>
                <w:color w:val="000000"/>
                <w:sz w:val="18"/>
                <w:szCs w:val="18"/>
                <w:lang w:val="en-US"/>
              </w:rPr>
              <w:t>-39</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1983495A"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$39.4</w:t>
            </w:r>
          </w:p>
        </w:tc>
      </w:tr>
      <w:tr w:rsidR="00DF2526" w:rsidRPr="00AC119A" w14:paraId="11F95C4E" w14:textId="77777777" w:rsidTr="009B17CE">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474D9581"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10</w:t>
            </w:r>
          </w:p>
        </w:tc>
        <w:tc>
          <w:tcPr>
            <w:tcW w:w="864" w:type="pct"/>
            <w:tcBorders>
              <w:top w:val="nil"/>
              <w:left w:val="nil"/>
              <w:bottom w:val="single" w:sz="8" w:space="0" w:color="B7B7E2"/>
              <w:right w:val="single" w:sz="8" w:space="0" w:color="B7B7E2"/>
            </w:tcBorders>
            <w:shd w:val="clear" w:color="auto" w:fill="auto"/>
            <w:vAlign w:val="center"/>
            <w:hideMark/>
          </w:tcPr>
          <w:p w14:paraId="066D497D"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Pakistan</w:t>
            </w:r>
          </w:p>
        </w:tc>
        <w:tc>
          <w:tcPr>
            <w:tcW w:w="460" w:type="pct"/>
            <w:tcBorders>
              <w:top w:val="nil"/>
              <w:left w:val="nil"/>
              <w:bottom w:val="single" w:sz="8" w:space="0" w:color="B7B7E2"/>
              <w:right w:val="single" w:sz="8" w:space="0" w:color="B7B7E2"/>
            </w:tcBorders>
            <w:shd w:val="clear" w:color="auto" w:fill="auto"/>
            <w:vAlign w:val="center"/>
            <w:hideMark/>
          </w:tcPr>
          <w:p w14:paraId="29A8E8CC" w14:textId="1095F195"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28</w:t>
            </w:r>
            <w:r w:rsidR="00DF2526">
              <w:rPr>
                <w:rFonts w:eastAsia="Times New Roman" w:cs="Calibri"/>
                <w:color w:val="000000"/>
                <w:sz w:val="18"/>
                <w:szCs w:val="18"/>
                <w:lang w:val="en-US"/>
              </w:rPr>
              <w:t>,0</w:t>
            </w:r>
            <w:r w:rsidR="00DF2526" w:rsidRPr="007D32CF">
              <w:rPr>
                <w:rFonts w:eastAsia="Times New Roman" w:cs="Calibri"/>
                <w:color w:val="000000"/>
                <w:sz w:val="18"/>
                <w:szCs w:val="18"/>
                <w:lang w:val="en-US"/>
              </w:rPr>
              <w:t>00</w:t>
            </w:r>
          </w:p>
        </w:tc>
        <w:tc>
          <w:tcPr>
            <w:tcW w:w="318" w:type="pct"/>
            <w:tcBorders>
              <w:top w:val="nil"/>
              <w:left w:val="nil"/>
              <w:bottom w:val="single" w:sz="8" w:space="0" w:color="B7B7E2"/>
              <w:right w:val="single" w:sz="8" w:space="0" w:color="B7B7E2"/>
            </w:tcBorders>
            <w:shd w:val="clear" w:color="auto" w:fill="auto"/>
            <w:vAlign w:val="center"/>
            <w:hideMark/>
          </w:tcPr>
          <w:p w14:paraId="4FF7B047" w14:textId="50DFAAC0"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5</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6C326949" w14:textId="4146D3D3"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5</w:t>
            </w:r>
            <w:r w:rsidR="00C742F0">
              <w:rPr>
                <w:rFonts w:eastAsia="Times New Roman" w:cs="Calibri"/>
                <w:color w:val="000000"/>
                <w:sz w:val="18"/>
                <w:szCs w:val="18"/>
                <w:lang w:val="en-US"/>
              </w:rPr>
              <w:t>,</w:t>
            </w:r>
            <w:r>
              <w:rPr>
                <w:rFonts w:eastAsia="Times New Roman" w:cs="Calibri"/>
                <w:color w:val="000000"/>
                <w:sz w:val="18"/>
                <w:szCs w:val="18"/>
                <w:lang w:val="en-US"/>
              </w:rPr>
              <w:t>9</w:t>
            </w:r>
            <w:r w:rsidR="00DF2526" w:rsidRPr="007D32CF">
              <w:rPr>
                <w:rFonts w:eastAsia="Times New Roman" w:cs="Calibri"/>
                <w:color w:val="000000"/>
                <w:sz w:val="18"/>
                <w:szCs w:val="18"/>
                <w:lang w:val="en-US"/>
              </w:rPr>
              <w:t>00</w:t>
            </w:r>
          </w:p>
        </w:tc>
        <w:tc>
          <w:tcPr>
            <w:tcW w:w="417" w:type="pct"/>
            <w:tcBorders>
              <w:top w:val="nil"/>
              <w:left w:val="nil"/>
              <w:bottom w:val="single" w:sz="8" w:space="0" w:color="B7B7E2"/>
              <w:right w:val="single" w:sz="8" w:space="0" w:color="B7B7E2"/>
            </w:tcBorders>
            <w:shd w:val="clear" w:color="auto" w:fill="auto"/>
            <w:vAlign w:val="center"/>
            <w:hideMark/>
          </w:tcPr>
          <w:p w14:paraId="64FDF906" w14:textId="11001CCD"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371</w:t>
            </w:r>
            <w:r w:rsidR="00DF2526" w:rsidRPr="007D32CF">
              <w:rPr>
                <w:rFonts w:eastAsia="Times New Roman" w:cs="Calibri"/>
                <w:color w:val="000000"/>
                <w:sz w:val="18"/>
                <w:szCs w:val="18"/>
                <w:lang w:val="en-US"/>
              </w:rPr>
              <w:t>%</w:t>
            </w:r>
          </w:p>
        </w:tc>
        <w:tc>
          <w:tcPr>
            <w:tcW w:w="492" w:type="pct"/>
            <w:tcBorders>
              <w:top w:val="nil"/>
              <w:left w:val="nil"/>
              <w:bottom w:val="single" w:sz="8" w:space="0" w:color="B7B7E2"/>
              <w:right w:val="single" w:sz="8" w:space="0" w:color="B7B7E2"/>
            </w:tcBorders>
            <w:shd w:val="clear" w:color="auto" w:fill="auto"/>
            <w:vAlign w:val="center"/>
            <w:hideMark/>
          </w:tcPr>
          <w:p w14:paraId="7E473D68"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9,100</w:t>
            </w:r>
          </w:p>
        </w:tc>
        <w:tc>
          <w:tcPr>
            <w:tcW w:w="441" w:type="pct"/>
            <w:tcBorders>
              <w:top w:val="nil"/>
              <w:left w:val="nil"/>
              <w:bottom w:val="single" w:sz="8" w:space="0" w:color="B7B7E2"/>
              <w:right w:val="single" w:sz="8" w:space="0" w:color="B7B7E2"/>
            </w:tcBorders>
            <w:shd w:val="clear" w:color="auto" w:fill="auto"/>
            <w:vAlign w:val="center"/>
            <w:hideMark/>
          </w:tcPr>
          <w:p w14:paraId="0E0BC402" w14:textId="6F1B6552"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9B17CE">
              <w:rPr>
                <w:rFonts w:eastAsia="Times New Roman" w:cs="Calibri"/>
                <w:color w:val="000000"/>
                <w:sz w:val="18"/>
                <w:szCs w:val="18"/>
                <w:lang w:val="en-US"/>
              </w:rPr>
              <w:t>6.17</w:t>
            </w:r>
          </w:p>
        </w:tc>
        <w:tc>
          <w:tcPr>
            <w:tcW w:w="412" w:type="pct"/>
            <w:tcBorders>
              <w:top w:val="nil"/>
              <w:left w:val="nil"/>
              <w:bottom w:val="single" w:sz="8" w:space="0" w:color="B7B7E2"/>
              <w:right w:val="single" w:sz="8" w:space="0" w:color="B7B7E2"/>
            </w:tcBorders>
            <w:shd w:val="clear" w:color="auto" w:fill="auto"/>
            <w:vAlign w:val="center"/>
            <w:hideMark/>
          </w:tcPr>
          <w:p w14:paraId="746B32B3" w14:textId="4781F2F0"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9B17CE">
              <w:rPr>
                <w:rFonts w:eastAsia="Times New Roman" w:cs="Calibri"/>
                <w:color w:val="000000"/>
                <w:sz w:val="18"/>
                <w:szCs w:val="18"/>
                <w:lang w:val="en-US"/>
              </w:rPr>
              <w:t>4.39</w:t>
            </w:r>
          </w:p>
        </w:tc>
        <w:tc>
          <w:tcPr>
            <w:tcW w:w="424" w:type="pct"/>
            <w:tcBorders>
              <w:top w:val="nil"/>
              <w:left w:val="nil"/>
              <w:bottom w:val="single" w:sz="8" w:space="0" w:color="B7B7E2"/>
              <w:right w:val="single" w:sz="8" w:space="0" w:color="B7B7E2"/>
            </w:tcBorders>
            <w:shd w:val="clear" w:color="auto" w:fill="auto"/>
            <w:vAlign w:val="center"/>
            <w:hideMark/>
          </w:tcPr>
          <w:p w14:paraId="4F850326" w14:textId="13D4D966" w:rsidR="00DF2526" w:rsidRPr="007D32CF" w:rsidRDefault="002D0BFE" w:rsidP="00DF2526">
            <w:pPr>
              <w:jc w:val="right"/>
              <w:rPr>
                <w:rFonts w:eastAsia="Times New Roman" w:cs="Calibri"/>
                <w:color w:val="000000"/>
                <w:sz w:val="18"/>
                <w:szCs w:val="18"/>
                <w:lang w:val="en-US"/>
              </w:rPr>
            </w:pPr>
            <w:r>
              <w:rPr>
                <w:rFonts w:eastAsia="Times New Roman" w:cs="Calibri"/>
                <w:color w:val="000000"/>
                <w:sz w:val="18"/>
                <w:szCs w:val="18"/>
                <w:lang w:val="en-US"/>
              </w:rPr>
              <w:t>40</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CD6A80A"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$5.</w:t>
            </w:r>
            <w:r>
              <w:rPr>
                <w:rFonts w:eastAsia="Times New Roman" w:cs="Calibri"/>
                <w:color w:val="000000"/>
                <w:sz w:val="18"/>
                <w:szCs w:val="18"/>
                <w:lang w:val="en-US"/>
              </w:rPr>
              <w:t>01</w:t>
            </w:r>
          </w:p>
        </w:tc>
      </w:tr>
      <w:tr w:rsidR="00DF2526" w:rsidRPr="00AC119A" w14:paraId="4423D6DF" w14:textId="77777777" w:rsidTr="009B17CE">
        <w:trPr>
          <w:trHeight w:val="227"/>
        </w:trPr>
        <w:tc>
          <w:tcPr>
            <w:tcW w:w="1099" w:type="pct"/>
            <w:gridSpan w:val="2"/>
            <w:tcBorders>
              <w:top w:val="single" w:sz="8" w:space="0" w:color="B7B7E2"/>
              <w:left w:val="single" w:sz="8" w:space="0" w:color="B7B7E2"/>
              <w:bottom w:val="single" w:sz="8" w:space="0" w:color="B7B7E2"/>
              <w:right w:val="single" w:sz="8" w:space="0" w:color="B7B7E2"/>
            </w:tcBorders>
            <w:shd w:val="clear" w:color="auto" w:fill="auto"/>
            <w:vAlign w:val="center"/>
            <w:hideMark/>
          </w:tcPr>
          <w:p w14:paraId="2656D98E" w14:textId="77777777" w:rsidR="00DF2526" w:rsidRPr="007D32CF" w:rsidRDefault="00DF2526" w:rsidP="00DF2526">
            <w:pPr>
              <w:rPr>
                <w:rFonts w:eastAsia="Times New Roman" w:cs="Calibri"/>
                <w:color w:val="000000"/>
                <w:sz w:val="18"/>
                <w:szCs w:val="18"/>
                <w:lang w:val="en-US"/>
              </w:rPr>
            </w:pPr>
            <w:r w:rsidRPr="007D32CF">
              <w:rPr>
                <w:rFonts w:eastAsia="Times New Roman" w:cs="Calibri"/>
                <w:color w:val="000000"/>
                <w:sz w:val="18"/>
                <w:szCs w:val="18"/>
                <w:lang w:val="en-US"/>
              </w:rPr>
              <w:t>Top 10 total</w:t>
            </w:r>
          </w:p>
        </w:tc>
        <w:tc>
          <w:tcPr>
            <w:tcW w:w="460" w:type="pct"/>
            <w:tcBorders>
              <w:top w:val="nil"/>
              <w:left w:val="nil"/>
              <w:bottom w:val="single" w:sz="8" w:space="0" w:color="B7B7E2"/>
              <w:right w:val="single" w:sz="8" w:space="0" w:color="B7B7E2"/>
            </w:tcBorders>
            <w:shd w:val="clear" w:color="auto" w:fill="auto"/>
            <w:vAlign w:val="center"/>
            <w:hideMark/>
          </w:tcPr>
          <w:p w14:paraId="6CE4DF6B" w14:textId="61A1F8DD"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444</w:t>
            </w:r>
            <w:r w:rsidR="00DF2526" w:rsidRPr="007D32CF">
              <w:rPr>
                <w:rFonts w:eastAsia="Times New Roman" w:cs="Calibri"/>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235C0CFA" w14:textId="1FD8A952"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87</w:t>
            </w:r>
            <w:r w:rsidR="00DF2526" w:rsidRPr="007D32CF">
              <w:rPr>
                <w:rFonts w:eastAsia="Times New Roman" w:cs="Calibri"/>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1D6A851A" w14:textId="362CBC9B" w:rsidR="00DF2526" w:rsidRPr="007D32CF" w:rsidRDefault="00A5224F" w:rsidP="00DF2526">
            <w:pPr>
              <w:jc w:val="right"/>
              <w:rPr>
                <w:rFonts w:eastAsia="Times New Roman" w:cs="Calibri"/>
                <w:color w:val="000000"/>
                <w:sz w:val="18"/>
                <w:szCs w:val="18"/>
                <w:lang w:val="en-US"/>
              </w:rPr>
            </w:pPr>
            <w:r>
              <w:rPr>
                <w:rFonts w:eastAsia="Times New Roman" w:cs="Calibri"/>
                <w:color w:val="000000"/>
                <w:sz w:val="18"/>
                <w:szCs w:val="18"/>
                <w:lang w:val="en-US"/>
              </w:rPr>
              <w:t>312</w:t>
            </w:r>
            <w:r w:rsidR="00DF2526" w:rsidRPr="007D32CF">
              <w:rPr>
                <w:rFonts w:eastAsia="Times New Roman" w:cs="Calibri"/>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1A80E55A" w14:textId="55F64F67" w:rsidR="00DF2526" w:rsidRPr="007D32CF" w:rsidRDefault="009B17CE" w:rsidP="00DF2526">
            <w:pPr>
              <w:jc w:val="right"/>
              <w:rPr>
                <w:rFonts w:eastAsia="Times New Roman" w:cs="Calibri"/>
                <w:color w:val="000000"/>
                <w:sz w:val="18"/>
                <w:szCs w:val="18"/>
                <w:lang w:val="en-US"/>
              </w:rPr>
            </w:pPr>
            <w:r>
              <w:rPr>
                <w:rFonts w:eastAsia="Times New Roman" w:cs="Calibri"/>
                <w:color w:val="000000"/>
                <w:sz w:val="18"/>
                <w:szCs w:val="18"/>
                <w:lang w:val="en-US"/>
              </w:rPr>
              <w:t>42</w:t>
            </w:r>
            <w:r w:rsidR="00DF2526" w:rsidRPr="007D32CF">
              <w:rPr>
                <w:rFonts w:eastAsia="Times New Roman" w:cs="Calibri"/>
                <w:color w:val="000000"/>
                <w:sz w:val="18"/>
                <w:szCs w:val="18"/>
                <w:lang w:val="en-US"/>
              </w:rPr>
              <w:t>%</w:t>
            </w:r>
          </w:p>
        </w:tc>
        <w:tc>
          <w:tcPr>
            <w:tcW w:w="492" w:type="pct"/>
            <w:tcBorders>
              <w:top w:val="nil"/>
              <w:left w:val="nil"/>
              <w:bottom w:val="single" w:sz="8" w:space="0" w:color="B7B7E2"/>
              <w:right w:val="single" w:sz="8" w:space="0" w:color="B7B7E2"/>
            </w:tcBorders>
            <w:shd w:val="clear" w:color="auto" w:fill="auto"/>
            <w:vAlign w:val="center"/>
            <w:hideMark/>
          </w:tcPr>
          <w:p w14:paraId="5DEB7C4B"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309,000</w:t>
            </w:r>
          </w:p>
        </w:tc>
        <w:tc>
          <w:tcPr>
            <w:tcW w:w="441" w:type="pct"/>
            <w:tcBorders>
              <w:top w:val="nil"/>
              <w:left w:val="nil"/>
              <w:bottom w:val="single" w:sz="8" w:space="0" w:color="B7B7E2"/>
              <w:right w:val="single" w:sz="8" w:space="0" w:color="B7B7E2"/>
            </w:tcBorders>
            <w:shd w:val="clear" w:color="auto" w:fill="auto"/>
            <w:vAlign w:val="center"/>
            <w:hideMark/>
          </w:tcPr>
          <w:p w14:paraId="2E0C37D7" w14:textId="4D3913AD" w:rsidR="00DF2526" w:rsidRPr="007D32CF" w:rsidRDefault="00DF2526" w:rsidP="005F33AC">
            <w:pPr>
              <w:tabs>
                <w:tab w:val="decimal" w:pos="567"/>
              </w:tabs>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C742F0">
              <w:rPr>
                <w:rFonts w:eastAsia="Times New Roman" w:cs="Calibri"/>
                <w:color w:val="000000"/>
                <w:sz w:val="18"/>
                <w:szCs w:val="18"/>
                <w:lang w:val="en-US"/>
              </w:rPr>
              <w:t>2</w:t>
            </w:r>
            <w:r w:rsidR="009B17CE">
              <w:rPr>
                <w:rFonts w:eastAsia="Times New Roman" w:cs="Calibri"/>
                <w:color w:val="000000"/>
                <w:sz w:val="18"/>
                <w:szCs w:val="18"/>
                <w:lang w:val="en-US"/>
              </w:rPr>
              <w:t>93.5</w:t>
            </w:r>
          </w:p>
        </w:tc>
        <w:tc>
          <w:tcPr>
            <w:tcW w:w="412" w:type="pct"/>
            <w:tcBorders>
              <w:top w:val="nil"/>
              <w:left w:val="nil"/>
              <w:bottom w:val="single" w:sz="8" w:space="0" w:color="B7B7E2"/>
              <w:right w:val="single" w:sz="8" w:space="0" w:color="B7B7E2"/>
            </w:tcBorders>
            <w:shd w:val="clear" w:color="auto" w:fill="auto"/>
            <w:vAlign w:val="center"/>
            <w:hideMark/>
          </w:tcPr>
          <w:p w14:paraId="25C710D8" w14:textId="06DC5C09"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w:t>
            </w:r>
            <w:r w:rsidR="006F0577">
              <w:rPr>
                <w:rFonts w:eastAsia="Times New Roman" w:cs="Calibri"/>
                <w:color w:val="000000"/>
                <w:sz w:val="18"/>
                <w:szCs w:val="18"/>
                <w:lang w:val="en-US"/>
              </w:rPr>
              <w:t>22</w:t>
            </w:r>
            <w:r w:rsidR="009B17CE">
              <w:rPr>
                <w:rFonts w:eastAsia="Times New Roman" w:cs="Calibri"/>
                <w:color w:val="000000"/>
                <w:sz w:val="18"/>
                <w:szCs w:val="18"/>
                <w:lang w:val="en-US"/>
              </w:rPr>
              <w:t>0.6</w:t>
            </w:r>
          </w:p>
        </w:tc>
        <w:tc>
          <w:tcPr>
            <w:tcW w:w="424" w:type="pct"/>
            <w:tcBorders>
              <w:top w:val="nil"/>
              <w:left w:val="nil"/>
              <w:bottom w:val="single" w:sz="8" w:space="0" w:color="B7B7E2"/>
              <w:right w:val="single" w:sz="8" w:space="0" w:color="B7B7E2"/>
            </w:tcBorders>
            <w:shd w:val="clear" w:color="auto" w:fill="auto"/>
            <w:vAlign w:val="center"/>
            <w:hideMark/>
          </w:tcPr>
          <w:p w14:paraId="60DDEADC" w14:textId="0ED88DA0" w:rsidR="00DF2526" w:rsidRPr="007D32CF" w:rsidRDefault="002D0BFE" w:rsidP="00DF2526">
            <w:pPr>
              <w:jc w:val="right"/>
              <w:rPr>
                <w:rFonts w:eastAsia="Times New Roman" w:cs="Calibri"/>
                <w:color w:val="000000"/>
                <w:sz w:val="18"/>
                <w:szCs w:val="18"/>
                <w:lang w:val="en-US"/>
              </w:rPr>
            </w:pPr>
            <w:r>
              <w:rPr>
                <w:rFonts w:eastAsia="Times New Roman" w:cs="Calibri"/>
                <w:color w:val="000000"/>
                <w:sz w:val="18"/>
                <w:szCs w:val="18"/>
                <w:lang w:val="en-US"/>
              </w:rPr>
              <w:t>33</w:t>
            </w:r>
            <w:r w:rsidR="00DF2526" w:rsidRPr="007D32CF">
              <w:rPr>
                <w:rFonts w:eastAsia="Times New Roman" w:cs="Calibri"/>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3C87E332" w14:textId="77777777" w:rsidR="00DF2526" w:rsidRPr="007D32CF" w:rsidRDefault="00DF2526" w:rsidP="00DF2526">
            <w:pPr>
              <w:jc w:val="right"/>
              <w:rPr>
                <w:rFonts w:eastAsia="Times New Roman" w:cs="Calibri"/>
                <w:color w:val="000000"/>
                <w:sz w:val="18"/>
                <w:szCs w:val="18"/>
                <w:lang w:val="en-US"/>
              </w:rPr>
            </w:pPr>
            <w:r w:rsidRPr="007D32CF">
              <w:rPr>
                <w:rFonts w:eastAsia="Times New Roman" w:cs="Calibri"/>
                <w:color w:val="000000"/>
                <w:sz w:val="18"/>
                <w:szCs w:val="18"/>
                <w:lang w:val="en-US"/>
              </w:rPr>
              <w:t>$181.3</w:t>
            </w:r>
          </w:p>
        </w:tc>
      </w:tr>
      <w:tr w:rsidR="00DF2526" w:rsidRPr="00AC119A" w14:paraId="68FD729F" w14:textId="77777777" w:rsidTr="009B17CE">
        <w:trPr>
          <w:trHeight w:val="227"/>
        </w:trPr>
        <w:tc>
          <w:tcPr>
            <w:tcW w:w="1099" w:type="pct"/>
            <w:gridSpan w:val="2"/>
            <w:tcBorders>
              <w:top w:val="single" w:sz="8" w:space="0" w:color="B7B7E2"/>
              <w:left w:val="single" w:sz="8" w:space="0" w:color="B7B7E2"/>
              <w:bottom w:val="single" w:sz="8" w:space="0" w:color="B7B7E2"/>
              <w:right w:val="single" w:sz="8" w:space="0" w:color="B7B7E2"/>
            </w:tcBorders>
            <w:shd w:val="clear" w:color="auto" w:fill="auto"/>
            <w:vAlign w:val="center"/>
            <w:hideMark/>
          </w:tcPr>
          <w:p w14:paraId="2DF6FD75" w14:textId="77777777" w:rsidR="00DF2526" w:rsidRPr="007D32CF" w:rsidRDefault="00DF2526" w:rsidP="00DF2526">
            <w:pPr>
              <w:rPr>
                <w:rFonts w:eastAsia="Times New Roman" w:cs="Calibri"/>
                <w:b/>
                <w:bCs/>
                <w:color w:val="000000"/>
                <w:sz w:val="18"/>
                <w:szCs w:val="18"/>
                <w:lang w:val="en-US"/>
              </w:rPr>
            </w:pPr>
            <w:r w:rsidRPr="007D32CF">
              <w:rPr>
                <w:rFonts w:eastAsia="Times New Roman" w:cs="Calibri"/>
                <w:b/>
                <w:bCs/>
                <w:color w:val="000000"/>
                <w:sz w:val="18"/>
                <w:szCs w:val="18"/>
                <w:lang w:val="en-US"/>
              </w:rPr>
              <w:t>Monthly total</w:t>
            </w:r>
          </w:p>
        </w:tc>
        <w:tc>
          <w:tcPr>
            <w:tcW w:w="460" w:type="pct"/>
            <w:tcBorders>
              <w:top w:val="nil"/>
              <w:left w:val="nil"/>
              <w:bottom w:val="single" w:sz="8" w:space="0" w:color="B7B7E2"/>
              <w:right w:val="single" w:sz="8" w:space="0" w:color="B7B7E2"/>
            </w:tcBorders>
            <w:shd w:val="clear" w:color="auto" w:fill="auto"/>
            <w:vAlign w:val="center"/>
            <w:hideMark/>
          </w:tcPr>
          <w:p w14:paraId="7766402D" w14:textId="7C3EA7AE" w:rsidR="00DF2526" w:rsidRPr="007D32CF" w:rsidRDefault="009B17CE" w:rsidP="00DF2526">
            <w:pPr>
              <w:jc w:val="right"/>
              <w:rPr>
                <w:rFonts w:eastAsia="Times New Roman" w:cs="Calibri"/>
                <w:b/>
                <w:bCs/>
                <w:color w:val="000000"/>
                <w:sz w:val="18"/>
                <w:szCs w:val="18"/>
                <w:lang w:val="en-US"/>
              </w:rPr>
            </w:pPr>
            <w:r>
              <w:rPr>
                <w:rFonts w:eastAsia="Times New Roman" w:cs="Calibri"/>
                <w:b/>
                <w:bCs/>
                <w:color w:val="000000"/>
                <w:sz w:val="18"/>
                <w:szCs w:val="18"/>
                <w:lang w:val="en-US"/>
              </w:rPr>
              <w:t>510</w:t>
            </w:r>
            <w:r w:rsidR="00DF2526" w:rsidRPr="007D32CF">
              <w:rPr>
                <w:rFonts w:eastAsia="Times New Roman" w:cs="Calibri"/>
                <w:b/>
                <w:bCs/>
                <w:color w:val="000000"/>
                <w:sz w:val="18"/>
                <w:szCs w:val="18"/>
                <w:lang w:val="en-US"/>
              </w:rPr>
              <w:t>,000</w:t>
            </w:r>
          </w:p>
        </w:tc>
        <w:tc>
          <w:tcPr>
            <w:tcW w:w="318" w:type="pct"/>
            <w:tcBorders>
              <w:top w:val="nil"/>
              <w:left w:val="nil"/>
              <w:bottom w:val="single" w:sz="8" w:space="0" w:color="B7B7E2"/>
              <w:right w:val="single" w:sz="8" w:space="0" w:color="B7B7E2"/>
            </w:tcBorders>
            <w:shd w:val="clear" w:color="auto" w:fill="auto"/>
            <w:vAlign w:val="center"/>
            <w:hideMark/>
          </w:tcPr>
          <w:p w14:paraId="28B8F3E9" w14:textId="77777777" w:rsidR="00DF2526" w:rsidRPr="007D32CF" w:rsidRDefault="00DF2526" w:rsidP="00DF2526">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w:t>
            </w:r>
          </w:p>
        </w:tc>
        <w:tc>
          <w:tcPr>
            <w:tcW w:w="449" w:type="pct"/>
            <w:tcBorders>
              <w:top w:val="nil"/>
              <w:left w:val="nil"/>
              <w:bottom w:val="single" w:sz="8" w:space="0" w:color="B7B7E2"/>
              <w:right w:val="single" w:sz="8" w:space="0" w:color="B7B7E2"/>
            </w:tcBorders>
            <w:shd w:val="clear" w:color="auto" w:fill="auto"/>
            <w:vAlign w:val="center"/>
            <w:hideMark/>
          </w:tcPr>
          <w:p w14:paraId="5A720B55" w14:textId="678C1F71" w:rsidR="00DF2526" w:rsidRPr="007D32CF" w:rsidRDefault="00A5224F" w:rsidP="00DF2526">
            <w:pPr>
              <w:jc w:val="right"/>
              <w:rPr>
                <w:rFonts w:eastAsia="Times New Roman" w:cs="Calibri"/>
                <w:b/>
                <w:bCs/>
                <w:color w:val="000000"/>
                <w:sz w:val="18"/>
                <w:szCs w:val="18"/>
                <w:lang w:val="en-US"/>
              </w:rPr>
            </w:pPr>
            <w:r>
              <w:rPr>
                <w:rFonts w:eastAsia="Times New Roman" w:cs="Calibri"/>
                <w:b/>
                <w:bCs/>
                <w:color w:val="000000"/>
                <w:sz w:val="18"/>
                <w:szCs w:val="18"/>
                <w:lang w:val="en-US"/>
              </w:rPr>
              <w:t>343</w:t>
            </w:r>
            <w:r w:rsidR="00DF2526" w:rsidRPr="007D32CF">
              <w:rPr>
                <w:rFonts w:eastAsia="Times New Roman" w:cs="Calibri"/>
                <w:b/>
                <w:bCs/>
                <w:color w:val="000000"/>
                <w:sz w:val="18"/>
                <w:szCs w:val="18"/>
                <w:lang w:val="en-US"/>
              </w:rPr>
              <w:t>,000</w:t>
            </w:r>
          </w:p>
        </w:tc>
        <w:tc>
          <w:tcPr>
            <w:tcW w:w="417" w:type="pct"/>
            <w:tcBorders>
              <w:top w:val="nil"/>
              <w:left w:val="nil"/>
              <w:bottom w:val="single" w:sz="8" w:space="0" w:color="B7B7E2"/>
              <w:right w:val="single" w:sz="8" w:space="0" w:color="B7B7E2"/>
            </w:tcBorders>
            <w:shd w:val="clear" w:color="auto" w:fill="auto"/>
            <w:vAlign w:val="center"/>
            <w:hideMark/>
          </w:tcPr>
          <w:p w14:paraId="6429A5FA" w14:textId="413B23E0" w:rsidR="00DF2526" w:rsidRPr="007D32CF" w:rsidRDefault="009B17CE" w:rsidP="00DF2526">
            <w:pPr>
              <w:jc w:val="right"/>
              <w:rPr>
                <w:rFonts w:eastAsia="Times New Roman" w:cs="Calibri"/>
                <w:b/>
                <w:bCs/>
                <w:color w:val="000000"/>
                <w:sz w:val="18"/>
                <w:szCs w:val="18"/>
                <w:lang w:val="en-US"/>
              </w:rPr>
            </w:pPr>
            <w:r>
              <w:rPr>
                <w:rFonts w:eastAsia="Times New Roman" w:cs="Calibri"/>
                <w:b/>
                <w:bCs/>
                <w:color w:val="000000"/>
                <w:sz w:val="18"/>
                <w:szCs w:val="18"/>
                <w:lang w:val="en-US"/>
              </w:rPr>
              <w:t>49</w:t>
            </w:r>
            <w:r w:rsidR="00DF2526" w:rsidRPr="007D32CF">
              <w:rPr>
                <w:rFonts w:eastAsia="Times New Roman" w:cs="Calibri"/>
                <w:b/>
                <w:bCs/>
                <w:color w:val="000000"/>
                <w:sz w:val="18"/>
                <w:szCs w:val="18"/>
                <w:lang w:val="en-US"/>
              </w:rPr>
              <w:t>%</w:t>
            </w:r>
          </w:p>
        </w:tc>
        <w:tc>
          <w:tcPr>
            <w:tcW w:w="492" w:type="pct"/>
            <w:tcBorders>
              <w:top w:val="nil"/>
              <w:left w:val="nil"/>
              <w:bottom w:val="single" w:sz="8" w:space="0" w:color="B7B7E2"/>
              <w:right w:val="single" w:sz="8" w:space="0" w:color="B7B7E2"/>
            </w:tcBorders>
            <w:shd w:val="clear" w:color="auto" w:fill="auto"/>
            <w:vAlign w:val="center"/>
            <w:hideMark/>
          </w:tcPr>
          <w:p w14:paraId="2CD14974" w14:textId="77777777" w:rsidR="00DF2526" w:rsidRPr="007D32CF" w:rsidRDefault="00DF2526" w:rsidP="00DF2526">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354,000</w:t>
            </w:r>
          </w:p>
        </w:tc>
        <w:tc>
          <w:tcPr>
            <w:tcW w:w="441" w:type="pct"/>
            <w:tcBorders>
              <w:top w:val="nil"/>
              <w:left w:val="nil"/>
              <w:bottom w:val="single" w:sz="8" w:space="0" w:color="B7B7E2"/>
              <w:right w:val="single" w:sz="8" w:space="0" w:color="B7B7E2"/>
            </w:tcBorders>
            <w:shd w:val="clear" w:color="auto" w:fill="auto"/>
            <w:vAlign w:val="center"/>
            <w:hideMark/>
          </w:tcPr>
          <w:p w14:paraId="73FBB49D" w14:textId="3B9DA05E" w:rsidR="00DF2526" w:rsidRPr="007D32CF" w:rsidRDefault="00DF2526" w:rsidP="005F33AC">
            <w:pPr>
              <w:tabs>
                <w:tab w:val="decimal" w:pos="567"/>
              </w:tabs>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w:t>
            </w:r>
            <w:r w:rsidR="009B17CE">
              <w:rPr>
                <w:rFonts w:eastAsia="Times New Roman" w:cs="Calibri"/>
                <w:b/>
                <w:bCs/>
                <w:color w:val="000000"/>
                <w:sz w:val="18"/>
                <w:szCs w:val="18"/>
                <w:lang w:val="en-US"/>
              </w:rPr>
              <w:t>420.1</w:t>
            </w:r>
          </w:p>
        </w:tc>
        <w:tc>
          <w:tcPr>
            <w:tcW w:w="412" w:type="pct"/>
            <w:tcBorders>
              <w:top w:val="nil"/>
              <w:left w:val="nil"/>
              <w:bottom w:val="single" w:sz="8" w:space="0" w:color="B7B7E2"/>
              <w:right w:val="single" w:sz="8" w:space="0" w:color="B7B7E2"/>
            </w:tcBorders>
            <w:shd w:val="clear" w:color="auto" w:fill="auto"/>
            <w:vAlign w:val="center"/>
            <w:hideMark/>
          </w:tcPr>
          <w:p w14:paraId="1A4CE432" w14:textId="55F30EBD" w:rsidR="00DF2526" w:rsidRPr="007D32CF" w:rsidRDefault="00DF2526" w:rsidP="00DF2526">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w:t>
            </w:r>
            <w:r w:rsidR="006F0577">
              <w:rPr>
                <w:rFonts w:eastAsia="Times New Roman" w:cs="Calibri"/>
                <w:b/>
                <w:bCs/>
                <w:color w:val="000000"/>
                <w:sz w:val="18"/>
                <w:szCs w:val="18"/>
                <w:lang w:val="en-US"/>
              </w:rPr>
              <w:t>3</w:t>
            </w:r>
            <w:r w:rsidR="009B17CE">
              <w:rPr>
                <w:rFonts w:eastAsia="Times New Roman" w:cs="Calibri"/>
                <w:b/>
                <w:bCs/>
                <w:color w:val="000000"/>
                <w:sz w:val="18"/>
                <w:szCs w:val="18"/>
                <w:lang w:val="en-US"/>
              </w:rPr>
              <w:t>16.0</w:t>
            </w:r>
          </w:p>
        </w:tc>
        <w:tc>
          <w:tcPr>
            <w:tcW w:w="424" w:type="pct"/>
            <w:tcBorders>
              <w:top w:val="nil"/>
              <w:left w:val="nil"/>
              <w:bottom w:val="single" w:sz="8" w:space="0" w:color="B7B7E2"/>
              <w:right w:val="single" w:sz="8" w:space="0" w:color="B7B7E2"/>
            </w:tcBorders>
            <w:shd w:val="clear" w:color="auto" w:fill="auto"/>
            <w:vAlign w:val="center"/>
            <w:hideMark/>
          </w:tcPr>
          <w:p w14:paraId="12DB2111" w14:textId="1C806196" w:rsidR="00DF2526" w:rsidRPr="007D32CF" w:rsidRDefault="002D0BFE" w:rsidP="00DF2526">
            <w:pPr>
              <w:jc w:val="right"/>
              <w:rPr>
                <w:rFonts w:eastAsia="Times New Roman" w:cs="Calibri"/>
                <w:b/>
                <w:bCs/>
                <w:color w:val="000000"/>
                <w:sz w:val="18"/>
                <w:szCs w:val="18"/>
                <w:lang w:val="en-US"/>
              </w:rPr>
            </w:pPr>
            <w:r>
              <w:rPr>
                <w:rFonts w:eastAsia="Times New Roman" w:cs="Calibri"/>
                <w:b/>
                <w:bCs/>
                <w:color w:val="000000"/>
                <w:sz w:val="18"/>
                <w:szCs w:val="18"/>
                <w:lang w:val="en-US"/>
              </w:rPr>
              <w:t>33</w:t>
            </w:r>
            <w:r w:rsidR="00DF2526" w:rsidRPr="007D32CF">
              <w:rPr>
                <w:rFonts w:eastAsia="Times New Roman" w:cs="Calibri"/>
                <w:b/>
                <w:bCs/>
                <w:color w:val="000000"/>
                <w:sz w:val="18"/>
                <w:szCs w:val="18"/>
                <w:lang w:val="en-US"/>
              </w:rPr>
              <w:t>%</w:t>
            </w:r>
          </w:p>
        </w:tc>
        <w:tc>
          <w:tcPr>
            <w:tcW w:w="488" w:type="pct"/>
            <w:tcBorders>
              <w:top w:val="nil"/>
              <w:left w:val="nil"/>
              <w:bottom w:val="single" w:sz="8" w:space="0" w:color="B7B7E2"/>
              <w:right w:val="single" w:sz="8" w:space="0" w:color="B7B7E2"/>
            </w:tcBorders>
            <w:shd w:val="clear" w:color="auto" w:fill="auto"/>
            <w:vAlign w:val="center"/>
            <w:hideMark/>
          </w:tcPr>
          <w:p w14:paraId="7B9046EA" w14:textId="77777777" w:rsidR="00DF2526" w:rsidRPr="007D32CF" w:rsidRDefault="00DF2526" w:rsidP="00DF2526">
            <w:pPr>
              <w:jc w:val="right"/>
              <w:rPr>
                <w:rFonts w:eastAsia="Times New Roman" w:cs="Calibri"/>
                <w:b/>
                <w:bCs/>
                <w:color w:val="000000"/>
                <w:sz w:val="18"/>
                <w:szCs w:val="18"/>
                <w:lang w:val="en-US"/>
              </w:rPr>
            </w:pPr>
            <w:r w:rsidRPr="007D32CF">
              <w:rPr>
                <w:rFonts w:eastAsia="Times New Roman" w:cs="Calibri"/>
                <w:b/>
                <w:bCs/>
                <w:color w:val="000000"/>
                <w:sz w:val="18"/>
                <w:szCs w:val="18"/>
                <w:lang w:val="en-US"/>
              </w:rPr>
              <w:t>$237.7</w:t>
            </w:r>
          </w:p>
        </w:tc>
      </w:tr>
    </w:tbl>
    <w:p w14:paraId="2460ECEC" w14:textId="77777777" w:rsidR="00E918F3" w:rsidRDefault="00E918F3" w:rsidP="00FD30F3">
      <w:pPr>
        <w:pStyle w:val="BodyText"/>
      </w:pPr>
    </w:p>
    <w:p w14:paraId="7996ACC5" w14:textId="7CF0B7AE" w:rsidR="003A49DD" w:rsidRDefault="00DD369D" w:rsidP="00381EE0">
      <w:pPr>
        <w:pStyle w:val="BodyText"/>
        <w:spacing w:after="120"/>
      </w:pPr>
      <w:r w:rsidRPr="00A92302">
        <w:fldChar w:fldCharType="begin"/>
      </w:r>
      <w:r w:rsidRPr="00A92302">
        <w:instrText xml:space="preserve"> REF _Ref40372700 \h </w:instrText>
      </w:r>
      <w:r w:rsidR="003756C7" w:rsidRPr="00A92302">
        <w:instrText xml:space="preserve"> \* MERGEFORMAT </w:instrText>
      </w:r>
      <w:r w:rsidRPr="00A92302">
        <w:fldChar w:fldCharType="separate"/>
      </w:r>
      <w:r w:rsidR="00295F56">
        <w:t xml:space="preserve">Figure </w:t>
      </w:r>
      <w:r w:rsidR="00295F56">
        <w:rPr>
          <w:noProof/>
        </w:rPr>
        <w:t>1</w:t>
      </w:r>
      <w:r w:rsidRPr="00A92302">
        <w:fldChar w:fldCharType="end"/>
      </w:r>
      <w:r w:rsidRPr="00A92302">
        <w:t xml:space="preserve"> </w:t>
      </w:r>
      <w:r w:rsidR="00FD30F3" w:rsidRPr="00A92302">
        <w:t xml:space="preserve">presents the </w:t>
      </w:r>
      <w:r w:rsidR="009C42B6" w:rsidRPr="00A92302">
        <w:t>trend in</w:t>
      </w:r>
      <w:r w:rsidR="00FD30F3" w:rsidRPr="00A92302">
        <w:t xml:space="preserve"> </w:t>
      </w:r>
      <w:r w:rsidR="00D35053" w:rsidRPr="00A92302">
        <w:t xml:space="preserve">tonnes of </w:t>
      </w:r>
      <w:r w:rsidR="00FD30F3" w:rsidRPr="00A92302">
        <w:t xml:space="preserve">exports of </w:t>
      </w:r>
      <w:r w:rsidR="00C9470A" w:rsidRPr="00A92302">
        <w:t>waste and recovered materials</w:t>
      </w:r>
      <w:r w:rsidR="00B619C3" w:rsidRPr="00A92302">
        <w:t xml:space="preserve"> </w:t>
      </w:r>
      <w:r w:rsidR="00FD30F3" w:rsidRPr="00A92302">
        <w:t xml:space="preserve">from Australia </w:t>
      </w:r>
      <w:r w:rsidR="00B619C3" w:rsidRPr="00A92302">
        <w:t>by</w:t>
      </w:r>
      <w:r w:rsidR="00FD30F3" w:rsidRPr="00A92302">
        <w:t xml:space="preserve"> destination</w:t>
      </w:r>
      <w:r w:rsidR="004F2E03" w:rsidRPr="00A92302">
        <w:t xml:space="preserve"> </w:t>
      </w:r>
      <w:r w:rsidR="00246162" w:rsidRPr="00A92302">
        <w:t>between July </w:t>
      </w:r>
      <w:r w:rsidR="00B619C3" w:rsidRPr="00A92302">
        <w:t>201</w:t>
      </w:r>
      <w:r w:rsidR="009C19BC" w:rsidRPr="00A92302">
        <w:t>7</w:t>
      </w:r>
      <w:r w:rsidR="00B619C3" w:rsidRPr="00A92302">
        <w:t xml:space="preserve"> </w:t>
      </w:r>
      <w:r w:rsidR="00FD30F3" w:rsidRPr="00A92302">
        <w:t xml:space="preserve">and </w:t>
      </w:r>
      <w:r w:rsidR="002D0BFE">
        <w:t>May </w:t>
      </w:r>
      <w:r w:rsidR="009E404F" w:rsidRPr="00A92302">
        <w:t>2021</w:t>
      </w:r>
      <w:r w:rsidR="00FD30F3" w:rsidRPr="00A92302">
        <w:t>.</w:t>
      </w:r>
      <w:r w:rsidR="00860446" w:rsidRPr="00A92302">
        <w:t xml:space="preserve"> </w:t>
      </w:r>
      <w:r w:rsidR="00D7530B" w:rsidRPr="00A92302">
        <w:t xml:space="preserve">Monthly exports are volatile and no </w:t>
      </w:r>
      <w:r w:rsidR="000000F4" w:rsidRPr="00A92302">
        <w:t>overall</w:t>
      </w:r>
      <w:r w:rsidR="00D7530B" w:rsidRPr="00A92302">
        <w:t xml:space="preserve"> trend is </w:t>
      </w:r>
      <w:r w:rsidR="000000F4" w:rsidRPr="00A92302">
        <w:t xml:space="preserve">evident </w:t>
      </w:r>
      <w:r w:rsidR="00D7530B" w:rsidRPr="00A92302">
        <w:t>over the 4</w:t>
      </w:r>
      <w:r w:rsidR="00251931">
        <w:t>7</w:t>
      </w:r>
      <w:r w:rsidR="00D7530B" w:rsidRPr="00A92302">
        <w:t>-month timeframe</w:t>
      </w:r>
      <w:r w:rsidR="00D7530B" w:rsidRPr="00AD7197">
        <w:t xml:space="preserve">. </w:t>
      </w:r>
      <w:r w:rsidR="00257838" w:rsidRPr="00AD7197">
        <w:t>In recent months, e</w:t>
      </w:r>
      <w:r w:rsidR="00B43322" w:rsidRPr="00AD7197">
        <w:t>xports</w:t>
      </w:r>
      <w:r w:rsidR="005F33AC" w:rsidRPr="00AD7197">
        <w:t xml:space="preserve"> of waste and recovered materials</w:t>
      </w:r>
      <w:r w:rsidR="00B43322" w:rsidRPr="00AD7197">
        <w:t xml:space="preserve"> to Indonesia</w:t>
      </w:r>
      <w:r w:rsidR="00D72AFD" w:rsidRPr="00AD7197">
        <w:t>,</w:t>
      </w:r>
      <w:r w:rsidR="00B43322" w:rsidRPr="00AD7197">
        <w:t xml:space="preserve"> Vietnam </w:t>
      </w:r>
      <w:r w:rsidR="00D72AFD" w:rsidRPr="00AD7197">
        <w:t>and Malaysia appear to be increasing</w:t>
      </w:r>
      <w:r w:rsidR="005F33AC" w:rsidRPr="00536AB8">
        <w:t xml:space="preserve">. </w:t>
      </w:r>
      <w:r w:rsidR="00257838" w:rsidRPr="00536AB8">
        <w:t>Exports to China</w:t>
      </w:r>
      <w:r w:rsidR="00FA5463">
        <w:t xml:space="preserve"> plunged</w:t>
      </w:r>
      <w:r w:rsidR="00257838" w:rsidRPr="00536AB8">
        <w:t xml:space="preserve"> from over 100,000 tonnes in July 2017 to less than </w:t>
      </w:r>
      <w:r w:rsidR="00C21BFA">
        <w:t>4</w:t>
      </w:r>
      <w:r w:rsidR="00257838" w:rsidRPr="00536AB8">
        <w:t xml:space="preserve">,000 tonnes in </w:t>
      </w:r>
      <w:r w:rsidR="00C21BFA">
        <w:t>January </w:t>
      </w:r>
      <w:r w:rsidR="00257838" w:rsidRPr="00536AB8">
        <w:t>2021</w:t>
      </w:r>
      <w:r w:rsidR="001245CB">
        <w:t xml:space="preserve">. They </w:t>
      </w:r>
      <w:r w:rsidR="00536AB8" w:rsidRPr="00536AB8">
        <w:t xml:space="preserve">have </w:t>
      </w:r>
      <w:r w:rsidR="00C21BFA">
        <w:t>increased slightly since then</w:t>
      </w:r>
      <w:r w:rsidR="001245CB">
        <w:t xml:space="preserve">, which </w:t>
      </w:r>
      <w:r w:rsidR="009B39D5">
        <w:t>may be due to exporters</w:t>
      </w:r>
      <w:r w:rsidR="001245CB">
        <w:t xml:space="preserve"> understanding and</w:t>
      </w:r>
      <w:r w:rsidR="009B39D5">
        <w:t xml:space="preserve"> </w:t>
      </w:r>
      <w:r w:rsidR="001245CB">
        <w:t xml:space="preserve">achieving compliance with </w:t>
      </w:r>
      <w:r w:rsidR="009B39D5">
        <w:t xml:space="preserve">China’s new import regulations. </w:t>
      </w:r>
    </w:p>
    <w:p w14:paraId="02A60436" w14:textId="7DF671A3" w:rsidR="00FD65B5" w:rsidRDefault="00C86803" w:rsidP="00F4505F">
      <w:pPr>
        <w:pStyle w:val="Caption"/>
      </w:pPr>
      <w:bookmarkStart w:id="2" w:name="_Ref40372700"/>
      <w:r>
        <w:t xml:space="preserve">Figure </w:t>
      </w:r>
      <w:fldSimple w:instr=" SEQ Figure \* ARABIC ">
        <w:r w:rsidR="00295F56">
          <w:rPr>
            <w:noProof/>
          </w:rPr>
          <w:t>1</w:t>
        </w:r>
      </w:fldSimple>
      <w:bookmarkEnd w:id="2"/>
      <w:r>
        <w:tab/>
      </w:r>
      <w:r w:rsidRPr="0071141D">
        <w:t xml:space="preserve">Monthly exports of </w:t>
      </w:r>
      <w:r w:rsidR="00C9470A">
        <w:t>waste and recovered materials</w:t>
      </w:r>
      <w:r w:rsidRPr="0071141D">
        <w:t xml:space="preserve"> from Australia by destination</w:t>
      </w:r>
    </w:p>
    <w:p w14:paraId="31D55E31" w14:textId="11798028" w:rsidR="00EA23B4" w:rsidRPr="00EA23B4" w:rsidRDefault="00A5224F" w:rsidP="00EA23B4">
      <w:pPr>
        <w:pStyle w:val="BodyText"/>
      </w:pPr>
      <w:r>
        <w:rPr>
          <w:noProof/>
        </w:rPr>
        <w:drawing>
          <wp:inline distT="0" distB="0" distL="0" distR="0" wp14:anchorId="7D362C4F" wp14:editId="04E50D64">
            <wp:extent cx="6120130" cy="2746375"/>
            <wp:effectExtent l="0" t="0" r="0" b="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13"/>
                    <a:stretch>
                      <a:fillRect/>
                    </a:stretch>
                  </pic:blipFill>
                  <pic:spPr>
                    <a:xfrm>
                      <a:off x="0" y="0"/>
                      <a:ext cx="6120130" cy="2746375"/>
                    </a:xfrm>
                    <a:prstGeom prst="rect">
                      <a:avLst/>
                    </a:prstGeom>
                  </pic:spPr>
                </pic:pic>
              </a:graphicData>
            </a:graphic>
          </wp:inline>
        </w:drawing>
      </w:r>
    </w:p>
    <w:p w14:paraId="2A3DFFB0" w14:textId="010609AE" w:rsidR="00FD65B5" w:rsidRDefault="00FD65B5" w:rsidP="003F4864">
      <w:pPr>
        <w:pStyle w:val="BodyText"/>
      </w:pPr>
    </w:p>
    <w:p w14:paraId="284CA916" w14:textId="7D8A7F0F" w:rsidR="003705B5" w:rsidRDefault="0038755B" w:rsidP="003F4864">
      <w:pPr>
        <w:pStyle w:val="BodyText"/>
        <w:rPr>
          <w:rFonts w:eastAsiaTheme="majorEastAsia" w:cstheme="majorBidi"/>
          <w:b/>
          <w:color w:val="4D4DB8"/>
          <w:sz w:val="24"/>
          <w:szCs w:val="26"/>
        </w:rPr>
      </w:pPr>
      <w:r w:rsidRPr="00176834">
        <w:t>The reported value of exports for</w:t>
      </w:r>
      <w:r w:rsidR="002D0BFE">
        <w:t xml:space="preserve"> May </w:t>
      </w:r>
      <w:r w:rsidR="009E404F">
        <w:t>2021</w:t>
      </w:r>
      <w:r w:rsidRPr="00176834">
        <w:t xml:space="preserve"> was </w:t>
      </w:r>
      <w:r w:rsidR="00CA459B">
        <w:t>$</w:t>
      </w:r>
      <w:r w:rsidR="002D0BFE">
        <w:t>420</w:t>
      </w:r>
      <w:r w:rsidR="00B334AC">
        <w:t> </w:t>
      </w:r>
      <w:r w:rsidR="00F37A52" w:rsidRPr="00176834">
        <w:t xml:space="preserve">million, </w:t>
      </w:r>
      <w:r w:rsidR="00F4505F">
        <w:t>up</w:t>
      </w:r>
      <w:r w:rsidR="002C0B7A" w:rsidRPr="00176834">
        <w:t xml:space="preserve"> from </w:t>
      </w:r>
      <w:r w:rsidR="00CA459B">
        <w:t>$</w:t>
      </w:r>
      <w:r w:rsidR="006F0577">
        <w:t>3</w:t>
      </w:r>
      <w:r w:rsidR="002D0BFE">
        <w:t>16</w:t>
      </w:r>
      <w:r w:rsidR="00B334AC">
        <w:t> </w:t>
      </w:r>
      <w:r w:rsidRPr="00176834">
        <w:t>million</w:t>
      </w:r>
      <w:r w:rsidR="002C0B7A" w:rsidRPr="00176834">
        <w:t xml:space="preserve"> in </w:t>
      </w:r>
      <w:r w:rsidR="002D0BFE">
        <w:t>April</w:t>
      </w:r>
      <w:r w:rsidR="00FD65B5">
        <w:t xml:space="preserve"> </w:t>
      </w:r>
      <w:r w:rsidR="00DF0523">
        <w:t xml:space="preserve">and </w:t>
      </w:r>
      <w:r w:rsidR="008238AC">
        <w:t xml:space="preserve">significantly exceeding </w:t>
      </w:r>
      <w:r w:rsidR="00FD65B5">
        <w:t>t</w:t>
      </w:r>
      <w:r w:rsidR="003756C7">
        <w:t>he</w:t>
      </w:r>
      <w:r w:rsidR="00DF0523">
        <w:t xml:space="preserve"> </w:t>
      </w:r>
      <w:r w:rsidR="008238AC" w:rsidRPr="00176834">
        <w:t>monthly average</w:t>
      </w:r>
      <w:r w:rsidR="008238AC">
        <w:t>s</w:t>
      </w:r>
      <w:r w:rsidR="008238AC" w:rsidRPr="00176834">
        <w:t xml:space="preserve"> </w:t>
      </w:r>
      <w:r w:rsidR="008238AC">
        <w:t xml:space="preserve">in </w:t>
      </w:r>
      <w:r w:rsidR="00176834" w:rsidRPr="00176834">
        <w:t>201</w:t>
      </w:r>
      <w:r w:rsidR="00FD65B5">
        <w:t>9</w:t>
      </w:r>
      <w:r w:rsidR="00176834" w:rsidRPr="00176834">
        <w:t>-</w:t>
      </w:r>
      <w:r w:rsidR="00FD65B5">
        <w:t>20</w:t>
      </w:r>
      <w:r w:rsidR="00176834" w:rsidRPr="00176834">
        <w:t xml:space="preserve"> </w:t>
      </w:r>
      <w:r w:rsidR="008238AC">
        <w:t>(</w:t>
      </w:r>
      <w:r w:rsidR="00CA459B">
        <w:t>$</w:t>
      </w:r>
      <w:r w:rsidR="00FD65B5">
        <w:t>23</w:t>
      </w:r>
      <w:r w:rsidR="002B4FA7">
        <w:t>8</w:t>
      </w:r>
      <w:r w:rsidR="00B334AC">
        <w:t> </w:t>
      </w:r>
      <w:r w:rsidR="00F37A52" w:rsidRPr="00176834">
        <w:t>million</w:t>
      </w:r>
      <w:r w:rsidR="008238AC">
        <w:t>), 2018-19 ($260 million) and 2017</w:t>
      </w:r>
      <w:r w:rsidR="008238AC">
        <w:noBreakHyphen/>
        <w:t>18 ($237 million)</w:t>
      </w:r>
      <w:r w:rsidR="00EC2EB9" w:rsidRPr="00176834">
        <w:t>.</w:t>
      </w:r>
      <w:r w:rsidR="008545FB">
        <w:t xml:space="preserve"> </w:t>
      </w:r>
      <w:r w:rsidR="009B39D5">
        <w:t xml:space="preserve">Compared </w:t>
      </w:r>
      <w:r w:rsidR="00FA5463">
        <w:t>with</w:t>
      </w:r>
      <w:r w:rsidR="009B39D5">
        <w:t xml:space="preserve"> the monthly averages</w:t>
      </w:r>
      <w:r w:rsidR="00FA5463">
        <w:t>,</w:t>
      </w:r>
      <w:r w:rsidR="009B39D5">
        <w:t xml:space="preserve"> the increased value is more substantial than the increased tonnes, reflecting </w:t>
      </w:r>
      <w:r w:rsidR="00FA5463">
        <w:t>an</w:t>
      </w:r>
      <w:r w:rsidR="009B39D5">
        <w:t xml:space="preserve"> increasing </w:t>
      </w:r>
      <w:r w:rsidR="00FA5463">
        <w:t xml:space="preserve">value </w:t>
      </w:r>
      <w:r w:rsidR="009B39D5">
        <w:t>per tonne of metals</w:t>
      </w:r>
      <w:r w:rsidR="00165144">
        <w:t xml:space="preserve">, plastics, and </w:t>
      </w:r>
      <w:r w:rsidR="009B39D5">
        <w:t xml:space="preserve">paper and cardboard. </w:t>
      </w:r>
      <w:r w:rsidR="00165144">
        <w:t>There has been strong growth in the scrap value of metals and sorted plastics, in particular, over the first five months of 2021 (see Figure 3).</w:t>
      </w:r>
      <w:r w:rsidR="003705B5">
        <w:br w:type="page"/>
      </w:r>
    </w:p>
    <w:p w14:paraId="54F4A489" w14:textId="0E4FD936" w:rsidR="004256CC" w:rsidRDefault="004256CC" w:rsidP="00305B22">
      <w:pPr>
        <w:pStyle w:val="Heading3-nonumber"/>
      </w:pPr>
      <w:r>
        <w:lastRenderedPageBreak/>
        <w:t>C</w:t>
      </w:r>
      <w:r w:rsidRPr="00850B51">
        <w:t>omparison</w:t>
      </w:r>
      <w:r>
        <w:t xml:space="preserve"> by material</w:t>
      </w:r>
    </w:p>
    <w:p w14:paraId="4858F575" w14:textId="5F01CBCD" w:rsidR="00192FBE" w:rsidRDefault="00192FBE" w:rsidP="00192FBE">
      <w:pPr>
        <w:pStyle w:val="BodyText"/>
      </w:pPr>
      <w:r>
        <w:fldChar w:fldCharType="begin"/>
      </w:r>
      <w:r>
        <w:instrText xml:space="preserve"> REF _Ref524605817 \h </w:instrText>
      </w:r>
      <w:r>
        <w:fldChar w:fldCharType="separate"/>
      </w:r>
      <w:r w:rsidR="00295F56">
        <w:t xml:space="preserve">Table </w:t>
      </w:r>
      <w:r w:rsidR="00295F56">
        <w:rPr>
          <w:noProof/>
        </w:rPr>
        <w:t>2</w:t>
      </w:r>
      <w:r>
        <w:fldChar w:fldCharType="end"/>
      </w:r>
      <w:r>
        <w:t xml:space="preserve"> </w:t>
      </w:r>
      <w:r w:rsidR="00087A1E">
        <w:t>compares</w:t>
      </w:r>
      <w:r>
        <w:t xml:space="preserve"> </w:t>
      </w:r>
      <w:r w:rsidR="002D0BFE">
        <w:t>May </w:t>
      </w:r>
      <w:r w:rsidR="00FB7324">
        <w:t>2021</w:t>
      </w:r>
      <w:r w:rsidR="00087A1E">
        <w:t xml:space="preserve"> </w:t>
      </w:r>
      <w:r>
        <w:t>export</w:t>
      </w:r>
      <w:r w:rsidR="006F3380">
        <w:t xml:space="preserve"> </w:t>
      </w:r>
      <w:r w:rsidR="000F41D1">
        <w:t>tonnage</w:t>
      </w:r>
      <w:r w:rsidR="00087A1E">
        <w:t>s</w:t>
      </w:r>
      <w:r w:rsidR="009C7AAF">
        <w:t xml:space="preserve"> and value</w:t>
      </w:r>
      <w:r w:rsidR="00087A1E">
        <w:t>s</w:t>
      </w:r>
      <w:r w:rsidR="000F41D1">
        <w:t xml:space="preserve"> </w:t>
      </w:r>
      <w:r w:rsidR="00087A1E">
        <w:t xml:space="preserve">with </w:t>
      </w:r>
      <w:r w:rsidR="002D0BFE">
        <w:t>April</w:t>
      </w:r>
      <w:r w:rsidR="003756C7">
        <w:t xml:space="preserve"> </w:t>
      </w:r>
      <w:r w:rsidR="0021783B">
        <w:t xml:space="preserve">and </w:t>
      </w:r>
      <w:r w:rsidR="00087A1E">
        <w:t>with</w:t>
      </w:r>
      <w:r w:rsidR="00536908">
        <w:t xml:space="preserve"> </w:t>
      </w:r>
      <w:r w:rsidRPr="007E5F8F">
        <w:t xml:space="preserve">the </w:t>
      </w:r>
      <w:r w:rsidR="004219AE">
        <w:t>201</w:t>
      </w:r>
      <w:r w:rsidR="00B4227A">
        <w:t>9</w:t>
      </w:r>
      <w:r w:rsidR="004219AE">
        <w:t>-</w:t>
      </w:r>
      <w:r w:rsidR="00B4227A">
        <w:t>20</w:t>
      </w:r>
      <w:r w:rsidR="004219AE">
        <w:t xml:space="preserve"> </w:t>
      </w:r>
      <w:r w:rsidRPr="007E5F8F">
        <w:t>monthly average</w:t>
      </w:r>
      <w:r w:rsidR="00087A1E">
        <w:t>, by material type.</w:t>
      </w:r>
      <w:r w:rsidR="00365E7E">
        <w:t xml:space="preserve"> Around </w:t>
      </w:r>
      <w:r w:rsidR="002D0BFE">
        <w:t>89</w:t>
      </w:r>
      <w:r w:rsidR="00365E7E">
        <w:t>%</w:t>
      </w:r>
      <w:r w:rsidR="00043469">
        <w:t xml:space="preserve"> of May exports</w:t>
      </w:r>
      <w:r w:rsidR="00365E7E">
        <w:t xml:space="preserve"> fall within the </w:t>
      </w:r>
      <w:r w:rsidR="00501C80">
        <w:t xml:space="preserve">‘core waste plus ash’ </w:t>
      </w:r>
      <w:r w:rsidR="00365E7E">
        <w:t>scope of national waste reporting</w:t>
      </w:r>
      <w:r w:rsidR="00F67595">
        <w:rPr>
          <w:rStyle w:val="FootnoteReference"/>
        </w:rPr>
        <w:footnoteReference w:id="7"/>
      </w:r>
      <w:r w:rsidR="00365E7E">
        <w:t>.</w:t>
      </w:r>
    </w:p>
    <w:p w14:paraId="198F318C" w14:textId="7D9364ED" w:rsidR="009E3FF9" w:rsidRDefault="009E3FF9" w:rsidP="009E3FF9">
      <w:pPr>
        <w:pStyle w:val="Caption"/>
      </w:pPr>
      <w:bookmarkStart w:id="3" w:name="_Ref524605817"/>
      <w:r>
        <w:t xml:space="preserve">Table </w:t>
      </w:r>
      <w:r>
        <w:rPr>
          <w:noProof/>
        </w:rPr>
        <w:fldChar w:fldCharType="begin"/>
      </w:r>
      <w:r>
        <w:rPr>
          <w:noProof/>
        </w:rPr>
        <w:instrText xml:space="preserve"> SEQ Table \* ARABIC </w:instrText>
      </w:r>
      <w:r>
        <w:rPr>
          <w:noProof/>
        </w:rPr>
        <w:fldChar w:fldCharType="separate"/>
      </w:r>
      <w:r w:rsidR="00295F56">
        <w:rPr>
          <w:noProof/>
        </w:rPr>
        <w:t>2</w:t>
      </w:r>
      <w:r>
        <w:rPr>
          <w:noProof/>
        </w:rPr>
        <w:fldChar w:fldCharType="end"/>
      </w:r>
      <w:bookmarkEnd w:id="3"/>
      <w:r>
        <w:tab/>
        <w:t xml:space="preserve">Comparison of export </w:t>
      </w:r>
      <w:r w:rsidR="000F41D1">
        <w:t>tonnage</w:t>
      </w:r>
      <w:r w:rsidR="009C7AAF">
        <w:t xml:space="preserve"> and value</w:t>
      </w:r>
      <w:r w:rsidR="000F41D1">
        <w:t xml:space="preserve"> </w:t>
      </w:r>
      <w:r>
        <w:t>by material</w:t>
      </w:r>
    </w:p>
    <w:tbl>
      <w:tblPr>
        <w:tblW w:w="5274" w:type="pct"/>
        <w:tblInd w:w="-152" w:type="dxa"/>
        <w:tblLayout w:type="fixed"/>
        <w:tblCellMar>
          <w:left w:w="57" w:type="dxa"/>
          <w:right w:w="57" w:type="dxa"/>
        </w:tblCellMar>
        <w:tblLook w:val="04A0" w:firstRow="1" w:lastRow="0" w:firstColumn="1" w:lastColumn="0" w:noHBand="0" w:noVBand="1"/>
      </w:tblPr>
      <w:tblGrid>
        <w:gridCol w:w="1843"/>
        <w:gridCol w:w="851"/>
        <w:gridCol w:w="852"/>
        <w:gridCol w:w="710"/>
        <w:gridCol w:w="71"/>
        <w:gridCol w:w="781"/>
        <w:gridCol w:w="1134"/>
        <w:gridCol w:w="568"/>
        <w:gridCol w:w="850"/>
        <w:gridCol w:w="566"/>
        <w:gridCol w:w="142"/>
        <w:gridCol w:w="710"/>
        <w:gridCol w:w="1067"/>
      </w:tblGrid>
      <w:tr w:rsidR="002E7933" w:rsidRPr="00B4227A" w14:paraId="75D73327" w14:textId="77777777" w:rsidTr="002E7933">
        <w:trPr>
          <w:trHeight w:val="315"/>
        </w:trPr>
        <w:tc>
          <w:tcPr>
            <w:tcW w:w="908" w:type="pct"/>
            <w:tcBorders>
              <w:top w:val="single" w:sz="8" w:space="0" w:color="B7B7E2"/>
              <w:left w:val="single" w:sz="8" w:space="0" w:color="B7B7E2"/>
            </w:tcBorders>
            <w:shd w:val="clear" w:color="auto" w:fill="9494D4" w:themeFill="accent1" w:themeFillTint="99"/>
            <w:vAlign w:val="bottom"/>
            <w:hideMark/>
          </w:tcPr>
          <w:p w14:paraId="5BEDBE7D" w14:textId="77777777" w:rsidR="002E7933" w:rsidRPr="00B4227A" w:rsidRDefault="002E7933" w:rsidP="006E12AB">
            <w:pPr>
              <w:rPr>
                <w:rFonts w:eastAsia="Times New Roman" w:cs="Calibri"/>
                <w:b/>
                <w:bCs/>
                <w:color w:val="FFFFFF"/>
                <w:sz w:val="18"/>
                <w:szCs w:val="18"/>
                <w:lang w:val="en-US"/>
              </w:rPr>
            </w:pPr>
            <w:r w:rsidRPr="00B4227A">
              <w:rPr>
                <w:rFonts w:eastAsia="Times New Roman" w:cs="Calibri"/>
                <w:b/>
                <w:bCs/>
                <w:color w:val="FFFFFF"/>
                <w:sz w:val="18"/>
                <w:szCs w:val="18"/>
                <w:lang w:val="en-US"/>
              </w:rPr>
              <w:t> </w:t>
            </w:r>
          </w:p>
        </w:tc>
        <w:tc>
          <w:tcPr>
            <w:tcW w:w="839" w:type="pct"/>
            <w:gridSpan w:val="2"/>
            <w:tcBorders>
              <w:top w:val="single" w:sz="8" w:space="0" w:color="B7B7E2"/>
            </w:tcBorders>
            <w:shd w:val="clear" w:color="auto" w:fill="9494D4" w:themeFill="accent1" w:themeFillTint="99"/>
            <w:vAlign w:val="bottom"/>
            <w:hideMark/>
          </w:tcPr>
          <w:p w14:paraId="4AB19781" w14:textId="0037E0BC" w:rsidR="002E7933" w:rsidRPr="00B4227A" w:rsidRDefault="002D0BFE" w:rsidP="006E12AB">
            <w:pPr>
              <w:jc w:val="center"/>
              <w:rPr>
                <w:rFonts w:eastAsia="Times New Roman" w:cs="Calibri"/>
                <w:b/>
                <w:bCs/>
                <w:color w:val="FFFFFF"/>
                <w:sz w:val="18"/>
                <w:szCs w:val="18"/>
                <w:lang w:val="en-US"/>
              </w:rPr>
            </w:pPr>
            <w:r>
              <w:rPr>
                <w:rFonts w:eastAsia="Times New Roman" w:cs="Calibri"/>
                <w:b/>
                <w:bCs/>
                <w:color w:val="FFFFFF"/>
                <w:sz w:val="18"/>
                <w:szCs w:val="18"/>
                <w:lang w:val="en-US"/>
              </w:rPr>
              <w:t>May</w:t>
            </w:r>
            <w:r w:rsidR="002E7933" w:rsidRPr="00B4227A">
              <w:rPr>
                <w:rFonts w:eastAsia="Times New Roman" w:cs="Calibri"/>
                <w:b/>
                <w:bCs/>
                <w:color w:val="FFFFFF"/>
                <w:sz w:val="18"/>
                <w:szCs w:val="18"/>
                <w:lang w:val="en-US"/>
              </w:rPr>
              <w:t>-2</w:t>
            </w:r>
            <w:r w:rsidR="00FB7324">
              <w:rPr>
                <w:rFonts w:eastAsia="Times New Roman" w:cs="Calibri"/>
                <w:b/>
                <w:bCs/>
                <w:color w:val="FFFFFF"/>
                <w:sz w:val="18"/>
                <w:szCs w:val="18"/>
                <w:lang w:val="en-US"/>
              </w:rPr>
              <w:t>1</w:t>
            </w:r>
          </w:p>
        </w:tc>
        <w:tc>
          <w:tcPr>
            <w:tcW w:w="385" w:type="pct"/>
            <w:gridSpan w:val="2"/>
            <w:tcBorders>
              <w:top w:val="single" w:sz="8" w:space="0" w:color="B7B7E2"/>
            </w:tcBorders>
            <w:shd w:val="clear" w:color="auto" w:fill="9494D4" w:themeFill="accent1" w:themeFillTint="99"/>
            <w:vAlign w:val="bottom"/>
            <w:hideMark/>
          </w:tcPr>
          <w:p w14:paraId="1E169C2B" w14:textId="02F81E9E" w:rsidR="002E7933" w:rsidRPr="00B4227A" w:rsidRDefault="002D0BFE" w:rsidP="006E12AB">
            <w:pPr>
              <w:jc w:val="center"/>
              <w:rPr>
                <w:rFonts w:eastAsia="Times New Roman" w:cs="Calibri"/>
                <w:b/>
                <w:bCs/>
                <w:color w:val="FFFFFF"/>
                <w:sz w:val="18"/>
                <w:szCs w:val="18"/>
                <w:lang w:val="en-US"/>
              </w:rPr>
            </w:pPr>
            <w:r>
              <w:rPr>
                <w:rFonts w:eastAsia="Times New Roman" w:cs="Calibri"/>
                <w:b/>
                <w:bCs/>
                <w:color w:val="FFFFFF"/>
                <w:sz w:val="18"/>
                <w:szCs w:val="18"/>
                <w:lang w:val="en-US"/>
              </w:rPr>
              <w:t>Ap</w:t>
            </w:r>
            <w:r w:rsidR="00AD4F31">
              <w:rPr>
                <w:rFonts w:eastAsia="Times New Roman" w:cs="Calibri"/>
                <w:b/>
                <w:bCs/>
                <w:color w:val="FFFFFF"/>
                <w:sz w:val="18"/>
                <w:szCs w:val="18"/>
                <w:lang w:val="en-US"/>
              </w:rPr>
              <w:t>r</w:t>
            </w:r>
            <w:r w:rsidR="002E7933" w:rsidRPr="00B4227A">
              <w:rPr>
                <w:rFonts w:eastAsia="Times New Roman" w:cs="Calibri"/>
                <w:b/>
                <w:bCs/>
                <w:color w:val="FFFFFF"/>
                <w:sz w:val="18"/>
                <w:szCs w:val="18"/>
                <w:lang w:val="en-US"/>
              </w:rPr>
              <w:t>-2</w:t>
            </w:r>
            <w:r w:rsidR="00FB7324">
              <w:rPr>
                <w:rFonts w:eastAsia="Times New Roman" w:cs="Calibri"/>
                <w:b/>
                <w:bCs/>
                <w:color w:val="FFFFFF"/>
                <w:sz w:val="18"/>
                <w:szCs w:val="18"/>
                <w:lang w:val="en-US"/>
              </w:rPr>
              <w:t>1</w:t>
            </w:r>
          </w:p>
        </w:tc>
        <w:tc>
          <w:tcPr>
            <w:tcW w:w="385" w:type="pct"/>
            <w:tcBorders>
              <w:top w:val="single" w:sz="8" w:space="0" w:color="B7B7E2"/>
            </w:tcBorders>
            <w:shd w:val="clear" w:color="auto" w:fill="9494D4" w:themeFill="accent1" w:themeFillTint="99"/>
            <w:vAlign w:val="bottom"/>
          </w:tcPr>
          <w:p w14:paraId="1A0DFE64" w14:textId="39C38D75" w:rsidR="002E7933" w:rsidRPr="00B4227A" w:rsidRDefault="002E7933" w:rsidP="006E12AB">
            <w:pPr>
              <w:jc w:val="center"/>
              <w:rPr>
                <w:rFonts w:eastAsia="Times New Roman" w:cs="Calibri"/>
                <w:b/>
                <w:bCs/>
                <w:color w:val="FFFFFF"/>
                <w:sz w:val="18"/>
                <w:szCs w:val="18"/>
                <w:lang w:val="en-US"/>
              </w:rPr>
            </w:pPr>
          </w:p>
        </w:tc>
        <w:tc>
          <w:tcPr>
            <w:tcW w:w="559" w:type="pct"/>
            <w:vMerge w:val="restart"/>
            <w:tcBorders>
              <w:top w:val="single" w:sz="8" w:space="0" w:color="B7B7E2"/>
            </w:tcBorders>
            <w:shd w:val="clear" w:color="auto" w:fill="9494D4" w:themeFill="accent1" w:themeFillTint="99"/>
            <w:vAlign w:val="bottom"/>
            <w:hideMark/>
          </w:tcPr>
          <w:p w14:paraId="25E50398" w14:textId="77777777" w:rsidR="002E7933" w:rsidRDefault="002E7933"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2019-20 monthly avg</w:t>
            </w:r>
          </w:p>
          <w:p w14:paraId="5DC799B6" w14:textId="77777777" w:rsidR="002E7933" w:rsidRPr="00B4227A" w:rsidRDefault="002E7933" w:rsidP="006E12AB">
            <w:pPr>
              <w:jc w:val="right"/>
              <w:rPr>
                <w:rFonts w:eastAsia="Times New Roman" w:cs="Calibri"/>
                <w:b/>
                <w:bCs/>
                <w:color w:val="FFFFFF"/>
                <w:sz w:val="18"/>
                <w:szCs w:val="18"/>
                <w:lang w:val="en-US"/>
              </w:rPr>
            </w:pPr>
            <w:r>
              <w:rPr>
                <w:rFonts w:eastAsia="Times New Roman" w:cs="Calibri"/>
                <w:b/>
                <w:bCs/>
                <w:color w:val="FFFFFF"/>
                <w:sz w:val="18"/>
                <w:szCs w:val="18"/>
                <w:lang w:val="en-US"/>
              </w:rPr>
              <w:t>tonnes</w:t>
            </w:r>
          </w:p>
        </w:tc>
        <w:tc>
          <w:tcPr>
            <w:tcW w:w="699" w:type="pct"/>
            <w:gridSpan w:val="2"/>
            <w:tcBorders>
              <w:top w:val="single" w:sz="8" w:space="0" w:color="B7B7E2"/>
            </w:tcBorders>
            <w:shd w:val="clear" w:color="auto" w:fill="9494D4" w:themeFill="accent1" w:themeFillTint="99"/>
            <w:vAlign w:val="bottom"/>
            <w:hideMark/>
          </w:tcPr>
          <w:p w14:paraId="4D60BD7F" w14:textId="336C4283" w:rsidR="002E7933" w:rsidRPr="00B4227A" w:rsidRDefault="002D0BFE" w:rsidP="006E12AB">
            <w:pPr>
              <w:jc w:val="center"/>
              <w:rPr>
                <w:rFonts w:eastAsia="Times New Roman" w:cs="Calibri"/>
                <w:b/>
                <w:bCs/>
                <w:color w:val="FFFFFF"/>
                <w:sz w:val="18"/>
                <w:szCs w:val="18"/>
                <w:lang w:val="en-US"/>
              </w:rPr>
            </w:pPr>
            <w:r>
              <w:rPr>
                <w:rFonts w:eastAsia="Times New Roman" w:cs="Calibri"/>
                <w:b/>
                <w:bCs/>
                <w:color w:val="FFFFFF"/>
                <w:sz w:val="18"/>
                <w:szCs w:val="18"/>
                <w:lang w:val="en-US"/>
              </w:rPr>
              <w:t>May</w:t>
            </w:r>
            <w:r w:rsidR="002E7933" w:rsidRPr="00B4227A">
              <w:rPr>
                <w:rFonts w:eastAsia="Times New Roman" w:cs="Calibri"/>
                <w:b/>
                <w:bCs/>
                <w:color w:val="FFFFFF"/>
                <w:sz w:val="18"/>
                <w:szCs w:val="18"/>
                <w:lang w:val="en-US"/>
              </w:rPr>
              <w:t>-2</w:t>
            </w:r>
            <w:r w:rsidR="00FB7324">
              <w:rPr>
                <w:rFonts w:eastAsia="Times New Roman" w:cs="Calibri"/>
                <w:b/>
                <w:bCs/>
                <w:color w:val="FFFFFF"/>
                <w:sz w:val="18"/>
                <w:szCs w:val="18"/>
                <w:lang w:val="en-US"/>
              </w:rPr>
              <w:t>1</w:t>
            </w:r>
          </w:p>
        </w:tc>
        <w:tc>
          <w:tcPr>
            <w:tcW w:w="349" w:type="pct"/>
            <w:gridSpan w:val="2"/>
            <w:tcBorders>
              <w:top w:val="single" w:sz="8" w:space="0" w:color="B7B7E2"/>
            </w:tcBorders>
            <w:shd w:val="clear" w:color="auto" w:fill="9494D4" w:themeFill="accent1" w:themeFillTint="99"/>
            <w:vAlign w:val="bottom"/>
            <w:hideMark/>
          </w:tcPr>
          <w:p w14:paraId="1C4E6DD6" w14:textId="1CAFF1E2" w:rsidR="002E7933" w:rsidRPr="00B4227A" w:rsidRDefault="002D0BFE" w:rsidP="006E12AB">
            <w:pPr>
              <w:jc w:val="center"/>
              <w:rPr>
                <w:rFonts w:eastAsia="Times New Roman" w:cs="Calibri"/>
                <w:b/>
                <w:bCs/>
                <w:color w:val="FFFFFF"/>
                <w:sz w:val="18"/>
                <w:szCs w:val="18"/>
                <w:lang w:val="en-US"/>
              </w:rPr>
            </w:pPr>
            <w:r>
              <w:rPr>
                <w:rFonts w:eastAsia="Times New Roman" w:cs="Calibri"/>
                <w:b/>
                <w:bCs/>
                <w:color w:val="FFFFFF"/>
                <w:sz w:val="18"/>
                <w:szCs w:val="18"/>
                <w:lang w:val="en-US"/>
              </w:rPr>
              <w:t>Ap</w:t>
            </w:r>
            <w:r w:rsidR="00AD4F31">
              <w:rPr>
                <w:rFonts w:eastAsia="Times New Roman" w:cs="Calibri"/>
                <w:b/>
                <w:bCs/>
                <w:color w:val="FFFFFF"/>
                <w:sz w:val="18"/>
                <w:szCs w:val="18"/>
                <w:lang w:val="en-US"/>
              </w:rPr>
              <w:t>r</w:t>
            </w:r>
            <w:r w:rsidR="002E7933" w:rsidRPr="00B4227A">
              <w:rPr>
                <w:rFonts w:eastAsia="Times New Roman" w:cs="Calibri"/>
                <w:b/>
                <w:bCs/>
                <w:color w:val="FFFFFF"/>
                <w:sz w:val="18"/>
                <w:szCs w:val="18"/>
                <w:lang w:val="en-US"/>
              </w:rPr>
              <w:t>-2</w:t>
            </w:r>
            <w:r w:rsidR="00FB7324">
              <w:rPr>
                <w:rFonts w:eastAsia="Times New Roman" w:cs="Calibri"/>
                <w:b/>
                <w:bCs/>
                <w:color w:val="FFFFFF"/>
                <w:sz w:val="18"/>
                <w:szCs w:val="18"/>
                <w:lang w:val="en-US"/>
              </w:rPr>
              <w:t>1</w:t>
            </w:r>
          </w:p>
        </w:tc>
        <w:tc>
          <w:tcPr>
            <w:tcW w:w="349" w:type="pct"/>
            <w:tcBorders>
              <w:top w:val="single" w:sz="8" w:space="0" w:color="B7B7E2"/>
            </w:tcBorders>
            <w:shd w:val="clear" w:color="auto" w:fill="9494D4" w:themeFill="accent1" w:themeFillTint="99"/>
            <w:vAlign w:val="bottom"/>
          </w:tcPr>
          <w:p w14:paraId="6381A9C5" w14:textId="5C935C72" w:rsidR="002E7933" w:rsidRPr="00B4227A" w:rsidRDefault="002E7933" w:rsidP="006E12AB">
            <w:pPr>
              <w:jc w:val="center"/>
              <w:rPr>
                <w:rFonts w:eastAsia="Times New Roman" w:cs="Calibri"/>
                <w:b/>
                <w:bCs/>
                <w:color w:val="FFFFFF"/>
                <w:sz w:val="18"/>
                <w:szCs w:val="18"/>
                <w:lang w:val="en-US"/>
              </w:rPr>
            </w:pPr>
          </w:p>
        </w:tc>
        <w:tc>
          <w:tcPr>
            <w:tcW w:w="526" w:type="pct"/>
            <w:vMerge w:val="restart"/>
            <w:tcBorders>
              <w:top w:val="single" w:sz="8" w:space="0" w:color="B7B7E2"/>
              <w:right w:val="single" w:sz="8" w:space="0" w:color="B7B7E2"/>
            </w:tcBorders>
            <w:shd w:val="clear" w:color="auto" w:fill="9494D4" w:themeFill="accent1" w:themeFillTint="99"/>
            <w:vAlign w:val="bottom"/>
            <w:hideMark/>
          </w:tcPr>
          <w:p w14:paraId="005AE381" w14:textId="77777777" w:rsidR="002E7933" w:rsidRDefault="002E7933"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2019-20 monthly avg</w:t>
            </w:r>
          </w:p>
          <w:p w14:paraId="39D685C9" w14:textId="77777777" w:rsidR="002E7933" w:rsidRPr="00B4227A" w:rsidRDefault="002E7933" w:rsidP="006E12AB">
            <w:pPr>
              <w:jc w:val="right"/>
              <w:rPr>
                <w:rFonts w:eastAsia="Times New Roman" w:cs="Calibri"/>
                <w:b/>
                <w:bCs/>
                <w:color w:val="FFFFFF"/>
                <w:sz w:val="18"/>
                <w:szCs w:val="18"/>
                <w:lang w:val="en-US"/>
              </w:rPr>
            </w:pPr>
            <w:r>
              <w:rPr>
                <w:rFonts w:eastAsia="Times New Roman" w:cs="Calibri"/>
                <w:b/>
                <w:bCs/>
                <w:color w:val="FFFFFF"/>
                <w:sz w:val="18"/>
                <w:szCs w:val="18"/>
                <w:lang w:val="en-US"/>
              </w:rPr>
              <w:t>$ mil</w:t>
            </w:r>
          </w:p>
        </w:tc>
      </w:tr>
      <w:tr w:rsidR="008E693A" w:rsidRPr="00B4227A" w14:paraId="2E74E8EA" w14:textId="77777777" w:rsidTr="006E12AB">
        <w:trPr>
          <w:trHeight w:val="315"/>
        </w:trPr>
        <w:tc>
          <w:tcPr>
            <w:tcW w:w="908" w:type="pct"/>
            <w:tcBorders>
              <w:left w:val="single" w:sz="8" w:space="0" w:color="B7B7E2"/>
            </w:tcBorders>
            <w:shd w:val="clear" w:color="auto" w:fill="9494D4" w:themeFill="accent1" w:themeFillTint="99"/>
            <w:vAlign w:val="bottom"/>
            <w:hideMark/>
          </w:tcPr>
          <w:p w14:paraId="5BD2642A" w14:textId="77777777" w:rsidR="008E693A" w:rsidRPr="00B4227A" w:rsidRDefault="008E693A" w:rsidP="006E12AB">
            <w:pPr>
              <w:rPr>
                <w:rFonts w:eastAsia="Times New Roman" w:cs="Calibri"/>
                <w:b/>
                <w:bCs/>
                <w:color w:val="FFFFFF"/>
                <w:sz w:val="18"/>
                <w:szCs w:val="18"/>
                <w:lang w:val="en-US"/>
              </w:rPr>
            </w:pPr>
            <w:r w:rsidRPr="00B4227A">
              <w:rPr>
                <w:rFonts w:eastAsia="Times New Roman" w:cs="Calibri"/>
                <w:b/>
                <w:bCs/>
                <w:color w:val="FFFFFF"/>
                <w:sz w:val="18"/>
                <w:szCs w:val="18"/>
                <w:lang w:val="en-US"/>
              </w:rPr>
              <w:t> </w:t>
            </w:r>
          </w:p>
        </w:tc>
        <w:tc>
          <w:tcPr>
            <w:tcW w:w="419" w:type="pct"/>
            <w:shd w:val="clear" w:color="auto" w:fill="9494D4" w:themeFill="accent1" w:themeFillTint="99"/>
            <w:vAlign w:val="bottom"/>
            <w:hideMark/>
          </w:tcPr>
          <w:p w14:paraId="315988FC" w14:textId="77777777" w:rsidR="008E693A" w:rsidRPr="00B4227A" w:rsidRDefault="008E693A" w:rsidP="006E12AB">
            <w:pPr>
              <w:jc w:val="right"/>
              <w:rPr>
                <w:rFonts w:eastAsia="Times New Roman" w:cs="Calibri"/>
                <w:b/>
                <w:bCs/>
                <w:color w:val="FFFFFF"/>
                <w:sz w:val="18"/>
                <w:szCs w:val="18"/>
                <w:lang w:val="en-US"/>
              </w:rPr>
            </w:pPr>
            <w:r>
              <w:rPr>
                <w:rFonts w:eastAsia="Times New Roman" w:cs="Calibri"/>
                <w:b/>
                <w:bCs/>
                <w:color w:val="FFFFFF"/>
                <w:sz w:val="18"/>
                <w:szCs w:val="18"/>
                <w:lang w:val="en-US"/>
              </w:rPr>
              <w:t>t</w:t>
            </w:r>
            <w:r w:rsidRPr="00B4227A">
              <w:rPr>
                <w:rFonts w:eastAsia="Times New Roman" w:cs="Calibri"/>
                <w:b/>
                <w:bCs/>
                <w:color w:val="FFFFFF"/>
                <w:sz w:val="18"/>
                <w:szCs w:val="18"/>
                <w:lang w:val="en-US"/>
              </w:rPr>
              <w:t>onnes</w:t>
            </w:r>
          </w:p>
        </w:tc>
        <w:tc>
          <w:tcPr>
            <w:tcW w:w="420" w:type="pct"/>
            <w:shd w:val="clear" w:color="auto" w:fill="9494D4" w:themeFill="accent1" w:themeFillTint="99"/>
            <w:vAlign w:val="bottom"/>
            <w:hideMark/>
          </w:tcPr>
          <w:p w14:paraId="52E8EA56"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of total</w:t>
            </w:r>
          </w:p>
        </w:tc>
        <w:tc>
          <w:tcPr>
            <w:tcW w:w="350" w:type="pct"/>
            <w:shd w:val="clear" w:color="auto" w:fill="9494D4" w:themeFill="accent1" w:themeFillTint="99"/>
            <w:vAlign w:val="bottom"/>
            <w:hideMark/>
          </w:tcPr>
          <w:p w14:paraId="4C72C753"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tonnes</w:t>
            </w:r>
          </w:p>
        </w:tc>
        <w:tc>
          <w:tcPr>
            <w:tcW w:w="420" w:type="pct"/>
            <w:gridSpan w:val="2"/>
            <w:shd w:val="clear" w:color="auto" w:fill="9494D4" w:themeFill="accent1" w:themeFillTint="99"/>
            <w:vAlign w:val="bottom"/>
            <w:hideMark/>
          </w:tcPr>
          <w:p w14:paraId="6A558C13"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change</w:t>
            </w:r>
          </w:p>
        </w:tc>
        <w:tc>
          <w:tcPr>
            <w:tcW w:w="559" w:type="pct"/>
            <w:vMerge/>
            <w:shd w:val="clear" w:color="auto" w:fill="9494D4" w:themeFill="accent1" w:themeFillTint="99"/>
            <w:vAlign w:val="bottom"/>
          </w:tcPr>
          <w:p w14:paraId="6EEB9555" w14:textId="77777777" w:rsidR="008E693A" w:rsidRPr="00B4227A" w:rsidRDefault="008E693A" w:rsidP="006E12AB">
            <w:pPr>
              <w:jc w:val="right"/>
              <w:rPr>
                <w:rFonts w:eastAsia="Times New Roman" w:cs="Calibri"/>
                <w:b/>
                <w:bCs/>
                <w:color w:val="FFFFFF"/>
                <w:sz w:val="18"/>
                <w:szCs w:val="18"/>
                <w:lang w:val="en-US"/>
              </w:rPr>
            </w:pPr>
          </w:p>
        </w:tc>
        <w:tc>
          <w:tcPr>
            <w:tcW w:w="280" w:type="pct"/>
            <w:shd w:val="clear" w:color="auto" w:fill="9494D4" w:themeFill="accent1" w:themeFillTint="99"/>
            <w:vAlign w:val="bottom"/>
            <w:hideMark/>
          </w:tcPr>
          <w:p w14:paraId="5ECCD550"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mil</w:t>
            </w:r>
          </w:p>
        </w:tc>
        <w:tc>
          <w:tcPr>
            <w:tcW w:w="419" w:type="pct"/>
            <w:shd w:val="clear" w:color="auto" w:fill="9494D4" w:themeFill="accent1" w:themeFillTint="99"/>
            <w:vAlign w:val="bottom"/>
            <w:hideMark/>
          </w:tcPr>
          <w:p w14:paraId="73204C94"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of total</w:t>
            </w:r>
          </w:p>
        </w:tc>
        <w:tc>
          <w:tcPr>
            <w:tcW w:w="279" w:type="pct"/>
            <w:shd w:val="clear" w:color="auto" w:fill="9494D4" w:themeFill="accent1" w:themeFillTint="99"/>
            <w:vAlign w:val="bottom"/>
            <w:hideMark/>
          </w:tcPr>
          <w:p w14:paraId="3926C6E6"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mil</w:t>
            </w:r>
          </w:p>
        </w:tc>
        <w:tc>
          <w:tcPr>
            <w:tcW w:w="420" w:type="pct"/>
            <w:gridSpan w:val="2"/>
            <w:shd w:val="clear" w:color="auto" w:fill="9494D4" w:themeFill="accent1" w:themeFillTint="99"/>
            <w:vAlign w:val="bottom"/>
            <w:hideMark/>
          </w:tcPr>
          <w:p w14:paraId="1FA92638" w14:textId="77777777" w:rsidR="008E693A" w:rsidRPr="00B4227A" w:rsidRDefault="008E693A" w:rsidP="006E12AB">
            <w:pPr>
              <w:jc w:val="right"/>
              <w:rPr>
                <w:rFonts w:eastAsia="Times New Roman" w:cs="Calibri"/>
                <w:b/>
                <w:bCs/>
                <w:color w:val="FFFFFF"/>
                <w:sz w:val="18"/>
                <w:szCs w:val="18"/>
                <w:lang w:val="en-US"/>
              </w:rPr>
            </w:pPr>
            <w:r w:rsidRPr="00B4227A">
              <w:rPr>
                <w:rFonts w:eastAsia="Times New Roman" w:cs="Calibri"/>
                <w:b/>
                <w:bCs/>
                <w:color w:val="FFFFFF"/>
                <w:sz w:val="18"/>
                <w:szCs w:val="18"/>
                <w:lang w:val="en-US"/>
              </w:rPr>
              <w:t>% change</w:t>
            </w:r>
          </w:p>
        </w:tc>
        <w:tc>
          <w:tcPr>
            <w:tcW w:w="526" w:type="pct"/>
            <w:vMerge/>
            <w:tcBorders>
              <w:right w:val="single" w:sz="8" w:space="0" w:color="B7B7E2"/>
            </w:tcBorders>
            <w:shd w:val="clear" w:color="auto" w:fill="9494D4" w:themeFill="accent1" w:themeFillTint="99"/>
            <w:vAlign w:val="bottom"/>
          </w:tcPr>
          <w:p w14:paraId="372C02D1" w14:textId="77777777" w:rsidR="008E693A" w:rsidRPr="00B4227A" w:rsidRDefault="008E693A" w:rsidP="006E12AB">
            <w:pPr>
              <w:jc w:val="right"/>
              <w:rPr>
                <w:rFonts w:eastAsia="Times New Roman" w:cs="Calibri"/>
                <w:b/>
                <w:bCs/>
                <w:color w:val="FFFFFF"/>
                <w:sz w:val="18"/>
                <w:szCs w:val="18"/>
                <w:lang w:val="en-US"/>
              </w:rPr>
            </w:pPr>
          </w:p>
        </w:tc>
      </w:tr>
      <w:tr w:rsidR="008E693A" w:rsidRPr="00B4227A" w14:paraId="20F29D3B" w14:textId="77777777" w:rsidTr="006E12AB">
        <w:trPr>
          <w:trHeight w:val="227"/>
        </w:trPr>
        <w:tc>
          <w:tcPr>
            <w:tcW w:w="908" w:type="pct"/>
            <w:tcBorders>
              <w:left w:val="single" w:sz="8" w:space="0" w:color="B7B7E2"/>
              <w:bottom w:val="single" w:sz="8" w:space="0" w:color="B7B7E2"/>
              <w:right w:val="single" w:sz="8" w:space="0" w:color="B7B7E2"/>
            </w:tcBorders>
            <w:shd w:val="clear" w:color="auto" w:fill="auto"/>
            <w:vAlign w:val="center"/>
            <w:hideMark/>
          </w:tcPr>
          <w:p w14:paraId="56181C71"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Glass</w:t>
            </w:r>
          </w:p>
        </w:tc>
        <w:tc>
          <w:tcPr>
            <w:tcW w:w="419" w:type="pct"/>
            <w:tcBorders>
              <w:left w:val="nil"/>
              <w:bottom w:val="single" w:sz="8" w:space="0" w:color="B7B7E2"/>
              <w:right w:val="single" w:sz="8" w:space="0" w:color="B7B7E2"/>
            </w:tcBorders>
            <w:shd w:val="clear" w:color="auto" w:fill="auto"/>
            <w:vAlign w:val="center"/>
            <w:hideMark/>
          </w:tcPr>
          <w:p w14:paraId="7608072B" w14:textId="00D7D1B3" w:rsidR="008E693A" w:rsidRPr="00B4227A" w:rsidRDefault="00170211" w:rsidP="006E12AB">
            <w:pPr>
              <w:jc w:val="right"/>
              <w:rPr>
                <w:rFonts w:eastAsia="Times New Roman" w:cs="Calibri"/>
                <w:color w:val="000000"/>
                <w:sz w:val="18"/>
                <w:szCs w:val="18"/>
                <w:lang w:val="en-US"/>
              </w:rPr>
            </w:pPr>
            <w:r>
              <w:rPr>
                <w:rFonts w:eastAsia="Times New Roman" w:cs="Calibri"/>
                <w:color w:val="000000"/>
                <w:sz w:val="18"/>
                <w:szCs w:val="18"/>
                <w:lang w:val="en-US"/>
              </w:rPr>
              <w:t>20</w:t>
            </w:r>
          </w:p>
        </w:tc>
        <w:tc>
          <w:tcPr>
            <w:tcW w:w="420" w:type="pct"/>
            <w:tcBorders>
              <w:left w:val="nil"/>
              <w:bottom w:val="single" w:sz="8" w:space="0" w:color="B7B7E2"/>
              <w:right w:val="single" w:sz="8" w:space="0" w:color="B7B7E2"/>
            </w:tcBorders>
            <w:shd w:val="clear" w:color="auto" w:fill="auto"/>
            <w:vAlign w:val="center"/>
            <w:hideMark/>
          </w:tcPr>
          <w:p w14:paraId="2D0800F2"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0%</w:t>
            </w:r>
          </w:p>
        </w:tc>
        <w:tc>
          <w:tcPr>
            <w:tcW w:w="350" w:type="pct"/>
            <w:tcBorders>
              <w:left w:val="nil"/>
              <w:bottom w:val="single" w:sz="8" w:space="0" w:color="B7B7E2"/>
              <w:right w:val="single" w:sz="8" w:space="0" w:color="B7B7E2"/>
            </w:tcBorders>
            <w:shd w:val="clear" w:color="auto" w:fill="auto"/>
            <w:vAlign w:val="center"/>
            <w:hideMark/>
          </w:tcPr>
          <w:p w14:paraId="2719155D" w14:textId="2C77F0CB"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6</w:t>
            </w:r>
            <w:r w:rsidR="008E693A" w:rsidRPr="00B4227A">
              <w:rPr>
                <w:rFonts w:eastAsia="Times New Roman" w:cs="Calibri"/>
                <w:color w:val="000000"/>
                <w:sz w:val="18"/>
                <w:szCs w:val="18"/>
                <w:lang w:val="en-US"/>
              </w:rPr>
              <w:t>0</w:t>
            </w:r>
          </w:p>
        </w:tc>
        <w:tc>
          <w:tcPr>
            <w:tcW w:w="420" w:type="pct"/>
            <w:gridSpan w:val="2"/>
            <w:tcBorders>
              <w:left w:val="nil"/>
              <w:bottom w:val="single" w:sz="8" w:space="0" w:color="B7B7E2"/>
              <w:right w:val="single" w:sz="8" w:space="0" w:color="B7B7E2"/>
            </w:tcBorders>
            <w:shd w:val="clear" w:color="auto" w:fill="auto"/>
            <w:vAlign w:val="center"/>
            <w:hideMark/>
          </w:tcPr>
          <w:p w14:paraId="08555546" w14:textId="63170624"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-72</w:t>
            </w:r>
            <w:r w:rsidR="00654770">
              <w:rPr>
                <w:rFonts w:eastAsia="Times New Roman" w:cs="Calibri"/>
                <w:color w:val="000000"/>
                <w:sz w:val="18"/>
                <w:szCs w:val="18"/>
                <w:lang w:val="en-US"/>
              </w:rPr>
              <w:t>%</w:t>
            </w:r>
          </w:p>
        </w:tc>
        <w:tc>
          <w:tcPr>
            <w:tcW w:w="559" w:type="pct"/>
            <w:tcBorders>
              <w:left w:val="nil"/>
              <w:bottom w:val="single" w:sz="8" w:space="0" w:color="B7B7E2"/>
              <w:right w:val="single" w:sz="8" w:space="0" w:color="B7B7E2"/>
            </w:tcBorders>
            <w:shd w:val="clear" w:color="auto" w:fill="auto"/>
            <w:vAlign w:val="center"/>
            <w:hideMark/>
          </w:tcPr>
          <w:p w14:paraId="4CB512A7"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2,200</w:t>
            </w:r>
          </w:p>
        </w:tc>
        <w:tc>
          <w:tcPr>
            <w:tcW w:w="280" w:type="pct"/>
            <w:tcBorders>
              <w:left w:val="nil"/>
              <w:bottom w:val="single" w:sz="8" w:space="0" w:color="B7B7E2"/>
              <w:right w:val="single" w:sz="8" w:space="0" w:color="B7B7E2"/>
            </w:tcBorders>
            <w:shd w:val="clear" w:color="auto" w:fill="auto"/>
            <w:vAlign w:val="center"/>
            <w:hideMark/>
          </w:tcPr>
          <w:p w14:paraId="599981A9" w14:textId="7EF0D1C1"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$0.0</w:t>
            </w:r>
            <w:r w:rsidR="002D0BFE">
              <w:rPr>
                <w:rFonts w:eastAsia="Times New Roman" w:cs="Calibri"/>
                <w:color w:val="000000"/>
                <w:sz w:val="18"/>
                <w:szCs w:val="18"/>
                <w:lang w:val="en-US"/>
              </w:rPr>
              <w:t>1</w:t>
            </w:r>
          </w:p>
        </w:tc>
        <w:tc>
          <w:tcPr>
            <w:tcW w:w="419" w:type="pct"/>
            <w:tcBorders>
              <w:left w:val="nil"/>
              <w:bottom w:val="single" w:sz="8" w:space="0" w:color="B7B7E2"/>
              <w:right w:val="single" w:sz="8" w:space="0" w:color="B7B7E2"/>
            </w:tcBorders>
            <w:shd w:val="clear" w:color="auto" w:fill="auto"/>
            <w:vAlign w:val="center"/>
            <w:hideMark/>
          </w:tcPr>
          <w:p w14:paraId="711006EF" w14:textId="01D8F357"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&lt;1</w:t>
            </w:r>
            <w:r w:rsidR="008E693A" w:rsidRPr="00B4227A">
              <w:rPr>
                <w:rFonts w:eastAsia="Times New Roman" w:cs="Calibri"/>
                <w:color w:val="000000"/>
                <w:sz w:val="18"/>
                <w:szCs w:val="18"/>
                <w:lang w:val="en-US"/>
              </w:rPr>
              <w:t>%</w:t>
            </w:r>
          </w:p>
        </w:tc>
        <w:tc>
          <w:tcPr>
            <w:tcW w:w="279" w:type="pct"/>
            <w:tcBorders>
              <w:left w:val="nil"/>
              <w:bottom w:val="single" w:sz="8" w:space="0" w:color="B7B7E2"/>
              <w:right w:val="single" w:sz="8" w:space="0" w:color="B7B7E2"/>
            </w:tcBorders>
            <w:shd w:val="clear" w:color="auto" w:fill="auto"/>
            <w:vAlign w:val="center"/>
            <w:hideMark/>
          </w:tcPr>
          <w:p w14:paraId="0EE6F72A" w14:textId="481BA7E0"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$0.</w:t>
            </w:r>
            <w:r w:rsidR="002D0BFE">
              <w:rPr>
                <w:rFonts w:eastAsia="Times New Roman" w:cs="Calibri"/>
                <w:color w:val="000000"/>
                <w:sz w:val="18"/>
                <w:szCs w:val="18"/>
                <w:lang w:val="en-US"/>
              </w:rPr>
              <w:t>03</w:t>
            </w:r>
          </w:p>
        </w:tc>
        <w:tc>
          <w:tcPr>
            <w:tcW w:w="420" w:type="pct"/>
            <w:gridSpan w:val="2"/>
            <w:tcBorders>
              <w:left w:val="nil"/>
              <w:bottom w:val="single" w:sz="8" w:space="0" w:color="B7B7E2"/>
              <w:right w:val="single" w:sz="8" w:space="0" w:color="B7B7E2"/>
            </w:tcBorders>
            <w:shd w:val="clear" w:color="auto" w:fill="auto"/>
            <w:vAlign w:val="center"/>
            <w:hideMark/>
          </w:tcPr>
          <w:p w14:paraId="4DA4AEF2" w14:textId="09CAFF85"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w:t>
            </w:r>
            <w:r w:rsidR="002D0BFE">
              <w:rPr>
                <w:rFonts w:eastAsia="Times New Roman" w:cs="Calibri"/>
                <w:color w:val="000000"/>
                <w:sz w:val="18"/>
                <w:szCs w:val="18"/>
                <w:lang w:val="en-US"/>
              </w:rPr>
              <w:t>66</w:t>
            </w:r>
            <w:r>
              <w:rPr>
                <w:rFonts w:eastAsia="Times New Roman" w:cs="Calibri"/>
                <w:color w:val="000000"/>
                <w:sz w:val="18"/>
                <w:szCs w:val="18"/>
                <w:lang w:val="en-US"/>
              </w:rPr>
              <w:t>%</w:t>
            </w:r>
          </w:p>
        </w:tc>
        <w:tc>
          <w:tcPr>
            <w:tcW w:w="526" w:type="pct"/>
            <w:tcBorders>
              <w:left w:val="nil"/>
              <w:bottom w:val="single" w:sz="8" w:space="0" w:color="B7B7E2"/>
              <w:right w:val="single" w:sz="8" w:space="0" w:color="B7B7E2"/>
            </w:tcBorders>
            <w:shd w:val="clear" w:color="auto" w:fill="auto"/>
            <w:vAlign w:val="center"/>
            <w:hideMark/>
          </w:tcPr>
          <w:p w14:paraId="41D84598"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$0.11</w:t>
            </w:r>
          </w:p>
        </w:tc>
      </w:tr>
      <w:tr w:rsidR="008E693A" w:rsidRPr="00B4227A" w14:paraId="5AB13039"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16869F14"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Hazardous (excl. tyres)</w:t>
            </w:r>
          </w:p>
        </w:tc>
        <w:tc>
          <w:tcPr>
            <w:tcW w:w="419" w:type="pct"/>
            <w:tcBorders>
              <w:top w:val="nil"/>
              <w:left w:val="nil"/>
              <w:bottom w:val="single" w:sz="8" w:space="0" w:color="B7B7E2"/>
              <w:right w:val="single" w:sz="8" w:space="0" w:color="B7B7E2"/>
            </w:tcBorders>
            <w:shd w:val="clear" w:color="auto" w:fill="auto"/>
            <w:vAlign w:val="center"/>
            <w:hideMark/>
          </w:tcPr>
          <w:p w14:paraId="4591700C" w14:textId="280A86CF"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3,1</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77845585" w14:textId="582D6227" w:rsidR="008E693A" w:rsidRPr="00B4227A" w:rsidRDefault="00FB7324" w:rsidP="006E12AB">
            <w:pPr>
              <w:jc w:val="right"/>
              <w:rPr>
                <w:rFonts w:eastAsia="Times New Roman" w:cs="Calibri"/>
                <w:color w:val="000000"/>
                <w:sz w:val="18"/>
                <w:szCs w:val="18"/>
                <w:lang w:val="en-US"/>
              </w:rPr>
            </w:pPr>
            <w:r>
              <w:rPr>
                <w:rFonts w:eastAsia="Times New Roman" w:cs="Calibri"/>
                <w:color w:val="000000"/>
                <w:sz w:val="18"/>
                <w:szCs w:val="18"/>
                <w:lang w:val="en-US"/>
              </w:rPr>
              <w:t>1</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2AD1D55D" w14:textId="67560822"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3,</w:t>
            </w:r>
            <w:r w:rsidR="002D0BFE">
              <w:rPr>
                <w:rFonts w:eastAsia="Times New Roman" w:cs="Calibri"/>
                <w:color w:val="000000"/>
                <w:sz w:val="18"/>
                <w:szCs w:val="18"/>
                <w:lang w:val="en-US"/>
              </w:rPr>
              <w:t>9</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4EF328FA" w14:textId="5971A076"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-20</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6177D0A4"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3,500</w:t>
            </w:r>
          </w:p>
        </w:tc>
        <w:tc>
          <w:tcPr>
            <w:tcW w:w="280" w:type="pct"/>
            <w:tcBorders>
              <w:top w:val="nil"/>
              <w:left w:val="nil"/>
              <w:bottom w:val="single" w:sz="8" w:space="0" w:color="B7B7E2"/>
              <w:right w:val="single" w:sz="8" w:space="0" w:color="B7B7E2"/>
            </w:tcBorders>
            <w:shd w:val="clear" w:color="auto" w:fill="auto"/>
            <w:vAlign w:val="center"/>
            <w:hideMark/>
          </w:tcPr>
          <w:p w14:paraId="4C8C0AE7" w14:textId="49BAD66A"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2D0BFE">
              <w:rPr>
                <w:rFonts w:eastAsia="Times New Roman" w:cs="Calibri"/>
                <w:color w:val="000000"/>
                <w:sz w:val="18"/>
                <w:szCs w:val="18"/>
                <w:lang w:val="en-US"/>
              </w:rPr>
              <w:t>32.2</w:t>
            </w:r>
          </w:p>
        </w:tc>
        <w:tc>
          <w:tcPr>
            <w:tcW w:w="419" w:type="pct"/>
            <w:tcBorders>
              <w:top w:val="nil"/>
              <w:left w:val="nil"/>
              <w:bottom w:val="single" w:sz="8" w:space="0" w:color="B7B7E2"/>
              <w:right w:val="single" w:sz="8" w:space="0" w:color="B7B7E2"/>
            </w:tcBorders>
            <w:shd w:val="clear" w:color="auto" w:fill="auto"/>
            <w:vAlign w:val="center"/>
            <w:hideMark/>
          </w:tcPr>
          <w:p w14:paraId="338B2C44" w14:textId="780CBDB8"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8</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7D2DF934" w14:textId="5D7096E6"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2D0BFE">
              <w:rPr>
                <w:rFonts w:eastAsia="Times New Roman" w:cs="Calibri"/>
                <w:color w:val="000000"/>
                <w:sz w:val="18"/>
                <w:szCs w:val="18"/>
                <w:lang w:val="en-US"/>
              </w:rPr>
              <w:t>42.3</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67BE2B30" w14:textId="0A77266B"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-24</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058BAE7A"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$37.1</w:t>
            </w:r>
          </w:p>
        </w:tc>
      </w:tr>
      <w:tr w:rsidR="008E693A" w:rsidRPr="00B4227A" w14:paraId="67F002CF"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5A93D37F"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Metals</w:t>
            </w:r>
          </w:p>
        </w:tc>
        <w:tc>
          <w:tcPr>
            <w:tcW w:w="419" w:type="pct"/>
            <w:tcBorders>
              <w:top w:val="nil"/>
              <w:left w:val="nil"/>
              <w:bottom w:val="single" w:sz="8" w:space="0" w:color="B7B7E2"/>
              <w:right w:val="single" w:sz="8" w:space="0" w:color="B7B7E2"/>
            </w:tcBorders>
            <w:shd w:val="clear" w:color="auto" w:fill="auto"/>
            <w:vAlign w:val="center"/>
            <w:hideMark/>
          </w:tcPr>
          <w:p w14:paraId="74259257" w14:textId="6407BA3C"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306</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606C0053" w14:textId="6BB5F19B"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60</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2A555F93" w14:textId="25F817C7"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190</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284041B4" w14:textId="096D79C2"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61</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44254BD1"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21</w:t>
            </w:r>
            <w:r>
              <w:rPr>
                <w:rFonts w:eastAsia="Times New Roman" w:cs="Calibri"/>
                <w:color w:val="000000"/>
                <w:sz w:val="18"/>
                <w:szCs w:val="18"/>
                <w:lang w:val="en-US"/>
              </w:rPr>
              <w:t>2</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280" w:type="pct"/>
            <w:tcBorders>
              <w:top w:val="nil"/>
              <w:left w:val="nil"/>
              <w:bottom w:val="single" w:sz="8" w:space="0" w:color="B7B7E2"/>
              <w:right w:val="single" w:sz="8" w:space="0" w:color="B7B7E2"/>
            </w:tcBorders>
            <w:shd w:val="clear" w:color="auto" w:fill="auto"/>
            <w:vAlign w:val="center"/>
            <w:hideMark/>
          </w:tcPr>
          <w:p w14:paraId="65DA57F5" w14:textId="3BD76983"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2D0BFE">
              <w:rPr>
                <w:rFonts w:eastAsia="Times New Roman" w:cs="Calibri"/>
                <w:color w:val="000000"/>
                <w:sz w:val="18"/>
                <w:szCs w:val="18"/>
                <w:lang w:val="en-US"/>
              </w:rPr>
              <w:t>318</w:t>
            </w:r>
          </w:p>
        </w:tc>
        <w:tc>
          <w:tcPr>
            <w:tcW w:w="419" w:type="pct"/>
            <w:tcBorders>
              <w:top w:val="nil"/>
              <w:left w:val="nil"/>
              <w:bottom w:val="single" w:sz="8" w:space="0" w:color="B7B7E2"/>
              <w:right w:val="single" w:sz="8" w:space="0" w:color="B7B7E2"/>
            </w:tcBorders>
            <w:shd w:val="clear" w:color="auto" w:fill="auto"/>
            <w:vAlign w:val="center"/>
            <w:hideMark/>
          </w:tcPr>
          <w:p w14:paraId="046D3357" w14:textId="29881487"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76</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6C574235" w14:textId="48A5245B"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2D0BFE">
              <w:rPr>
                <w:rFonts w:eastAsia="Times New Roman" w:cs="Calibri"/>
                <w:color w:val="000000"/>
                <w:sz w:val="18"/>
                <w:szCs w:val="18"/>
                <w:lang w:val="en-US"/>
              </w:rPr>
              <w:t>222</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6A93CE88" w14:textId="084BAFAF"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43</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43672B2C"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$16</w:t>
            </w:r>
            <w:r>
              <w:rPr>
                <w:rFonts w:eastAsia="Times New Roman" w:cs="Calibri"/>
                <w:color w:val="000000"/>
                <w:sz w:val="18"/>
                <w:szCs w:val="18"/>
                <w:lang w:val="en-US"/>
              </w:rPr>
              <w:t>3</w:t>
            </w:r>
          </w:p>
        </w:tc>
      </w:tr>
      <w:tr w:rsidR="008E693A" w:rsidRPr="00B4227A" w14:paraId="2AD21200"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7DA8B881"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Paper &amp; cardboard</w:t>
            </w:r>
          </w:p>
        </w:tc>
        <w:tc>
          <w:tcPr>
            <w:tcW w:w="419" w:type="pct"/>
            <w:tcBorders>
              <w:top w:val="nil"/>
              <w:left w:val="nil"/>
              <w:bottom w:val="single" w:sz="8" w:space="0" w:color="B7B7E2"/>
              <w:right w:val="single" w:sz="8" w:space="0" w:color="B7B7E2"/>
            </w:tcBorders>
            <w:shd w:val="clear" w:color="auto" w:fill="auto"/>
            <w:vAlign w:val="center"/>
            <w:hideMark/>
          </w:tcPr>
          <w:p w14:paraId="4CBB2FFD" w14:textId="0D078479"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106</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442CD1F4" w14:textId="0A6ACCD3"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2D0BFE">
              <w:rPr>
                <w:rFonts w:eastAsia="Times New Roman" w:cs="Calibri"/>
                <w:color w:val="000000"/>
                <w:sz w:val="18"/>
                <w:szCs w:val="18"/>
                <w:lang w:val="en-US"/>
              </w:rPr>
              <w:t>1</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067F5DB4" w14:textId="6DFF9621"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9</w:t>
            </w:r>
            <w:r w:rsidR="002D0BFE">
              <w:rPr>
                <w:rFonts w:eastAsia="Times New Roman" w:cs="Calibri"/>
                <w:color w:val="000000"/>
                <w:sz w:val="18"/>
                <w:szCs w:val="18"/>
                <w:lang w:val="en-US"/>
              </w:rPr>
              <w:t>1</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5F3A709F" w14:textId="5147A052"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17</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5FFF605F"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88,</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280" w:type="pct"/>
            <w:tcBorders>
              <w:top w:val="nil"/>
              <w:left w:val="nil"/>
              <w:bottom w:val="single" w:sz="8" w:space="0" w:color="B7B7E2"/>
              <w:right w:val="single" w:sz="8" w:space="0" w:color="B7B7E2"/>
            </w:tcBorders>
            <w:shd w:val="clear" w:color="auto" w:fill="auto"/>
            <w:vAlign w:val="center"/>
            <w:hideMark/>
          </w:tcPr>
          <w:p w14:paraId="632109D5" w14:textId="242FD06E"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2D0BFE">
              <w:rPr>
                <w:rFonts w:eastAsia="Times New Roman" w:cs="Calibri"/>
                <w:color w:val="000000"/>
                <w:sz w:val="18"/>
                <w:szCs w:val="18"/>
                <w:lang w:val="en-US"/>
              </w:rPr>
              <w:t>26.7</w:t>
            </w:r>
          </w:p>
        </w:tc>
        <w:tc>
          <w:tcPr>
            <w:tcW w:w="419" w:type="pct"/>
            <w:tcBorders>
              <w:top w:val="nil"/>
              <w:left w:val="nil"/>
              <w:bottom w:val="single" w:sz="8" w:space="0" w:color="B7B7E2"/>
              <w:right w:val="single" w:sz="8" w:space="0" w:color="B7B7E2"/>
            </w:tcBorders>
            <w:shd w:val="clear" w:color="auto" w:fill="auto"/>
            <w:vAlign w:val="center"/>
            <w:hideMark/>
          </w:tcPr>
          <w:p w14:paraId="05830ABF" w14:textId="5CFA90F4"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6</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0F3FF71D" w14:textId="59720A6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2D0BFE">
              <w:rPr>
                <w:rFonts w:eastAsia="Times New Roman" w:cs="Calibri"/>
                <w:color w:val="000000"/>
                <w:sz w:val="18"/>
                <w:szCs w:val="18"/>
                <w:lang w:val="en-US"/>
              </w:rPr>
              <w:t>20.8</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23F7D014" w14:textId="5400D0A5"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28</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74F6601C"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$14.2</w:t>
            </w:r>
          </w:p>
        </w:tc>
      </w:tr>
      <w:tr w:rsidR="008E693A" w:rsidRPr="00B4227A" w14:paraId="3EEE9D30"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58095F58"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Plastics</w:t>
            </w:r>
          </w:p>
        </w:tc>
        <w:tc>
          <w:tcPr>
            <w:tcW w:w="419" w:type="pct"/>
            <w:tcBorders>
              <w:top w:val="nil"/>
              <w:left w:val="nil"/>
              <w:bottom w:val="single" w:sz="8" w:space="0" w:color="B7B7E2"/>
              <w:right w:val="single" w:sz="8" w:space="0" w:color="B7B7E2"/>
            </w:tcBorders>
            <w:shd w:val="clear" w:color="auto" w:fill="auto"/>
            <w:vAlign w:val="center"/>
            <w:hideMark/>
          </w:tcPr>
          <w:p w14:paraId="7A9B8889" w14:textId="1279E729"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13</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3BD1DA3E" w14:textId="5B1E7E82"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3</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7CAE5AB4" w14:textId="0396C591"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1</w:t>
            </w:r>
            <w:r w:rsidR="00654770">
              <w:rPr>
                <w:rFonts w:eastAsia="Times New Roman" w:cs="Calibri"/>
                <w:color w:val="000000"/>
                <w:sz w:val="18"/>
                <w:szCs w:val="18"/>
                <w:lang w:val="en-US"/>
              </w:rPr>
              <w:t>0</w:t>
            </w:r>
            <w:r>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47DAB7F5" w14:textId="4F9CBC54"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25</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2CD0028E"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9,400</w:t>
            </w:r>
          </w:p>
        </w:tc>
        <w:tc>
          <w:tcPr>
            <w:tcW w:w="280" w:type="pct"/>
            <w:tcBorders>
              <w:top w:val="nil"/>
              <w:left w:val="nil"/>
              <w:bottom w:val="single" w:sz="8" w:space="0" w:color="B7B7E2"/>
              <w:right w:val="single" w:sz="8" w:space="0" w:color="B7B7E2"/>
            </w:tcBorders>
            <w:shd w:val="clear" w:color="auto" w:fill="auto"/>
            <w:vAlign w:val="center"/>
            <w:hideMark/>
          </w:tcPr>
          <w:p w14:paraId="42FEBF2D" w14:textId="0178FFF5"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2D0BFE">
              <w:rPr>
                <w:rFonts w:eastAsia="Times New Roman" w:cs="Calibri"/>
                <w:color w:val="000000"/>
                <w:sz w:val="18"/>
                <w:szCs w:val="18"/>
                <w:lang w:val="en-US"/>
              </w:rPr>
              <w:t>4.64</w:t>
            </w:r>
          </w:p>
        </w:tc>
        <w:tc>
          <w:tcPr>
            <w:tcW w:w="419" w:type="pct"/>
            <w:tcBorders>
              <w:top w:val="nil"/>
              <w:left w:val="nil"/>
              <w:bottom w:val="single" w:sz="8" w:space="0" w:color="B7B7E2"/>
              <w:right w:val="single" w:sz="8" w:space="0" w:color="B7B7E2"/>
            </w:tcBorders>
            <w:shd w:val="clear" w:color="auto" w:fill="auto"/>
            <w:vAlign w:val="center"/>
            <w:hideMark/>
          </w:tcPr>
          <w:p w14:paraId="41F90707"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w:t>
            </w:r>
          </w:p>
        </w:tc>
        <w:tc>
          <w:tcPr>
            <w:tcW w:w="279" w:type="pct"/>
            <w:tcBorders>
              <w:top w:val="nil"/>
              <w:left w:val="nil"/>
              <w:bottom w:val="single" w:sz="8" w:space="0" w:color="B7B7E2"/>
              <w:right w:val="single" w:sz="8" w:space="0" w:color="B7B7E2"/>
            </w:tcBorders>
            <w:shd w:val="clear" w:color="auto" w:fill="auto"/>
            <w:vAlign w:val="center"/>
            <w:hideMark/>
          </w:tcPr>
          <w:p w14:paraId="098F5DAE" w14:textId="4864A45A"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2D0BFE">
              <w:rPr>
                <w:rFonts w:eastAsia="Times New Roman" w:cs="Calibri"/>
                <w:color w:val="000000"/>
                <w:sz w:val="18"/>
                <w:szCs w:val="18"/>
                <w:lang w:val="en-US"/>
              </w:rPr>
              <w:t>3.75</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5C099049" w14:textId="4BEA4967"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2D0BFE">
              <w:rPr>
                <w:rFonts w:eastAsia="Times New Roman" w:cs="Calibri"/>
                <w:color w:val="000000"/>
                <w:sz w:val="18"/>
                <w:szCs w:val="18"/>
                <w:lang w:val="en-US"/>
              </w:rPr>
              <w:t>4</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75F12392"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$2.59</w:t>
            </w:r>
          </w:p>
        </w:tc>
      </w:tr>
      <w:tr w:rsidR="008E693A" w:rsidRPr="00B4227A" w14:paraId="0CE2E072"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63110BBC"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Textiles</w:t>
            </w:r>
          </w:p>
        </w:tc>
        <w:tc>
          <w:tcPr>
            <w:tcW w:w="419" w:type="pct"/>
            <w:tcBorders>
              <w:top w:val="nil"/>
              <w:left w:val="nil"/>
              <w:bottom w:val="single" w:sz="8" w:space="0" w:color="B7B7E2"/>
              <w:right w:val="single" w:sz="8" w:space="0" w:color="B7B7E2"/>
            </w:tcBorders>
            <w:shd w:val="clear" w:color="auto" w:fill="auto"/>
            <w:vAlign w:val="center"/>
            <w:hideMark/>
          </w:tcPr>
          <w:p w14:paraId="1FFC0836" w14:textId="45385906"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10</w:t>
            </w:r>
            <w:r w:rsidR="00FB7324">
              <w:rPr>
                <w:rFonts w:eastAsia="Times New Roman" w:cs="Calibri"/>
                <w:color w:val="000000"/>
                <w:sz w:val="18"/>
                <w:szCs w:val="18"/>
                <w:lang w:val="en-US"/>
              </w:rPr>
              <w:t>,</w:t>
            </w:r>
            <w:r>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22D3BC16" w14:textId="39853B8A"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2FE361DF" w14:textId="176950DE"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8</w:t>
            </w:r>
            <w:r w:rsidR="00FB7324">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412E8599" w14:textId="7E5B2F60"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29</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30C81367"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7,800</w:t>
            </w:r>
          </w:p>
        </w:tc>
        <w:tc>
          <w:tcPr>
            <w:tcW w:w="280" w:type="pct"/>
            <w:tcBorders>
              <w:top w:val="nil"/>
              <w:left w:val="nil"/>
              <w:bottom w:val="single" w:sz="8" w:space="0" w:color="B7B7E2"/>
              <w:right w:val="single" w:sz="8" w:space="0" w:color="B7B7E2"/>
            </w:tcBorders>
            <w:shd w:val="clear" w:color="auto" w:fill="auto"/>
            <w:vAlign w:val="center"/>
            <w:hideMark/>
          </w:tcPr>
          <w:p w14:paraId="069D2193" w14:textId="1E8E7C2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2D0BFE">
              <w:rPr>
                <w:rFonts w:eastAsia="Times New Roman" w:cs="Calibri"/>
                <w:color w:val="000000"/>
                <w:sz w:val="18"/>
                <w:szCs w:val="18"/>
                <w:lang w:val="en-US"/>
              </w:rPr>
              <w:t>8.14</w:t>
            </w:r>
          </w:p>
        </w:tc>
        <w:tc>
          <w:tcPr>
            <w:tcW w:w="419" w:type="pct"/>
            <w:tcBorders>
              <w:top w:val="nil"/>
              <w:left w:val="nil"/>
              <w:bottom w:val="single" w:sz="8" w:space="0" w:color="B7B7E2"/>
              <w:right w:val="single" w:sz="8" w:space="0" w:color="B7B7E2"/>
            </w:tcBorders>
            <w:shd w:val="clear" w:color="auto" w:fill="auto"/>
            <w:vAlign w:val="center"/>
            <w:hideMark/>
          </w:tcPr>
          <w:p w14:paraId="551DBEFF" w14:textId="428A6350"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2</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7135181F" w14:textId="100812E0"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2D0BFE">
              <w:rPr>
                <w:rFonts w:eastAsia="Times New Roman" w:cs="Calibri"/>
                <w:color w:val="000000"/>
                <w:sz w:val="18"/>
                <w:szCs w:val="18"/>
                <w:lang w:val="en-US"/>
              </w:rPr>
              <w:t>6.64</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1CEB5526" w14:textId="05FF4D3F"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23</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0B2E5E43"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$6.30</w:t>
            </w:r>
          </w:p>
        </w:tc>
      </w:tr>
      <w:tr w:rsidR="008E693A" w:rsidRPr="00B4227A" w14:paraId="3454A5ED"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76C9406A"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Tyres</w:t>
            </w:r>
          </w:p>
        </w:tc>
        <w:tc>
          <w:tcPr>
            <w:tcW w:w="419" w:type="pct"/>
            <w:tcBorders>
              <w:top w:val="nil"/>
              <w:left w:val="nil"/>
              <w:bottom w:val="single" w:sz="8" w:space="0" w:color="B7B7E2"/>
              <w:right w:val="single" w:sz="8" w:space="0" w:color="B7B7E2"/>
            </w:tcBorders>
            <w:shd w:val="clear" w:color="auto" w:fill="auto"/>
            <w:vAlign w:val="center"/>
            <w:hideMark/>
          </w:tcPr>
          <w:p w14:paraId="21B91BE5" w14:textId="557DE536"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13</w:t>
            </w:r>
            <w:r w:rsidR="007B5A1D">
              <w:rPr>
                <w:rFonts w:eastAsia="Times New Roman" w:cs="Calibri"/>
                <w:color w:val="000000"/>
                <w:sz w:val="18"/>
                <w:szCs w:val="18"/>
                <w:lang w:val="en-US"/>
              </w:rPr>
              <w:t>,</w:t>
            </w:r>
            <w:r>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556FDD8F" w14:textId="49F5CC57"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3</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3F9387B9" w14:textId="0C29AA6F"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8</w:t>
            </w:r>
            <w:r w:rsidR="007B5A1D">
              <w:rPr>
                <w:rFonts w:eastAsia="Times New Roman" w:cs="Calibri"/>
                <w:color w:val="000000"/>
                <w:sz w:val="18"/>
                <w:szCs w:val="18"/>
                <w:lang w:val="en-US"/>
              </w:rPr>
              <w:t>,</w:t>
            </w:r>
            <w:r w:rsidR="00654770">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19CA96B5" w14:textId="38ACBF3B"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65</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0C0450B5"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7,100</w:t>
            </w:r>
          </w:p>
        </w:tc>
        <w:tc>
          <w:tcPr>
            <w:tcW w:w="280" w:type="pct"/>
            <w:tcBorders>
              <w:top w:val="nil"/>
              <w:left w:val="nil"/>
              <w:bottom w:val="single" w:sz="8" w:space="0" w:color="B7B7E2"/>
              <w:right w:val="single" w:sz="8" w:space="0" w:color="B7B7E2"/>
            </w:tcBorders>
            <w:shd w:val="clear" w:color="auto" w:fill="auto"/>
            <w:vAlign w:val="center"/>
            <w:hideMark/>
          </w:tcPr>
          <w:p w14:paraId="1C98F703" w14:textId="262FDE7D"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2D0BFE">
              <w:rPr>
                <w:rFonts w:eastAsia="Times New Roman" w:cs="Calibri"/>
                <w:color w:val="000000"/>
                <w:sz w:val="18"/>
                <w:szCs w:val="18"/>
                <w:lang w:val="en-US"/>
              </w:rPr>
              <w:t>1.84</w:t>
            </w:r>
          </w:p>
        </w:tc>
        <w:tc>
          <w:tcPr>
            <w:tcW w:w="419" w:type="pct"/>
            <w:tcBorders>
              <w:top w:val="nil"/>
              <w:left w:val="nil"/>
              <w:bottom w:val="single" w:sz="8" w:space="0" w:color="B7B7E2"/>
              <w:right w:val="single" w:sz="8" w:space="0" w:color="B7B7E2"/>
            </w:tcBorders>
            <w:shd w:val="clear" w:color="auto" w:fill="auto"/>
            <w:vAlign w:val="center"/>
            <w:hideMark/>
          </w:tcPr>
          <w:p w14:paraId="3348FDF7" w14:textId="40795BCF" w:rsidR="008E693A" w:rsidRPr="00B4227A" w:rsidRDefault="00AA0067" w:rsidP="006E12AB">
            <w:pPr>
              <w:jc w:val="right"/>
              <w:rPr>
                <w:rFonts w:eastAsia="Times New Roman" w:cs="Calibri"/>
                <w:color w:val="000000"/>
                <w:sz w:val="18"/>
                <w:szCs w:val="18"/>
                <w:lang w:val="en-US"/>
              </w:rPr>
            </w:pPr>
            <w:r>
              <w:rPr>
                <w:rFonts w:eastAsia="Times New Roman" w:cs="Calibri"/>
                <w:color w:val="000000"/>
                <w:sz w:val="18"/>
                <w:szCs w:val="18"/>
                <w:lang w:val="en-US"/>
              </w:rPr>
              <w:t>&lt;</w:t>
            </w:r>
            <w:r w:rsidR="008E693A">
              <w:rPr>
                <w:rFonts w:eastAsia="Times New Roman" w:cs="Calibri"/>
                <w:color w:val="000000"/>
                <w:sz w:val="18"/>
                <w:szCs w:val="18"/>
                <w:lang w:val="en-US"/>
              </w:rPr>
              <w:t>1</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1243B856" w14:textId="58E813F2"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2D0BFE">
              <w:rPr>
                <w:rFonts w:eastAsia="Times New Roman" w:cs="Calibri"/>
                <w:color w:val="000000"/>
                <w:sz w:val="18"/>
                <w:szCs w:val="18"/>
                <w:lang w:val="en-US"/>
              </w:rPr>
              <w:t>1.63</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4B037948" w14:textId="62D09430"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13</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5F50A847"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$1.47</w:t>
            </w:r>
          </w:p>
        </w:tc>
      </w:tr>
      <w:tr w:rsidR="008E693A" w:rsidRPr="00B4227A" w14:paraId="4C1C9E18"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2E6E51C9" w14:textId="77777777" w:rsidR="008E693A" w:rsidRPr="00B4227A" w:rsidRDefault="008E693A" w:rsidP="006E12AB">
            <w:pPr>
              <w:rPr>
                <w:rFonts w:eastAsia="Times New Roman" w:cs="Calibri"/>
                <w:color w:val="000000"/>
                <w:sz w:val="18"/>
                <w:szCs w:val="18"/>
                <w:lang w:val="en-US"/>
              </w:rPr>
            </w:pPr>
            <w:r w:rsidRPr="00B4227A">
              <w:rPr>
                <w:rFonts w:eastAsia="Times New Roman" w:cs="Calibri"/>
                <w:color w:val="000000"/>
                <w:sz w:val="18"/>
                <w:szCs w:val="18"/>
                <w:lang w:val="en-US"/>
              </w:rPr>
              <w:t>Other</w:t>
            </w:r>
          </w:p>
        </w:tc>
        <w:tc>
          <w:tcPr>
            <w:tcW w:w="419" w:type="pct"/>
            <w:tcBorders>
              <w:top w:val="nil"/>
              <w:left w:val="nil"/>
              <w:bottom w:val="single" w:sz="8" w:space="0" w:color="B7B7E2"/>
              <w:right w:val="single" w:sz="8" w:space="0" w:color="B7B7E2"/>
            </w:tcBorders>
            <w:shd w:val="clear" w:color="auto" w:fill="auto"/>
            <w:vAlign w:val="center"/>
            <w:hideMark/>
          </w:tcPr>
          <w:p w14:paraId="594459F2" w14:textId="339C76D1"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58</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tcBorders>
              <w:top w:val="nil"/>
              <w:left w:val="nil"/>
              <w:bottom w:val="single" w:sz="8" w:space="0" w:color="B7B7E2"/>
              <w:right w:val="single" w:sz="8" w:space="0" w:color="B7B7E2"/>
            </w:tcBorders>
            <w:shd w:val="clear" w:color="auto" w:fill="auto"/>
            <w:vAlign w:val="center"/>
            <w:hideMark/>
          </w:tcPr>
          <w:p w14:paraId="2E3B6F28" w14:textId="08606F22" w:rsidR="008E693A" w:rsidRPr="00B4227A" w:rsidRDefault="007B5A1D" w:rsidP="006E12AB">
            <w:pPr>
              <w:jc w:val="right"/>
              <w:rPr>
                <w:rFonts w:eastAsia="Times New Roman" w:cs="Calibri"/>
                <w:color w:val="000000"/>
                <w:sz w:val="18"/>
                <w:szCs w:val="18"/>
                <w:lang w:val="en-US"/>
              </w:rPr>
            </w:pPr>
            <w:r>
              <w:rPr>
                <w:rFonts w:eastAsia="Times New Roman" w:cs="Calibri"/>
                <w:color w:val="000000"/>
                <w:sz w:val="18"/>
                <w:szCs w:val="18"/>
                <w:lang w:val="en-US"/>
              </w:rPr>
              <w:t>1</w:t>
            </w:r>
            <w:r w:rsidR="002D0BFE">
              <w:rPr>
                <w:rFonts w:eastAsia="Times New Roman" w:cs="Calibri"/>
                <w:color w:val="000000"/>
                <w:sz w:val="18"/>
                <w:szCs w:val="18"/>
                <w:lang w:val="en-US"/>
              </w:rPr>
              <w:t>1</w:t>
            </w:r>
            <w:r w:rsidR="008E693A" w:rsidRPr="00B4227A">
              <w:rPr>
                <w:rFonts w:eastAsia="Times New Roman" w:cs="Calibri"/>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39242DFE" w14:textId="7BCAA1F0"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31</w:t>
            </w:r>
            <w:r w:rsidR="008E693A" w:rsidRPr="00B4227A">
              <w:rPr>
                <w:rFonts w:eastAsia="Times New Roman" w:cs="Calibri"/>
                <w:color w:val="000000"/>
                <w:sz w:val="18"/>
                <w:szCs w:val="18"/>
                <w:lang w:val="en-US"/>
              </w:rPr>
              <w:t>,</w:t>
            </w:r>
            <w:r w:rsidR="008E693A">
              <w:rPr>
                <w:rFonts w:eastAsia="Times New Roman" w:cs="Calibri"/>
                <w:color w:val="000000"/>
                <w:sz w:val="18"/>
                <w:szCs w:val="18"/>
                <w:lang w:val="en-US"/>
              </w:rPr>
              <w:t>0</w:t>
            </w:r>
            <w:r w:rsidR="008E693A" w:rsidRPr="00B4227A">
              <w:rPr>
                <w:rFonts w:eastAsia="Times New Roman" w:cs="Calibri"/>
                <w:color w:val="000000"/>
                <w:sz w:val="18"/>
                <w:szCs w:val="18"/>
                <w:lang w:val="en-US"/>
              </w:rPr>
              <w:t>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3C0548A8" w14:textId="0C4F3CAD"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87</w:t>
            </w:r>
            <w:r w:rsidR="008E693A" w:rsidRPr="00B4227A">
              <w:rPr>
                <w:rFonts w:eastAsia="Times New Roman" w:cs="Calibri"/>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31C137A3"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2</w:t>
            </w:r>
            <w:r>
              <w:rPr>
                <w:rFonts w:eastAsia="Times New Roman" w:cs="Calibri"/>
                <w:color w:val="000000"/>
                <w:sz w:val="18"/>
                <w:szCs w:val="18"/>
                <w:lang w:val="en-US"/>
              </w:rPr>
              <w:t>4</w:t>
            </w:r>
            <w:r w:rsidRPr="00B4227A">
              <w:rPr>
                <w:rFonts w:eastAsia="Times New Roman" w:cs="Calibri"/>
                <w:color w:val="000000"/>
                <w:sz w:val="18"/>
                <w:szCs w:val="18"/>
                <w:lang w:val="en-US"/>
              </w:rPr>
              <w:t>,</w:t>
            </w:r>
            <w:r>
              <w:rPr>
                <w:rFonts w:eastAsia="Times New Roman" w:cs="Calibri"/>
                <w:color w:val="000000"/>
                <w:sz w:val="18"/>
                <w:szCs w:val="18"/>
                <w:lang w:val="en-US"/>
              </w:rPr>
              <w:t>0</w:t>
            </w:r>
            <w:r w:rsidRPr="00B4227A">
              <w:rPr>
                <w:rFonts w:eastAsia="Times New Roman" w:cs="Calibri"/>
                <w:color w:val="000000"/>
                <w:sz w:val="18"/>
                <w:szCs w:val="18"/>
                <w:lang w:val="en-US"/>
              </w:rPr>
              <w:t>00</w:t>
            </w:r>
          </w:p>
        </w:tc>
        <w:tc>
          <w:tcPr>
            <w:tcW w:w="280" w:type="pct"/>
            <w:tcBorders>
              <w:top w:val="nil"/>
              <w:left w:val="nil"/>
              <w:bottom w:val="single" w:sz="8" w:space="0" w:color="B7B7E2"/>
              <w:right w:val="single" w:sz="8" w:space="0" w:color="B7B7E2"/>
            </w:tcBorders>
            <w:shd w:val="clear" w:color="auto" w:fill="auto"/>
            <w:vAlign w:val="center"/>
            <w:hideMark/>
          </w:tcPr>
          <w:p w14:paraId="5C80438D" w14:textId="5BBF6F4D"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2D0BFE">
              <w:rPr>
                <w:rFonts w:eastAsia="Times New Roman" w:cs="Calibri"/>
                <w:color w:val="000000"/>
                <w:sz w:val="18"/>
                <w:szCs w:val="18"/>
                <w:lang w:val="en-US"/>
              </w:rPr>
              <w:t>28.7</w:t>
            </w:r>
          </w:p>
        </w:tc>
        <w:tc>
          <w:tcPr>
            <w:tcW w:w="419" w:type="pct"/>
            <w:tcBorders>
              <w:top w:val="nil"/>
              <w:left w:val="nil"/>
              <w:bottom w:val="single" w:sz="8" w:space="0" w:color="B7B7E2"/>
              <w:right w:val="single" w:sz="8" w:space="0" w:color="B7B7E2"/>
            </w:tcBorders>
            <w:shd w:val="clear" w:color="auto" w:fill="auto"/>
            <w:vAlign w:val="center"/>
            <w:hideMark/>
          </w:tcPr>
          <w:p w14:paraId="3FAC622C" w14:textId="0573FA56" w:rsidR="008E693A" w:rsidRPr="00B4227A" w:rsidRDefault="00654770" w:rsidP="006E12AB">
            <w:pPr>
              <w:jc w:val="right"/>
              <w:rPr>
                <w:rFonts w:eastAsia="Times New Roman" w:cs="Calibri"/>
                <w:color w:val="000000"/>
                <w:sz w:val="18"/>
                <w:szCs w:val="18"/>
                <w:lang w:val="en-US"/>
              </w:rPr>
            </w:pPr>
            <w:r>
              <w:rPr>
                <w:rFonts w:eastAsia="Times New Roman" w:cs="Calibri"/>
                <w:color w:val="000000"/>
                <w:sz w:val="18"/>
                <w:szCs w:val="18"/>
                <w:lang w:val="en-US"/>
              </w:rPr>
              <w:t>7</w:t>
            </w:r>
            <w:r w:rsidR="008E693A" w:rsidRPr="00B4227A">
              <w:rPr>
                <w:rFonts w:eastAsia="Times New Roman" w:cs="Calibri"/>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533F05AE" w14:textId="54576959"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w:t>
            </w:r>
            <w:r w:rsidR="002D0BFE">
              <w:rPr>
                <w:rFonts w:eastAsia="Times New Roman" w:cs="Calibri"/>
                <w:color w:val="000000"/>
                <w:sz w:val="18"/>
                <w:szCs w:val="18"/>
                <w:lang w:val="en-US"/>
              </w:rPr>
              <w:t>18.4</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33C9B9EE" w14:textId="182BA0C1" w:rsidR="008E693A" w:rsidRPr="00B4227A" w:rsidRDefault="002D0BFE" w:rsidP="006E12AB">
            <w:pPr>
              <w:jc w:val="right"/>
              <w:rPr>
                <w:rFonts w:eastAsia="Times New Roman" w:cs="Calibri"/>
                <w:color w:val="000000"/>
                <w:sz w:val="18"/>
                <w:szCs w:val="18"/>
                <w:lang w:val="en-US"/>
              </w:rPr>
            </w:pPr>
            <w:r>
              <w:rPr>
                <w:rFonts w:eastAsia="Times New Roman" w:cs="Calibri"/>
                <w:color w:val="000000"/>
                <w:sz w:val="18"/>
                <w:szCs w:val="18"/>
                <w:lang w:val="en-US"/>
              </w:rPr>
              <w:t>56</w:t>
            </w:r>
            <w:r w:rsidR="008E693A" w:rsidRPr="00B4227A">
              <w:rPr>
                <w:rFonts w:eastAsia="Times New Roman" w:cs="Calibri"/>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5CEEB182" w14:textId="77777777" w:rsidR="008E693A" w:rsidRPr="00B4227A" w:rsidRDefault="008E693A" w:rsidP="006E12AB">
            <w:pPr>
              <w:jc w:val="right"/>
              <w:rPr>
                <w:rFonts w:eastAsia="Times New Roman" w:cs="Calibri"/>
                <w:color w:val="000000"/>
                <w:sz w:val="18"/>
                <w:szCs w:val="18"/>
                <w:lang w:val="en-US"/>
              </w:rPr>
            </w:pPr>
            <w:r w:rsidRPr="00B4227A">
              <w:rPr>
                <w:rFonts w:eastAsia="Times New Roman" w:cs="Calibri"/>
                <w:color w:val="000000"/>
                <w:sz w:val="18"/>
                <w:szCs w:val="18"/>
                <w:lang w:val="en-US"/>
              </w:rPr>
              <w:t>$12.9</w:t>
            </w:r>
          </w:p>
        </w:tc>
      </w:tr>
      <w:tr w:rsidR="008E693A" w:rsidRPr="00B4227A" w14:paraId="61634C8A" w14:textId="77777777" w:rsidTr="006E12AB">
        <w:trPr>
          <w:trHeight w:val="227"/>
        </w:trPr>
        <w:tc>
          <w:tcPr>
            <w:tcW w:w="908" w:type="pct"/>
            <w:tcBorders>
              <w:top w:val="nil"/>
              <w:left w:val="single" w:sz="8" w:space="0" w:color="B7B7E2"/>
              <w:bottom w:val="single" w:sz="8" w:space="0" w:color="B7B7E2"/>
              <w:right w:val="single" w:sz="8" w:space="0" w:color="B7B7E2"/>
            </w:tcBorders>
            <w:shd w:val="clear" w:color="auto" w:fill="auto"/>
            <w:vAlign w:val="center"/>
            <w:hideMark/>
          </w:tcPr>
          <w:p w14:paraId="00E9DEB5" w14:textId="77777777" w:rsidR="008E693A" w:rsidRPr="00B4227A" w:rsidRDefault="008E693A" w:rsidP="006E12AB">
            <w:pPr>
              <w:rPr>
                <w:rFonts w:eastAsia="Times New Roman" w:cs="Calibri"/>
                <w:b/>
                <w:bCs/>
                <w:color w:val="000000"/>
                <w:sz w:val="18"/>
                <w:szCs w:val="18"/>
                <w:lang w:val="en-US"/>
              </w:rPr>
            </w:pPr>
            <w:r w:rsidRPr="00B4227A">
              <w:rPr>
                <w:rFonts w:eastAsia="Times New Roman" w:cs="Calibri"/>
                <w:b/>
                <w:bCs/>
                <w:color w:val="000000"/>
                <w:sz w:val="18"/>
                <w:szCs w:val="18"/>
                <w:lang w:val="en-US"/>
              </w:rPr>
              <w:t>Total</w:t>
            </w:r>
          </w:p>
        </w:tc>
        <w:tc>
          <w:tcPr>
            <w:tcW w:w="419" w:type="pct"/>
            <w:tcBorders>
              <w:top w:val="nil"/>
              <w:left w:val="nil"/>
              <w:bottom w:val="single" w:sz="8" w:space="0" w:color="B7B7E2"/>
              <w:right w:val="single" w:sz="8" w:space="0" w:color="B7B7E2"/>
            </w:tcBorders>
            <w:shd w:val="clear" w:color="auto" w:fill="auto"/>
            <w:vAlign w:val="center"/>
            <w:hideMark/>
          </w:tcPr>
          <w:p w14:paraId="27116D05" w14:textId="011C5503" w:rsidR="008E693A" w:rsidRPr="00B4227A" w:rsidRDefault="002D0BFE" w:rsidP="006E12AB">
            <w:pPr>
              <w:jc w:val="right"/>
              <w:rPr>
                <w:rFonts w:eastAsia="Times New Roman" w:cs="Calibri"/>
                <w:b/>
                <w:bCs/>
                <w:color w:val="000000"/>
                <w:sz w:val="18"/>
                <w:szCs w:val="18"/>
                <w:lang w:val="en-US"/>
              </w:rPr>
            </w:pPr>
            <w:r>
              <w:rPr>
                <w:rFonts w:eastAsia="Times New Roman" w:cs="Calibri"/>
                <w:b/>
                <w:bCs/>
                <w:color w:val="000000"/>
                <w:sz w:val="18"/>
                <w:szCs w:val="18"/>
                <w:lang w:val="en-US"/>
              </w:rPr>
              <w:t>510</w:t>
            </w:r>
            <w:r w:rsidR="008E693A" w:rsidRPr="00B4227A">
              <w:rPr>
                <w:rFonts w:eastAsia="Times New Roman" w:cs="Calibri"/>
                <w:b/>
                <w:bCs/>
                <w:color w:val="000000"/>
                <w:sz w:val="18"/>
                <w:szCs w:val="18"/>
                <w:lang w:val="en-US"/>
              </w:rPr>
              <w:t>,000</w:t>
            </w:r>
          </w:p>
        </w:tc>
        <w:tc>
          <w:tcPr>
            <w:tcW w:w="420" w:type="pct"/>
            <w:tcBorders>
              <w:top w:val="nil"/>
              <w:left w:val="nil"/>
              <w:bottom w:val="single" w:sz="8" w:space="0" w:color="B7B7E2"/>
              <w:right w:val="single" w:sz="8" w:space="0" w:color="B7B7E2"/>
            </w:tcBorders>
            <w:shd w:val="clear" w:color="auto" w:fill="auto"/>
            <w:vAlign w:val="center"/>
            <w:hideMark/>
          </w:tcPr>
          <w:p w14:paraId="6290132F" w14:textId="77777777"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w:t>
            </w:r>
          </w:p>
        </w:tc>
        <w:tc>
          <w:tcPr>
            <w:tcW w:w="350" w:type="pct"/>
            <w:tcBorders>
              <w:top w:val="nil"/>
              <w:left w:val="nil"/>
              <w:bottom w:val="single" w:sz="8" w:space="0" w:color="B7B7E2"/>
              <w:right w:val="single" w:sz="8" w:space="0" w:color="B7B7E2"/>
            </w:tcBorders>
            <w:shd w:val="clear" w:color="auto" w:fill="auto"/>
            <w:vAlign w:val="center"/>
            <w:hideMark/>
          </w:tcPr>
          <w:p w14:paraId="4C3CEA85" w14:textId="6FFDA8AA" w:rsidR="008E693A" w:rsidRPr="00B4227A" w:rsidRDefault="002D0BFE" w:rsidP="006E12AB">
            <w:pPr>
              <w:jc w:val="right"/>
              <w:rPr>
                <w:rFonts w:eastAsia="Times New Roman" w:cs="Calibri"/>
                <w:b/>
                <w:bCs/>
                <w:color w:val="000000"/>
                <w:sz w:val="18"/>
                <w:szCs w:val="18"/>
                <w:lang w:val="en-US"/>
              </w:rPr>
            </w:pPr>
            <w:r>
              <w:rPr>
                <w:rFonts w:eastAsia="Times New Roman" w:cs="Calibri"/>
                <w:b/>
                <w:bCs/>
                <w:color w:val="000000"/>
                <w:sz w:val="18"/>
                <w:szCs w:val="18"/>
                <w:lang w:val="en-US"/>
              </w:rPr>
              <w:t>343</w:t>
            </w:r>
            <w:r w:rsidR="008E693A" w:rsidRPr="00B4227A">
              <w:rPr>
                <w:rFonts w:eastAsia="Times New Roman" w:cs="Calibri"/>
                <w:b/>
                <w:bCs/>
                <w:color w:val="000000"/>
                <w:sz w:val="18"/>
                <w:szCs w:val="18"/>
                <w:lang w:val="en-US"/>
              </w:rPr>
              <w:t>,000</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57FDDCD0" w14:textId="6E4287E9" w:rsidR="008E693A" w:rsidRPr="00B4227A" w:rsidRDefault="002D0BFE" w:rsidP="006E12AB">
            <w:pPr>
              <w:jc w:val="right"/>
              <w:rPr>
                <w:rFonts w:eastAsia="Times New Roman" w:cs="Calibri"/>
                <w:b/>
                <w:bCs/>
                <w:color w:val="000000"/>
                <w:sz w:val="18"/>
                <w:szCs w:val="18"/>
                <w:lang w:val="en-US"/>
              </w:rPr>
            </w:pPr>
            <w:r>
              <w:rPr>
                <w:rFonts w:eastAsia="Times New Roman" w:cs="Calibri"/>
                <w:b/>
                <w:bCs/>
                <w:color w:val="000000"/>
                <w:sz w:val="18"/>
                <w:szCs w:val="18"/>
                <w:lang w:val="en-US"/>
              </w:rPr>
              <w:t>49</w:t>
            </w:r>
            <w:r w:rsidR="008E693A" w:rsidRPr="00B4227A">
              <w:rPr>
                <w:rFonts w:eastAsia="Times New Roman" w:cs="Calibri"/>
                <w:b/>
                <w:bCs/>
                <w:color w:val="000000"/>
                <w:sz w:val="18"/>
                <w:szCs w:val="18"/>
                <w:lang w:val="en-US"/>
              </w:rPr>
              <w:t>%</w:t>
            </w:r>
          </w:p>
        </w:tc>
        <w:tc>
          <w:tcPr>
            <w:tcW w:w="559" w:type="pct"/>
            <w:tcBorders>
              <w:top w:val="nil"/>
              <w:left w:val="nil"/>
              <w:bottom w:val="single" w:sz="8" w:space="0" w:color="B7B7E2"/>
              <w:right w:val="single" w:sz="8" w:space="0" w:color="B7B7E2"/>
            </w:tcBorders>
            <w:shd w:val="clear" w:color="auto" w:fill="auto"/>
            <w:vAlign w:val="center"/>
            <w:hideMark/>
          </w:tcPr>
          <w:p w14:paraId="410CF200" w14:textId="77777777"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354,000</w:t>
            </w:r>
          </w:p>
        </w:tc>
        <w:tc>
          <w:tcPr>
            <w:tcW w:w="280" w:type="pct"/>
            <w:tcBorders>
              <w:top w:val="nil"/>
              <w:left w:val="nil"/>
              <w:bottom w:val="single" w:sz="8" w:space="0" w:color="B7B7E2"/>
              <w:right w:val="single" w:sz="8" w:space="0" w:color="B7B7E2"/>
            </w:tcBorders>
            <w:shd w:val="clear" w:color="auto" w:fill="auto"/>
            <w:vAlign w:val="center"/>
            <w:hideMark/>
          </w:tcPr>
          <w:p w14:paraId="28ACCD0F" w14:textId="126795BD" w:rsidR="008E693A" w:rsidRPr="00E104D0" w:rsidRDefault="008E693A" w:rsidP="006E12AB">
            <w:pPr>
              <w:jc w:val="right"/>
              <w:rPr>
                <w:rFonts w:eastAsia="Times New Roman" w:cs="Calibri"/>
                <w:b/>
                <w:bCs/>
                <w:color w:val="000000"/>
                <w:sz w:val="18"/>
                <w:szCs w:val="18"/>
                <w:lang w:val="en-US"/>
              </w:rPr>
            </w:pPr>
            <w:r w:rsidRPr="00E104D0">
              <w:rPr>
                <w:rFonts w:eastAsia="Times New Roman" w:cs="Calibri"/>
                <w:b/>
                <w:bCs/>
                <w:color w:val="000000"/>
                <w:sz w:val="18"/>
                <w:szCs w:val="18"/>
                <w:lang w:val="en-US"/>
              </w:rPr>
              <w:t>$</w:t>
            </w:r>
            <w:r w:rsidR="002D0BFE">
              <w:rPr>
                <w:rFonts w:eastAsia="Times New Roman" w:cs="Calibri"/>
                <w:b/>
                <w:bCs/>
                <w:color w:val="000000"/>
                <w:sz w:val="18"/>
                <w:szCs w:val="18"/>
                <w:lang w:val="en-US"/>
              </w:rPr>
              <w:t>420</w:t>
            </w:r>
          </w:p>
        </w:tc>
        <w:tc>
          <w:tcPr>
            <w:tcW w:w="419" w:type="pct"/>
            <w:tcBorders>
              <w:top w:val="nil"/>
              <w:left w:val="nil"/>
              <w:bottom w:val="single" w:sz="8" w:space="0" w:color="B7B7E2"/>
              <w:right w:val="single" w:sz="8" w:space="0" w:color="B7B7E2"/>
            </w:tcBorders>
            <w:shd w:val="clear" w:color="auto" w:fill="auto"/>
            <w:vAlign w:val="center"/>
            <w:hideMark/>
          </w:tcPr>
          <w:p w14:paraId="084370E0" w14:textId="77777777"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w:t>
            </w:r>
          </w:p>
        </w:tc>
        <w:tc>
          <w:tcPr>
            <w:tcW w:w="279" w:type="pct"/>
            <w:tcBorders>
              <w:top w:val="nil"/>
              <w:left w:val="nil"/>
              <w:bottom w:val="single" w:sz="8" w:space="0" w:color="B7B7E2"/>
              <w:right w:val="single" w:sz="8" w:space="0" w:color="B7B7E2"/>
            </w:tcBorders>
            <w:shd w:val="clear" w:color="auto" w:fill="auto"/>
            <w:vAlign w:val="center"/>
            <w:hideMark/>
          </w:tcPr>
          <w:p w14:paraId="1E4DEC3D" w14:textId="587A4DCD"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w:t>
            </w:r>
            <w:r w:rsidR="002D0BFE">
              <w:rPr>
                <w:rFonts w:eastAsia="Times New Roman" w:cs="Calibri"/>
                <w:b/>
                <w:bCs/>
                <w:color w:val="000000"/>
                <w:sz w:val="18"/>
                <w:szCs w:val="18"/>
                <w:lang w:val="en-US"/>
              </w:rPr>
              <w:t>316</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2E6C8FBE" w14:textId="4AF2A89F" w:rsidR="008E693A" w:rsidRPr="00B4227A" w:rsidRDefault="002D0BFE" w:rsidP="006E12AB">
            <w:pPr>
              <w:jc w:val="right"/>
              <w:rPr>
                <w:rFonts w:eastAsia="Times New Roman" w:cs="Calibri"/>
                <w:b/>
                <w:bCs/>
                <w:color w:val="000000"/>
                <w:sz w:val="18"/>
                <w:szCs w:val="18"/>
                <w:lang w:val="en-US"/>
              </w:rPr>
            </w:pPr>
            <w:r>
              <w:rPr>
                <w:rFonts w:eastAsia="Times New Roman" w:cs="Calibri"/>
                <w:b/>
                <w:bCs/>
                <w:color w:val="000000"/>
                <w:sz w:val="18"/>
                <w:szCs w:val="18"/>
                <w:lang w:val="en-US"/>
              </w:rPr>
              <w:t>33</w:t>
            </w:r>
            <w:r w:rsidR="008E693A" w:rsidRPr="00B4227A">
              <w:rPr>
                <w:rFonts w:eastAsia="Times New Roman" w:cs="Calibri"/>
                <w:b/>
                <w:bCs/>
                <w:color w:val="000000"/>
                <w:sz w:val="18"/>
                <w:szCs w:val="18"/>
                <w:lang w:val="en-US"/>
              </w:rPr>
              <w:t>%</w:t>
            </w:r>
          </w:p>
        </w:tc>
        <w:tc>
          <w:tcPr>
            <w:tcW w:w="526" w:type="pct"/>
            <w:tcBorders>
              <w:top w:val="nil"/>
              <w:left w:val="nil"/>
              <w:bottom w:val="single" w:sz="8" w:space="0" w:color="B7B7E2"/>
              <w:right w:val="single" w:sz="8" w:space="0" w:color="B7B7E2"/>
            </w:tcBorders>
            <w:shd w:val="clear" w:color="auto" w:fill="auto"/>
            <w:vAlign w:val="center"/>
            <w:hideMark/>
          </w:tcPr>
          <w:p w14:paraId="15D32C9D" w14:textId="77777777" w:rsidR="008E693A" w:rsidRPr="00B4227A" w:rsidRDefault="008E693A" w:rsidP="006E12AB">
            <w:pPr>
              <w:jc w:val="right"/>
              <w:rPr>
                <w:rFonts w:eastAsia="Times New Roman" w:cs="Calibri"/>
                <w:b/>
                <w:bCs/>
                <w:color w:val="000000"/>
                <w:sz w:val="18"/>
                <w:szCs w:val="18"/>
                <w:lang w:val="en-US"/>
              </w:rPr>
            </w:pPr>
            <w:r w:rsidRPr="00B4227A">
              <w:rPr>
                <w:rFonts w:eastAsia="Times New Roman" w:cs="Calibri"/>
                <w:b/>
                <w:bCs/>
                <w:color w:val="000000"/>
                <w:sz w:val="18"/>
                <w:szCs w:val="18"/>
                <w:lang w:val="en-US"/>
              </w:rPr>
              <w:t>$23</w:t>
            </w:r>
            <w:r>
              <w:rPr>
                <w:rFonts w:eastAsia="Times New Roman" w:cs="Calibri"/>
                <w:b/>
                <w:bCs/>
                <w:color w:val="000000"/>
                <w:sz w:val="18"/>
                <w:szCs w:val="18"/>
                <w:lang w:val="en-US"/>
              </w:rPr>
              <w:t>8</w:t>
            </w:r>
          </w:p>
        </w:tc>
      </w:tr>
    </w:tbl>
    <w:p w14:paraId="06585164" w14:textId="0A1A0D44" w:rsidR="00F81193" w:rsidRDefault="00F81193" w:rsidP="00F81193">
      <w:pPr>
        <w:pStyle w:val="BodyText"/>
      </w:pPr>
    </w:p>
    <w:p w14:paraId="737B2C7C" w14:textId="4DC3F3F0" w:rsidR="002C1FCE" w:rsidRPr="00D060EB" w:rsidRDefault="003705B5" w:rsidP="004256CC">
      <w:pPr>
        <w:pStyle w:val="BodyText"/>
        <w:rPr>
          <w:i/>
          <w:color w:val="000099"/>
        </w:rPr>
      </w:pPr>
      <w:r w:rsidRPr="00D060EB">
        <w:rPr>
          <w:i/>
          <w:color w:val="000099"/>
        </w:rPr>
        <w:t xml:space="preserve">Comparison with the previous </w:t>
      </w:r>
      <w:r w:rsidR="00192FBE" w:rsidRPr="00D060EB">
        <w:rPr>
          <w:i/>
          <w:color w:val="000099"/>
        </w:rPr>
        <w:t>month –</w:t>
      </w:r>
      <w:r w:rsidR="00D23A0A" w:rsidRPr="00D060EB">
        <w:rPr>
          <w:i/>
          <w:color w:val="000099"/>
        </w:rPr>
        <w:t xml:space="preserve"> </w:t>
      </w:r>
    </w:p>
    <w:p w14:paraId="2DC75CA7" w14:textId="3C237494" w:rsidR="005A7AD1" w:rsidRDefault="00607914" w:rsidP="002C1FCE">
      <w:pPr>
        <w:pStyle w:val="Bullet1"/>
      </w:pPr>
      <w:bookmarkStart w:id="4" w:name="_Hlk77246538"/>
      <w:bookmarkStart w:id="5" w:name="_Hlk12448455"/>
      <w:r>
        <w:t xml:space="preserve">Unprocessed </w:t>
      </w:r>
      <w:r w:rsidRPr="005B0531">
        <w:rPr>
          <w:b/>
          <w:bCs/>
        </w:rPr>
        <w:t>g</w:t>
      </w:r>
      <w:r w:rsidR="00211194" w:rsidRPr="005B0531">
        <w:rPr>
          <w:b/>
          <w:bCs/>
        </w:rPr>
        <w:t>l</w:t>
      </w:r>
      <w:r w:rsidR="00211194" w:rsidRPr="00DA6A45">
        <w:rPr>
          <w:b/>
          <w:bCs/>
        </w:rPr>
        <w:t>ass</w:t>
      </w:r>
      <w:r w:rsidR="00211194">
        <w:t xml:space="preserve"> </w:t>
      </w:r>
      <w:r w:rsidR="00192537">
        <w:t xml:space="preserve">waste </w:t>
      </w:r>
      <w:r w:rsidR="00433CE8">
        <w:t xml:space="preserve">exports </w:t>
      </w:r>
      <w:r>
        <w:t>have been banned since January 2021</w:t>
      </w:r>
      <w:r w:rsidR="00A23159">
        <w:t>.</w:t>
      </w:r>
      <w:r>
        <w:t xml:space="preserve"> </w:t>
      </w:r>
      <w:r w:rsidR="005B0531">
        <w:t xml:space="preserve">In </w:t>
      </w:r>
      <w:r w:rsidR="004109E1">
        <w:t>May</w:t>
      </w:r>
      <w:r w:rsidR="005B0531">
        <w:t>,</w:t>
      </w:r>
      <w:r w:rsidR="004751EB">
        <w:t xml:space="preserve"> export of</w:t>
      </w:r>
      <w:r w:rsidR="005B0531">
        <w:t xml:space="preserve"> </w:t>
      </w:r>
      <w:r>
        <w:t xml:space="preserve">a small amount of </w:t>
      </w:r>
      <w:r w:rsidR="00043469">
        <w:t>unprocessed</w:t>
      </w:r>
      <w:r>
        <w:t xml:space="preserve"> </w:t>
      </w:r>
      <w:r w:rsidR="00043469">
        <w:t xml:space="preserve">glass </w:t>
      </w:r>
      <w:r>
        <w:t>waste was</w:t>
      </w:r>
      <w:r w:rsidR="004751EB">
        <w:t xml:space="preserve"> reported, but review of the export declaration reveals it was actually filtration material that should have been coded as </w:t>
      </w:r>
      <w:r w:rsidR="004751EB" w:rsidRPr="004751EB">
        <w:t>non-furnace-ready fines and/or cullet</w:t>
      </w:r>
      <w:r w:rsidR="004751EB">
        <w:t>.</w:t>
      </w:r>
      <w:bookmarkEnd w:id="4"/>
    </w:p>
    <w:p w14:paraId="4FCCFF90" w14:textId="17F8180C" w:rsidR="008F221B" w:rsidRPr="00984A69" w:rsidRDefault="008F221B" w:rsidP="008F221B">
      <w:pPr>
        <w:pStyle w:val="Bullet1"/>
      </w:pPr>
      <w:r w:rsidRPr="001B389F">
        <w:t xml:space="preserve">Exports </w:t>
      </w:r>
      <w:r w:rsidRPr="00AA0067">
        <w:t xml:space="preserve">of </w:t>
      </w:r>
      <w:r w:rsidRPr="00DA6A45">
        <w:rPr>
          <w:b/>
          <w:bCs/>
        </w:rPr>
        <w:t>hazardous waste</w:t>
      </w:r>
      <w:r w:rsidRPr="001B389F">
        <w:t xml:space="preserve"> (excluding tyres) </w:t>
      </w:r>
      <w:r w:rsidR="004109E1">
        <w:t>dropped</w:t>
      </w:r>
      <w:r>
        <w:t xml:space="preserve"> from </w:t>
      </w:r>
      <w:r w:rsidR="00D72AFD">
        <w:t>3,</w:t>
      </w:r>
      <w:r w:rsidR="004109E1">
        <w:t>9</w:t>
      </w:r>
      <w:r w:rsidR="00DE4CF1">
        <w:t>0</w:t>
      </w:r>
      <w:r>
        <w:t xml:space="preserve">0 to </w:t>
      </w:r>
      <w:r w:rsidR="004109E1">
        <w:t>3</w:t>
      </w:r>
      <w:r>
        <w:t>,</w:t>
      </w:r>
      <w:r w:rsidR="004109E1">
        <w:t>1</w:t>
      </w:r>
      <w:r>
        <w:t>00</w:t>
      </w:r>
      <w:r w:rsidR="00804D51">
        <w:t> </w:t>
      </w:r>
      <w:r>
        <w:t>tonnes</w:t>
      </w:r>
      <w:r w:rsidR="00043469">
        <w:t>, with a corresponding fall in value</w:t>
      </w:r>
      <w:r>
        <w:t xml:space="preserve">. </w:t>
      </w:r>
      <w:r w:rsidR="009A5F80">
        <w:t>These</w:t>
      </w:r>
      <w:r w:rsidR="00043469">
        <w:t xml:space="preserve"> exports</w:t>
      </w:r>
      <w:r w:rsidR="009A5F80">
        <w:t xml:space="preserve"> were mainly lead waste and scrap (</w:t>
      </w:r>
      <w:r w:rsidR="004109E1">
        <w:t>94</w:t>
      </w:r>
      <w:r w:rsidR="009A5F80">
        <w:t xml:space="preserve">%). </w:t>
      </w:r>
    </w:p>
    <w:p w14:paraId="145C5AA7" w14:textId="77100EAF" w:rsidR="008F221B" w:rsidRDefault="008F221B" w:rsidP="00E24C59">
      <w:pPr>
        <w:pStyle w:val="Bullet1"/>
      </w:pPr>
      <w:bookmarkStart w:id="6" w:name="_Hlk64649143"/>
      <w:r w:rsidRPr="00E07B01">
        <w:rPr>
          <w:color w:val="000000" w:themeColor="text1"/>
        </w:rPr>
        <w:t xml:space="preserve">Monthly </w:t>
      </w:r>
      <w:r w:rsidR="00DA6A45" w:rsidRPr="00E07B01">
        <w:rPr>
          <w:color w:val="000000" w:themeColor="text1"/>
        </w:rPr>
        <w:t xml:space="preserve">exports of scrap </w:t>
      </w:r>
      <w:r w:rsidRPr="00E07B01">
        <w:rPr>
          <w:b/>
          <w:bCs/>
          <w:color w:val="000000" w:themeColor="text1"/>
        </w:rPr>
        <w:t>metal</w:t>
      </w:r>
      <w:r w:rsidR="00DA6A45" w:rsidRPr="00E07B01">
        <w:rPr>
          <w:b/>
          <w:bCs/>
          <w:color w:val="000000" w:themeColor="text1"/>
        </w:rPr>
        <w:t>s</w:t>
      </w:r>
      <w:r w:rsidRPr="00E07B01">
        <w:rPr>
          <w:color w:val="000000" w:themeColor="text1"/>
        </w:rPr>
        <w:t xml:space="preserve"> </w:t>
      </w:r>
      <w:bookmarkEnd w:id="6"/>
      <w:r w:rsidR="004109E1" w:rsidRPr="00E07B01">
        <w:rPr>
          <w:color w:val="000000" w:themeColor="text1"/>
        </w:rPr>
        <w:t>were the highest over the analysis period at</w:t>
      </w:r>
      <w:r w:rsidR="009A5F80" w:rsidRPr="00E07B01">
        <w:rPr>
          <w:color w:val="000000" w:themeColor="text1"/>
        </w:rPr>
        <w:t xml:space="preserve"> </w:t>
      </w:r>
      <w:r w:rsidR="004109E1" w:rsidRPr="00E07B01">
        <w:rPr>
          <w:color w:val="000000" w:themeColor="text1"/>
        </w:rPr>
        <w:t>306</w:t>
      </w:r>
      <w:r w:rsidR="009A5F80" w:rsidRPr="00E07B01">
        <w:rPr>
          <w:color w:val="000000" w:themeColor="text1"/>
        </w:rPr>
        <w:t>,000 tonnes</w:t>
      </w:r>
      <w:r w:rsidRPr="00E07B01">
        <w:rPr>
          <w:color w:val="000000" w:themeColor="text1"/>
        </w:rPr>
        <w:t xml:space="preserve">. </w:t>
      </w:r>
      <w:r w:rsidR="0027528C" w:rsidRPr="00E07B01">
        <w:rPr>
          <w:color w:val="000000" w:themeColor="text1"/>
        </w:rPr>
        <w:t xml:space="preserve">This </w:t>
      </w:r>
      <w:r w:rsidR="00621C00" w:rsidRPr="00E07B01">
        <w:rPr>
          <w:color w:val="000000" w:themeColor="text1"/>
        </w:rPr>
        <w:t>is</w:t>
      </w:r>
      <w:r w:rsidR="0027528C" w:rsidRPr="00E07B01">
        <w:rPr>
          <w:color w:val="000000" w:themeColor="text1"/>
        </w:rPr>
        <w:t xml:space="preserve"> linked to </w:t>
      </w:r>
      <w:r w:rsidR="00621C00" w:rsidRPr="00E07B01">
        <w:rPr>
          <w:color w:val="000000" w:themeColor="text1"/>
        </w:rPr>
        <w:t>high</w:t>
      </w:r>
      <w:r w:rsidR="00E07B01" w:rsidRPr="00E07B01">
        <w:rPr>
          <w:color w:val="000000" w:themeColor="text1"/>
        </w:rPr>
        <w:t xml:space="preserve"> or even record</w:t>
      </w:r>
      <w:r w:rsidR="00621C00" w:rsidRPr="00E07B01">
        <w:rPr>
          <w:color w:val="000000" w:themeColor="text1"/>
        </w:rPr>
        <w:t xml:space="preserve"> </w:t>
      </w:r>
      <w:r w:rsidR="0027528C" w:rsidRPr="00E07B01">
        <w:rPr>
          <w:color w:val="000000" w:themeColor="text1"/>
        </w:rPr>
        <w:t>prices affect</w:t>
      </w:r>
      <w:r w:rsidR="00E07B01" w:rsidRPr="00E07B01">
        <w:rPr>
          <w:color w:val="000000" w:themeColor="text1"/>
        </w:rPr>
        <w:t>ing</w:t>
      </w:r>
      <w:r w:rsidR="0027528C" w:rsidRPr="00E07B01">
        <w:rPr>
          <w:color w:val="000000" w:themeColor="text1"/>
        </w:rPr>
        <w:t xml:space="preserve"> m</w:t>
      </w:r>
      <w:r w:rsidR="0027528C" w:rsidRPr="0027528C">
        <w:t>ost types of</w:t>
      </w:r>
      <w:r w:rsidR="0027528C">
        <w:t xml:space="preserve"> scrap</w:t>
      </w:r>
      <w:r w:rsidR="0027528C" w:rsidRPr="0027528C">
        <w:t xml:space="preserve"> </w:t>
      </w:r>
      <w:r w:rsidR="00E07B01">
        <w:t xml:space="preserve">and non-scrap </w:t>
      </w:r>
      <w:r w:rsidR="0027528C" w:rsidRPr="0027528C">
        <w:t>metal</w:t>
      </w:r>
      <w:r w:rsidR="00E07B01">
        <w:t>s</w:t>
      </w:r>
      <w:r w:rsidR="00621C00" w:rsidRPr="0027528C">
        <w:rPr>
          <w:vertAlign w:val="superscript"/>
        </w:rPr>
        <w:footnoteReference w:id="8"/>
      </w:r>
      <w:r w:rsidR="00E07B01">
        <w:t>, variously associated with expanding Chinese production</w:t>
      </w:r>
      <w:r w:rsidR="00E07B01" w:rsidRPr="0027528C">
        <w:rPr>
          <w:vertAlign w:val="superscript"/>
        </w:rPr>
        <w:footnoteReference w:id="9"/>
      </w:r>
      <w:r w:rsidR="00E07B01">
        <w:t xml:space="preserve"> and the pandemic</w:t>
      </w:r>
      <w:r w:rsidR="00E07B01" w:rsidRPr="0027528C">
        <w:rPr>
          <w:vertAlign w:val="superscript"/>
        </w:rPr>
        <w:footnoteReference w:id="10"/>
      </w:r>
      <w:r w:rsidR="00E07B01">
        <w:t xml:space="preserve">. </w:t>
      </w:r>
      <w:r w:rsidR="00165144" w:rsidRPr="00165144">
        <w:t xml:space="preserve">Ferrous scrap is currently trading at the highest prices for at least two decades, pulling through more marginal </w:t>
      </w:r>
      <w:r w:rsidR="00165144">
        <w:t>material and drawing down</w:t>
      </w:r>
      <w:r w:rsidR="00165144" w:rsidRPr="00165144">
        <w:t xml:space="preserve"> stockpiles.</w:t>
      </w:r>
      <w:r w:rsidR="00165144">
        <w:t xml:space="preserve"> </w:t>
      </w:r>
      <w:r w:rsidR="0027528C">
        <w:t>Scrap metal exports were widely distributed, including to Indonesia (17%), Bangladesh (16%), Vietnam (15%), Thailand (13%) and India (10%).</w:t>
      </w:r>
    </w:p>
    <w:p w14:paraId="33BC4274" w14:textId="64AAC41A" w:rsidR="00265675" w:rsidRPr="000B081B" w:rsidRDefault="00DA6A45" w:rsidP="008F0305">
      <w:pPr>
        <w:pStyle w:val="Bullet1"/>
      </w:pPr>
      <w:bookmarkStart w:id="7" w:name="_Hlk64649152"/>
      <w:r>
        <w:t xml:space="preserve">Exports of </w:t>
      </w:r>
      <w:r w:rsidR="00017EA4">
        <w:t>scrap</w:t>
      </w:r>
      <w:r>
        <w:t xml:space="preserve"> </w:t>
      </w:r>
      <w:r w:rsidRPr="00DA6A45">
        <w:rPr>
          <w:b/>
          <w:bCs/>
        </w:rPr>
        <w:t>p</w:t>
      </w:r>
      <w:r w:rsidR="00265675" w:rsidRPr="00DA6A45">
        <w:rPr>
          <w:b/>
          <w:bCs/>
        </w:rPr>
        <w:t>aper and cardboard</w:t>
      </w:r>
      <w:r w:rsidR="00265675">
        <w:t xml:space="preserve"> </w:t>
      </w:r>
      <w:bookmarkEnd w:id="7"/>
      <w:r w:rsidR="00F05B56">
        <w:t>rose</w:t>
      </w:r>
      <w:r w:rsidR="006C0D60">
        <w:t xml:space="preserve"> from 91,000 to 106,000 tonnes between April and May 2021. The main recipients were</w:t>
      </w:r>
      <w:r w:rsidR="007214FA">
        <w:t xml:space="preserve"> </w:t>
      </w:r>
      <w:r w:rsidR="000A4F09">
        <w:t>Indonesia</w:t>
      </w:r>
      <w:r w:rsidR="00192537">
        <w:t xml:space="preserve"> </w:t>
      </w:r>
      <w:r w:rsidR="00E51845" w:rsidRPr="002225CD">
        <w:t>(</w:t>
      </w:r>
      <w:r w:rsidR="006C0D60">
        <w:t>59</w:t>
      </w:r>
      <w:r w:rsidR="007214FA">
        <w:t>%)</w:t>
      </w:r>
      <w:r w:rsidR="006C0D60">
        <w:t>,</w:t>
      </w:r>
      <w:r w:rsidR="0044461D">
        <w:t xml:space="preserve"> India (1</w:t>
      </w:r>
      <w:r w:rsidR="006C0D60">
        <w:t>8</w:t>
      </w:r>
      <w:r w:rsidR="0044461D">
        <w:t>%)</w:t>
      </w:r>
      <w:r w:rsidR="006C0D60">
        <w:t xml:space="preserve"> and Malaysia (11%)</w:t>
      </w:r>
      <w:r w:rsidR="0044461D">
        <w:t>.</w:t>
      </w:r>
      <w:r w:rsidR="00EC0B1E">
        <w:t xml:space="preserve"> </w:t>
      </w:r>
      <w:r w:rsidR="00C236C8">
        <w:t>Tonnages were</w:t>
      </w:r>
      <w:r w:rsidR="000A4F09">
        <w:t xml:space="preserve"> split between u</w:t>
      </w:r>
      <w:r w:rsidR="00B34B75" w:rsidRPr="000B081B">
        <w:t xml:space="preserve">nbleached kraft </w:t>
      </w:r>
      <w:r w:rsidR="00870503">
        <w:t>(</w:t>
      </w:r>
      <w:r w:rsidR="006C0D60">
        <w:t>46</w:t>
      </w:r>
      <w:r w:rsidR="00B34B75" w:rsidRPr="000B081B">
        <w:t>%</w:t>
      </w:r>
      <w:r w:rsidR="00870503">
        <w:t>)</w:t>
      </w:r>
      <w:r w:rsidR="00B34B75" w:rsidRPr="000B081B">
        <w:t xml:space="preserve"> and u</w:t>
      </w:r>
      <w:r w:rsidR="00E51845" w:rsidRPr="000B081B">
        <w:t>nsorted scrap</w:t>
      </w:r>
      <w:r w:rsidR="00B34B75" w:rsidRPr="000B081B">
        <w:t xml:space="preserve"> </w:t>
      </w:r>
      <w:r w:rsidR="00870503">
        <w:t>(</w:t>
      </w:r>
      <w:r w:rsidR="006C0D60">
        <w:t>52</w:t>
      </w:r>
      <w:r w:rsidR="000333E3" w:rsidRPr="000B081B">
        <w:t>%</w:t>
      </w:r>
      <w:r w:rsidR="00870503">
        <w:t>)</w:t>
      </w:r>
      <w:r w:rsidR="009754A9" w:rsidRPr="000B081B">
        <w:t>.</w:t>
      </w:r>
      <w:r w:rsidR="00B34B75" w:rsidRPr="000B081B">
        <w:t xml:space="preserve"> </w:t>
      </w:r>
      <w:bookmarkStart w:id="8" w:name="_Hlk12451839"/>
      <w:r w:rsidR="00AE58BF">
        <w:t xml:space="preserve">The rise in value was greater than the rise in tonnes as the value </w:t>
      </w:r>
      <w:r w:rsidR="00F05B56">
        <w:t xml:space="preserve">per tonne </w:t>
      </w:r>
      <w:r w:rsidR="00AE58BF">
        <w:t>reached $251, the highest since October 2018</w:t>
      </w:r>
      <w:r w:rsidR="00786763" w:rsidRPr="000B081B">
        <w:t xml:space="preserve">. </w:t>
      </w:r>
    </w:p>
    <w:p w14:paraId="1CA1AC5A" w14:textId="51265E76" w:rsidR="00265675" w:rsidRDefault="00265675" w:rsidP="00265675">
      <w:pPr>
        <w:pStyle w:val="Bullet1"/>
      </w:pPr>
      <w:bookmarkStart w:id="9" w:name="_Hlk64649161"/>
      <w:bookmarkEnd w:id="8"/>
      <w:r>
        <w:t xml:space="preserve">Exports of </w:t>
      </w:r>
      <w:r w:rsidR="00DA6A45">
        <w:t>scrap</w:t>
      </w:r>
      <w:r w:rsidRPr="00B01DD2">
        <w:t xml:space="preserve"> </w:t>
      </w:r>
      <w:r w:rsidRPr="00DA6A45">
        <w:rPr>
          <w:b/>
          <w:bCs/>
        </w:rPr>
        <w:t>plastics</w:t>
      </w:r>
      <w:r>
        <w:t xml:space="preserve"> </w:t>
      </w:r>
      <w:bookmarkEnd w:id="9"/>
      <w:r w:rsidR="00AE58BF">
        <w:t>were 25% higher than in April</w:t>
      </w:r>
      <w:r w:rsidR="000B081B">
        <w:t>.</w:t>
      </w:r>
      <w:r>
        <w:t xml:space="preserve"> </w:t>
      </w:r>
      <w:r w:rsidR="00E00740">
        <w:t>T</w:t>
      </w:r>
      <w:r w:rsidR="009D58DF" w:rsidRPr="0020189E">
        <w:t>he</w:t>
      </w:r>
      <w:r w:rsidR="00F05B56">
        <w:t xml:space="preserve"> major </w:t>
      </w:r>
      <w:r w:rsidR="00E00740">
        <w:t>recipients were Malaysia</w:t>
      </w:r>
      <w:r w:rsidR="007214FA">
        <w:t> </w:t>
      </w:r>
      <w:r w:rsidR="00E00740">
        <w:t>(</w:t>
      </w:r>
      <w:r w:rsidR="0044461D">
        <w:t>46</w:t>
      </w:r>
      <w:r w:rsidR="00A92D63" w:rsidRPr="0020189E">
        <w:t>%</w:t>
      </w:r>
      <w:r w:rsidR="00926A8B">
        <w:t>)</w:t>
      </w:r>
      <w:r w:rsidR="00B31CF7">
        <w:t xml:space="preserve"> </w:t>
      </w:r>
      <w:r w:rsidR="00791E63">
        <w:t>and</w:t>
      </w:r>
      <w:r w:rsidR="00926A8B">
        <w:t xml:space="preserve"> </w:t>
      </w:r>
      <w:r w:rsidR="00ED7E46">
        <w:t>Indonesia</w:t>
      </w:r>
      <w:r w:rsidR="007214FA">
        <w:t> </w:t>
      </w:r>
      <w:r w:rsidR="00926A8B">
        <w:t>(</w:t>
      </w:r>
      <w:r w:rsidR="00791E63">
        <w:t>1</w:t>
      </w:r>
      <w:r w:rsidR="00AE58BF">
        <w:t>3</w:t>
      </w:r>
      <w:r w:rsidR="000E3FDC">
        <w:t>%)</w:t>
      </w:r>
      <w:r w:rsidR="00A92D63" w:rsidRPr="0020189E">
        <w:t xml:space="preserve">. </w:t>
      </w:r>
      <w:r w:rsidR="00F97EA7">
        <w:t>These exports</w:t>
      </w:r>
      <w:r w:rsidR="009D58DF" w:rsidRPr="0020189E">
        <w:t xml:space="preserve"> </w:t>
      </w:r>
      <w:r w:rsidR="006A1417" w:rsidRPr="0020189E">
        <w:t xml:space="preserve">comprised mixed </w:t>
      </w:r>
      <w:r w:rsidR="00514A40">
        <w:t xml:space="preserve">and ‘other’ </w:t>
      </w:r>
      <w:r w:rsidR="006A1417" w:rsidRPr="0020189E">
        <w:t>plastics</w:t>
      </w:r>
      <w:r w:rsidR="007214FA">
        <w:t> </w:t>
      </w:r>
      <w:r w:rsidR="006A2F6E" w:rsidRPr="0020189E">
        <w:t>(</w:t>
      </w:r>
      <w:r w:rsidR="00AE58BF">
        <w:t>60</w:t>
      </w:r>
      <w:r w:rsidR="006A2F6E" w:rsidRPr="0020189E">
        <w:t>%)</w:t>
      </w:r>
      <w:r w:rsidR="007214FA">
        <w:t xml:space="preserve"> and </w:t>
      </w:r>
      <w:r w:rsidR="00ED37E0">
        <w:t>poly</w:t>
      </w:r>
      <w:r w:rsidR="007214FA">
        <w:t>ethylenes </w:t>
      </w:r>
      <w:r w:rsidR="009D58DF" w:rsidRPr="0020189E">
        <w:t>(</w:t>
      </w:r>
      <w:r w:rsidR="00AE58BF">
        <w:t>39</w:t>
      </w:r>
      <w:r w:rsidR="009D58DF" w:rsidRPr="0020189E">
        <w:t xml:space="preserve">%). </w:t>
      </w:r>
      <w:r w:rsidR="00AE58BF">
        <w:t xml:space="preserve">The </w:t>
      </w:r>
      <w:r w:rsidR="00621C00">
        <w:t>reported</w:t>
      </w:r>
      <w:r w:rsidR="00AE58BF">
        <w:t xml:space="preserve"> value </w:t>
      </w:r>
      <w:r w:rsidR="004E702A">
        <w:t xml:space="preserve">per tonne </w:t>
      </w:r>
      <w:r w:rsidR="00AE58BF">
        <w:t>remained steady at $361</w:t>
      </w:r>
      <w:r w:rsidR="00621C00">
        <w:t>. Industry reports</w:t>
      </w:r>
      <w:r w:rsidR="00B41978">
        <w:t xml:space="preserve"> values for</w:t>
      </w:r>
      <w:r w:rsidR="00621C00" w:rsidRPr="00621C00">
        <w:t xml:space="preserve"> clean PET and HDPE bales at their highest level for five years, and</w:t>
      </w:r>
      <w:r w:rsidR="00621C00">
        <w:t xml:space="preserve"> this is likely to present in </w:t>
      </w:r>
      <w:r w:rsidR="00621C00" w:rsidRPr="00621C00">
        <w:t>export data over the next few months.</w:t>
      </w:r>
    </w:p>
    <w:p w14:paraId="1234162F" w14:textId="518C21CC" w:rsidR="008342E7" w:rsidRPr="002F673E" w:rsidRDefault="008342E7" w:rsidP="008342E7">
      <w:pPr>
        <w:pStyle w:val="Bullet1"/>
      </w:pPr>
      <w:bookmarkStart w:id="10" w:name="_Hlk64649174"/>
      <w:r>
        <w:t xml:space="preserve">Exports of </w:t>
      </w:r>
      <w:r w:rsidRPr="00B01DD2">
        <w:t xml:space="preserve">waste </w:t>
      </w:r>
      <w:r w:rsidRPr="00DA6A45">
        <w:rPr>
          <w:b/>
          <w:bCs/>
        </w:rPr>
        <w:t>textiles</w:t>
      </w:r>
      <w:r w:rsidR="002E0A12">
        <w:rPr>
          <w:b/>
          <w:bCs/>
        </w:rPr>
        <w:t xml:space="preserve"> </w:t>
      </w:r>
      <w:r w:rsidR="00AE58BF">
        <w:t>increased</w:t>
      </w:r>
      <w:r w:rsidR="0044461D">
        <w:t xml:space="preserve"> from</w:t>
      </w:r>
      <w:r>
        <w:t xml:space="preserve"> </w:t>
      </w:r>
      <w:r w:rsidR="00AE58BF">
        <w:t>8</w:t>
      </w:r>
      <w:r w:rsidR="00791E63">
        <w:t>,0</w:t>
      </w:r>
      <w:r>
        <w:t>00</w:t>
      </w:r>
      <w:r w:rsidR="00791E63">
        <w:t> </w:t>
      </w:r>
      <w:r w:rsidR="0044461D">
        <w:t xml:space="preserve">to </w:t>
      </w:r>
      <w:r w:rsidR="00AE58BF">
        <w:t>10,0</w:t>
      </w:r>
      <w:r w:rsidR="0044461D">
        <w:t>00 </w:t>
      </w:r>
      <w:r>
        <w:t>tonnes</w:t>
      </w:r>
      <w:r w:rsidR="0044461D">
        <w:t xml:space="preserve"> in</w:t>
      </w:r>
      <w:r w:rsidR="00AE58BF">
        <w:t xml:space="preserve"> May </w:t>
      </w:r>
      <w:r w:rsidR="0044461D">
        <w:t>2021</w:t>
      </w:r>
      <w:r>
        <w:t>. The main receiving countries</w:t>
      </w:r>
      <w:r w:rsidR="002E0A12">
        <w:t xml:space="preserve"> </w:t>
      </w:r>
      <w:r>
        <w:t xml:space="preserve">were </w:t>
      </w:r>
      <w:r w:rsidR="00E2538F">
        <w:t xml:space="preserve">the </w:t>
      </w:r>
      <w:r>
        <w:t>United Arab Emirates (</w:t>
      </w:r>
      <w:r w:rsidR="00AE58BF">
        <w:t>63</w:t>
      </w:r>
      <w:r>
        <w:t>%)</w:t>
      </w:r>
      <w:r w:rsidR="00B40863">
        <w:t>,</w:t>
      </w:r>
      <w:r>
        <w:t xml:space="preserve"> </w:t>
      </w:r>
      <w:r w:rsidR="00AE58BF">
        <w:t>Pakistan </w:t>
      </w:r>
      <w:r>
        <w:t>(</w:t>
      </w:r>
      <w:r w:rsidR="00AE58BF">
        <w:t>12</w:t>
      </w:r>
      <w:r>
        <w:t>%)</w:t>
      </w:r>
      <w:r w:rsidR="00B40863">
        <w:t xml:space="preserve"> and </w:t>
      </w:r>
      <w:r w:rsidR="00AE58BF">
        <w:t>Malaysia </w:t>
      </w:r>
      <w:r w:rsidR="00B40863">
        <w:t>(1</w:t>
      </w:r>
      <w:r w:rsidR="002E0A12">
        <w:t>0</w:t>
      </w:r>
      <w:r w:rsidR="00B40863">
        <w:t>%)</w:t>
      </w:r>
      <w:r>
        <w:t>. Worn clothing and other worn textile articles accounted for more than 99% of textile waste</w:t>
      </w:r>
      <w:r w:rsidR="00B41978">
        <w:t xml:space="preserve"> exports</w:t>
      </w:r>
      <w:r>
        <w:t xml:space="preserve">. </w:t>
      </w:r>
    </w:p>
    <w:p w14:paraId="3D87D655" w14:textId="03E14C02" w:rsidR="002F673E" w:rsidRDefault="002F673E" w:rsidP="002C1FCE">
      <w:pPr>
        <w:pStyle w:val="Bullet1"/>
      </w:pPr>
      <w:r>
        <w:t xml:space="preserve">Exports of </w:t>
      </w:r>
      <w:r w:rsidR="008D646F" w:rsidRPr="00B01DD2">
        <w:t xml:space="preserve">waste </w:t>
      </w:r>
      <w:r w:rsidRPr="00DA6A45">
        <w:rPr>
          <w:b/>
          <w:bCs/>
        </w:rPr>
        <w:t>tyres</w:t>
      </w:r>
      <w:r w:rsidRPr="00B01DD2">
        <w:t xml:space="preserve"> </w:t>
      </w:r>
      <w:bookmarkEnd w:id="10"/>
      <w:r w:rsidR="00AE58BF">
        <w:t>rose</w:t>
      </w:r>
      <w:r w:rsidR="00786763">
        <w:t xml:space="preserve"> </w:t>
      </w:r>
      <w:r w:rsidR="000B081B">
        <w:t xml:space="preserve">from </w:t>
      </w:r>
      <w:r w:rsidR="00AE58BF">
        <w:t>8</w:t>
      </w:r>
      <w:r w:rsidR="0044461D">
        <w:t>,0</w:t>
      </w:r>
      <w:r w:rsidR="00325EE8">
        <w:t>00</w:t>
      </w:r>
      <w:r w:rsidR="00061FD4">
        <w:t xml:space="preserve"> to</w:t>
      </w:r>
      <w:r w:rsidR="00DA4183">
        <w:t xml:space="preserve"> </w:t>
      </w:r>
      <w:r w:rsidR="00AE58BF">
        <w:t>1</w:t>
      </w:r>
      <w:r w:rsidR="0044461D">
        <w:t>3</w:t>
      </w:r>
      <w:r w:rsidR="00AE58BF">
        <w:t>,0</w:t>
      </w:r>
      <w:r w:rsidR="0044461D">
        <w:t>00 </w:t>
      </w:r>
      <w:r w:rsidR="00061FD4">
        <w:t>tonnes</w:t>
      </w:r>
      <w:r w:rsidR="00ED7E46">
        <w:t xml:space="preserve"> between </w:t>
      </w:r>
      <w:r w:rsidR="00AE58BF">
        <w:t>April</w:t>
      </w:r>
      <w:r w:rsidR="00ED7E46">
        <w:t xml:space="preserve"> and </w:t>
      </w:r>
      <w:r w:rsidR="00AE58BF">
        <w:t>May </w:t>
      </w:r>
      <w:r w:rsidR="0044461D">
        <w:t>2</w:t>
      </w:r>
      <w:r w:rsidR="00ED7E46">
        <w:t>02</w:t>
      </w:r>
      <w:bookmarkStart w:id="11" w:name="_Ref65146468"/>
      <w:r w:rsidR="00325EE8">
        <w:t>1</w:t>
      </w:r>
      <w:r w:rsidR="00E12BBA">
        <w:rPr>
          <w:rStyle w:val="FootnoteReference"/>
        </w:rPr>
        <w:footnoteReference w:id="11"/>
      </w:r>
      <w:bookmarkEnd w:id="11"/>
      <w:r w:rsidR="00786763">
        <w:t xml:space="preserve">. </w:t>
      </w:r>
      <w:r w:rsidR="00AF3478">
        <w:t xml:space="preserve">The main recipients were </w:t>
      </w:r>
      <w:r w:rsidR="00325EE8">
        <w:t>India</w:t>
      </w:r>
      <w:r w:rsidR="000B081B">
        <w:t> </w:t>
      </w:r>
      <w:r w:rsidR="00AF3478">
        <w:t>(</w:t>
      </w:r>
      <w:r w:rsidR="00AE58BF">
        <w:t>71</w:t>
      </w:r>
      <w:r w:rsidR="00AF3478">
        <w:t>%)</w:t>
      </w:r>
      <w:r w:rsidR="000B081B">
        <w:t xml:space="preserve"> and </w:t>
      </w:r>
      <w:r w:rsidR="00325EE8">
        <w:t>Malaysia</w:t>
      </w:r>
      <w:r w:rsidR="000B081B">
        <w:t> </w:t>
      </w:r>
      <w:r w:rsidR="00DA4183">
        <w:t>(</w:t>
      </w:r>
      <w:r w:rsidR="00966467">
        <w:t>1</w:t>
      </w:r>
      <w:r w:rsidR="00AE58BF">
        <w:t>3</w:t>
      </w:r>
      <w:r w:rsidR="00DA4183">
        <w:t>%)</w:t>
      </w:r>
      <w:r w:rsidR="000B081B">
        <w:t xml:space="preserve">. </w:t>
      </w:r>
      <w:r w:rsidR="00325EE8">
        <w:t>The</w:t>
      </w:r>
      <w:r w:rsidR="00110011">
        <w:t xml:space="preserve"> reported</w:t>
      </w:r>
      <w:r w:rsidR="00325EE8">
        <w:t xml:space="preserve"> </w:t>
      </w:r>
      <w:r w:rsidR="00966467">
        <w:t xml:space="preserve">value </w:t>
      </w:r>
      <w:r w:rsidR="004E702A">
        <w:t xml:space="preserve">per tonne </w:t>
      </w:r>
      <w:r w:rsidR="00AE58BF">
        <w:t>fell</w:t>
      </w:r>
      <w:r w:rsidR="00707E23">
        <w:t xml:space="preserve"> from $</w:t>
      </w:r>
      <w:r w:rsidR="00AE58BF">
        <w:t>203</w:t>
      </w:r>
      <w:r w:rsidR="00707E23">
        <w:t xml:space="preserve"> to $</w:t>
      </w:r>
      <w:r w:rsidR="00AE58BF">
        <w:t>139</w:t>
      </w:r>
      <w:r w:rsidR="000A7BB4">
        <w:t xml:space="preserve"> per tonne</w:t>
      </w:r>
      <w:r w:rsidR="00707E23">
        <w:t>,</w:t>
      </w:r>
      <w:r w:rsidR="00AE58BF">
        <w:t xml:space="preserve"> </w:t>
      </w:r>
      <w:r w:rsidR="004E702A">
        <w:t>resulting in</w:t>
      </w:r>
      <w:r w:rsidR="00AE58BF">
        <w:t xml:space="preserve"> a less significant increase in</w:t>
      </w:r>
      <w:r w:rsidR="00110011">
        <w:t xml:space="preserve"> total</w:t>
      </w:r>
      <w:r w:rsidR="00AE58BF">
        <w:t xml:space="preserve"> value</w:t>
      </w:r>
      <w:r w:rsidR="00707E23">
        <w:t>.</w:t>
      </w:r>
    </w:p>
    <w:p w14:paraId="069A2CC3" w14:textId="60080E12" w:rsidR="00A45647" w:rsidRDefault="00497EE5" w:rsidP="00A45647">
      <w:pPr>
        <w:pStyle w:val="Bullet1"/>
      </w:pPr>
      <w:bookmarkStart w:id="12" w:name="_Hlk64649197"/>
      <w:bookmarkEnd w:id="5"/>
      <w:r w:rsidRPr="001B389F">
        <w:t xml:space="preserve">Exports </w:t>
      </w:r>
      <w:r w:rsidR="00B41978">
        <w:t>of</w:t>
      </w:r>
      <w:r w:rsidR="00D23A0A" w:rsidRPr="001B389F">
        <w:t xml:space="preserve"> </w:t>
      </w:r>
      <w:r w:rsidR="00DA6A45" w:rsidRPr="00DA6A45">
        <w:rPr>
          <w:b/>
          <w:bCs/>
        </w:rPr>
        <w:t>other</w:t>
      </w:r>
      <w:r w:rsidR="00984A69" w:rsidRPr="001B389F">
        <w:t xml:space="preserve"> </w:t>
      </w:r>
      <w:bookmarkEnd w:id="12"/>
      <w:r w:rsidR="00B41978">
        <w:t xml:space="preserve">waste </w:t>
      </w:r>
      <w:r w:rsidR="00804872">
        <w:t>surged</w:t>
      </w:r>
      <w:r w:rsidR="00396B8C">
        <w:t xml:space="preserve"> from </w:t>
      </w:r>
      <w:r w:rsidR="00804872">
        <w:t>31</w:t>
      </w:r>
      <w:r w:rsidR="00396B8C">
        <w:t xml:space="preserve">,000 to </w:t>
      </w:r>
      <w:r w:rsidR="00804872">
        <w:t>5</w:t>
      </w:r>
      <w:r w:rsidR="00707E23">
        <w:t>8</w:t>
      </w:r>
      <w:r w:rsidR="00396B8C">
        <w:t>,000 tonnes</w:t>
      </w:r>
      <w:r w:rsidR="0078762D">
        <w:t>, mainly due to a large shipment of sawdust and wood waste</w:t>
      </w:r>
      <w:r w:rsidR="00707E23">
        <w:t xml:space="preserve">. </w:t>
      </w:r>
      <w:r w:rsidR="00804872">
        <w:t>Exports were split between agricultural organics (54%) and timber (44%).</w:t>
      </w:r>
    </w:p>
    <w:p w14:paraId="5F537C2A" w14:textId="77777777" w:rsidR="0078762D" w:rsidRDefault="0078762D" w:rsidP="00E07B01">
      <w:pPr>
        <w:pStyle w:val="BodyText"/>
      </w:pPr>
    </w:p>
    <w:p w14:paraId="225A0E8A" w14:textId="003D5798" w:rsidR="00EF1770" w:rsidRDefault="003705B5" w:rsidP="00F67595">
      <w:pPr>
        <w:pStyle w:val="Bullet1"/>
        <w:numPr>
          <w:ilvl w:val="0"/>
          <w:numId w:val="0"/>
        </w:numPr>
        <w:spacing w:before="0" w:after="240"/>
      </w:pPr>
      <w:r w:rsidRPr="00A9282F">
        <w:rPr>
          <w:i/>
          <w:color w:val="000099"/>
        </w:rPr>
        <w:t xml:space="preserve">Comparison with the </w:t>
      </w:r>
      <w:r w:rsidR="00192FBE" w:rsidRPr="00A9282F">
        <w:rPr>
          <w:i/>
          <w:color w:val="000099"/>
        </w:rPr>
        <w:t>201</w:t>
      </w:r>
      <w:r w:rsidR="001A7B61">
        <w:rPr>
          <w:i/>
          <w:color w:val="000099"/>
        </w:rPr>
        <w:t>9</w:t>
      </w:r>
      <w:r w:rsidR="00192FBE" w:rsidRPr="00A9282F">
        <w:rPr>
          <w:i/>
          <w:color w:val="000099"/>
        </w:rPr>
        <w:t>-</w:t>
      </w:r>
      <w:r w:rsidR="001A7B61">
        <w:rPr>
          <w:i/>
          <w:color w:val="000099"/>
        </w:rPr>
        <w:t>20</w:t>
      </w:r>
      <w:r w:rsidR="00192FBE" w:rsidRPr="00A9282F">
        <w:rPr>
          <w:i/>
          <w:color w:val="000099"/>
        </w:rPr>
        <w:t xml:space="preserve"> monthly average –</w:t>
      </w:r>
      <w:r w:rsidR="003844E9" w:rsidRPr="00A9282F">
        <w:rPr>
          <w:iCs/>
        </w:rPr>
        <w:t> </w:t>
      </w:r>
      <w:r w:rsidR="0044341D">
        <w:rPr>
          <w:iCs/>
        </w:rPr>
        <w:t>May </w:t>
      </w:r>
      <w:r w:rsidR="0033039B" w:rsidRPr="00A9282F">
        <w:rPr>
          <w:iCs/>
        </w:rPr>
        <w:t>202</w:t>
      </w:r>
      <w:r w:rsidR="000E4807">
        <w:rPr>
          <w:iCs/>
        </w:rPr>
        <w:t>1</w:t>
      </w:r>
      <w:r w:rsidR="008446E0" w:rsidRPr="00A9282F">
        <w:rPr>
          <w:iCs/>
        </w:rPr>
        <w:t xml:space="preserve"> e</w:t>
      </w:r>
      <w:r w:rsidR="009524F9">
        <w:t>xport</w:t>
      </w:r>
      <w:r w:rsidR="00320907">
        <w:t xml:space="preserve"> tonnages were </w:t>
      </w:r>
      <w:r w:rsidR="0044341D">
        <w:t>44</w:t>
      </w:r>
      <w:r w:rsidR="00320907">
        <w:t xml:space="preserve">% </w:t>
      </w:r>
      <w:r w:rsidR="00980E6F">
        <w:t>higher</w:t>
      </w:r>
      <w:r w:rsidR="00320907">
        <w:t xml:space="preserve"> than last year’s monthly average, and the value was </w:t>
      </w:r>
      <w:r w:rsidR="0044341D">
        <w:t>77</w:t>
      </w:r>
      <w:r w:rsidR="00320907">
        <w:t xml:space="preserve">% higher. </w:t>
      </w:r>
      <w:r w:rsidR="0078762D">
        <w:t xml:space="preserve">The </w:t>
      </w:r>
      <w:r w:rsidR="00431C64">
        <w:t>larger difference in value</w:t>
      </w:r>
      <w:r w:rsidR="0078762D">
        <w:t xml:space="preserve"> is </w:t>
      </w:r>
      <w:r w:rsidR="004E702A">
        <w:t xml:space="preserve">mainly attributable </w:t>
      </w:r>
      <w:r w:rsidR="0078762D">
        <w:t xml:space="preserve">to </w:t>
      </w:r>
      <w:r w:rsidR="004E702A">
        <w:t xml:space="preserve">higher reported </w:t>
      </w:r>
      <w:r w:rsidR="0078762D">
        <w:t>value</w:t>
      </w:r>
      <w:r w:rsidR="004E702A">
        <w:t>s per tonne</w:t>
      </w:r>
      <w:r w:rsidR="0078762D">
        <w:t xml:space="preserve"> of metals and paper and cardboard. </w:t>
      </w:r>
      <w:r w:rsidR="002B1919">
        <w:t xml:space="preserve">Tonnages </w:t>
      </w:r>
      <w:r w:rsidR="0044341D">
        <w:t xml:space="preserve">and values </w:t>
      </w:r>
      <w:r w:rsidR="002B1919">
        <w:t xml:space="preserve">were </w:t>
      </w:r>
      <w:r w:rsidR="00B01DD2">
        <w:t>greater</w:t>
      </w:r>
      <w:r w:rsidR="002B1919">
        <w:t xml:space="preserve"> than the 2019-20 average for all waste types except glass</w:t>
      </w:r>
      <w:r w:rsidR="00980E6F">
        <w:t xml:space="preserve"> and </w:t>
      </w:r>
      <w:r w:rsidR="0044341D">
        <w:t>hazardous</w:t>
      </w:r>
      <w:r w:rsidR="004E702A">
        <w:t xml:space="preserve"> wastes</w:t>
      </w:r>
      <w:r w:rsidR="000F0E2A">
        <w:t xml:space="preserve">. </w:t>
      </w:r>
    </w:p>
    <w:p w14:paraId="2DAC6D03" w14:textId="4C7F2F66" w:rsidR="00F67595" w:rsidRPr="00EC7C15" w:rsidRDefault="00165144" w:rsidP="00F67595">
      <w:pPr>
        <w:pStyle w:val="Bullet1"/>
        <w:numPr>
          <w:ilvl w:val="0"/>
          <w:numId w:val="0"/>
        </w:numPr>
        <w:spacing w:before="0" w:after="60"/>
      </w:pPr>
      <w:bookmarkStart w:id="13" w:name="_Hlk71296033"/>
      <w:r w:rsidRPr="00443641">
        <w:rPr>
          <w:noProof/>
        </w:rPr>
        <mc:AlternateContent>
          <mc:Choice Requires="wps">
            <w:drawing>
              <wp:anchor distT="45720" distB="45720" distL="114300" distR="114300" simplePos="0" relativeHeight="251681792" behindDoc="0" locked="0" layoutInCell="1" allowOverlap="1" wp14:anchorId="20843DAE" wp14:editId="24B83E9F">
                <wp:simplePos x="0" y="0"/>
                <wp:positionH relativeFrom="column">
                  <wp:posOffset>5643880</wp:posOffset>
                </wp:positionH>
                <wp:positionV relativeFrom="paragraph">
                  <wp:posOffset>6615430</wp:posOffset>
                </wp:positionV>
                <wp:extent cx="1028700" cy="299720"/>
                <wp:effectExtent l="0" t="0" r="0" b="508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9720"/>
                        </a:xfrm>
                        <a:prstGeom prst="rect">
                          <a:avLst/>
                        </a:prstGeom>
                        <a:noFill/>
                        <a:ln w="9525">
                          <a:noFill/>
                          <a:miter lim="800000"/>
                          <a:headEnd/>
                          <a:tailEnd/>
                        </a:ln>
                      </wps:spPr>
                      <wps:txbx>
                        <w:txbxContent>
                          <w:p w14:paraId="23C9EC5B" w14:textId="1A3AF564" w:rsidR="00DD3258" w:rsidRPr="0024008C" w:rsidRDefault="00DD3258" w:rsidP="00DD3258">
                            <w:pPr>
                              <w:rPr>
                                <w:sz w:val="20"/>
                                <w:szCs w:val="20"/>
                              </w:rPr>
                            </w:pPr>
                            <w:r>
                              <w:rPr>
                                <w:sz w:val="20"/>
                                <w:szCs w:val="20"/>
                              </w:rPr>
                              <w:t>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43DAE" id="_x0000_t202" coordsize="21600,21600" o:spt="202" path="m,l,21600r21600,l21600,xe">
                <v:stroke joinstyle="miter"/>
                <v:path gradientshapeok="t" o:connecttype="rect"/>
              </v:shapetype>
              <v:shape id="Text Box 2" o:spid="_x0000_s1026" type="#_x0000_t202" style="position:absolute;margin-left:444.4pt;margin-top:520.9pt;width:81pt;height:23.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" filled="f" stroked="f">
                <v:textbox>
                  <w:txbxContent>
                    <w:p w14:paraId="23C9EC5B" w14:textId="1A3AF564" w:rsidR="00DD3258" w:rsidRPr="0024008C" w:rsidRDefault="00DD3258" w:rsidP="00DD3258">
                      <w:pPr>
                        <w:rPr>
                          <w:sz w:val="20"/>
                          <w:szCs w:val="20"/>
                        </w:rPr>
                      </w:pPr>
                      <w:r>
                        <w:rPr>
                          <w:sz w:val="20"/>
                          <w:szCs w:val="20"/>
                        </w:rPr>
                        <w:t>Tyres</w:t>
                      </w:r>
                    </w:p>
                  </w:txbxContent>
                </v:textbox>
              </v:shape>
            </w:pict>
          </mc:Fallback>
        </mc:AlternateContent>
      </w:r>
      <w:r w:rsidR="0044341D" w:rsidRPr="00443641">
        <w:rPr>
          <w:noProof/>
        </w:rPr>
        <mc:AlternateContent>
          <mc:Choice Requires="wps">
            <w:drawing>
              <wp:anchor distT="45720" distB="45720" distL="114300" distR="114300" simplePos="0" relativeHeight="251669504" behindDoc="0" locked="0" layoutInCell="1" allowOverlap="1" wp14:anchorId="0AF2FFAB" wp14:editId="7EE3FF6A">
                <wp:simplePos x="0" y="0"/>
                <wp:positionH relativeFrom="column">
                  <wp:posOffset>5653405</wp:posOffset>
                </wp:positionH>
                <wp:positionV relativeFrom="paragraph">
                  <wp:posOffset>4904105</wp:posOffset>
                </wp:positionV>
                <wp:extent cx="1133475" cy="299720"/>
                <wp:effectExtent l="0" t="0" r="0" b="50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0F15095C" w14:textId="77777777" w:rsidR="00231497" w:rsidRPr="0024008C" w:rsidRDefault="00231497" w:rsidP="00443641">
                            <w:pPr>
                              <w:rPr>
                                <w:sz w:val="20"/>
                                <w:szCs w:val="20"/>
                              </w:rPr>
                            </w:pPr>
                            <w:r w:rsidRPr="0024008C">
                              <w:rPr>
                                <w:sz w:val="20"/>
                                <w:szCs w:val="20"/>
                              </w:rPr>
                              <w:t>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2FFAB" id="_x0000_s1027" type="#_x0000_t202" style="position:absolute;margin-left:445.15pt;margin-top:386.15pt;width:89.25pt;height:23.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" filled="f" stroked="f">
                <v:textbox>
                  <w:txbxContent>
                    <w:p w14:paraId="0F15095C" w14:textId="77777777" w:rsidR="00231497" w:rsidRPr="0024008C" w:rsidRDefault="00231497" w:rsidP="00443641">
                      <w:pPr>
                        <w:rPr>
                          <w:sz w:val="20"/>
                          <w:szCs w:val="20"/>
                        </w:rPr>
                      </w:pPr>
                      <w:r w:rsidRPr="0024008C">
                        <w:rPr>
                          <w:sz w:val="20"/>
                          <w:szCs w:val="20"/>
                        </w:rPr>
                        <w:t>Metals</w:t>
                      </w:r>
                    </w:p>
                  </w:txbxContent>
                </v:textbox>
              </v:shape>
            </w:pict>
          </mc:Fallback>
        </mc:AlternateContent>
      </w:r>
      <w:r w:rsidR="00F67595">
        <w:rPr>
          <w:i/>
          <w:color w:val="000099"/>
        </w:rPr>
        <w:t>Trends in tonnage and unit value</w:t>
      </w:r>
    </w:p>
    <w:tbl>
      <w:tblPr>
        <w:tblStyle w:val="TableGridLight1"/>
        <w:tblW w:w="938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2"/>
        <w:gridCol w:w="6148"/>
      </w:tblGrid>
      <w:tr w:rsidR="00895138" w14:paraId="4E4814B2" w14:textId="77777777" w:rsidTr="00DA6A45">
        <w:tc>
          <w:tcPr>
            <w:tcW w:w="3232" w:type="dxa"/>
            <w:vMerge w:val="restart"/>
          </w:tcPr>
          <w:bookmarkEnd w:id="13"/>
          <w:p w14:paraId="4F699C61" w14:textId="4DB10E31" w:rsidR="002B1C11" w:rsidRDefault="002B1C11" w:rsidP="00BB2DA9">
            <w:pPr>
              <w:pStyle w:val="BodyText"/>
              <w:spacing w:after="120"/>
              <w:ind w:left="45"/>
            </w:pPr>
            <w:r>
              <w:fldChar w:fldCharType="begin"/>
            </w:r>
            <w:r>
              <w:instrText xml:space="preserve"> REF _Ref25938868 \h </w:instrText>
            </w:r>
            <w:r w:rsidR="004B27C7">
              <w:instrText xml:space="preserve"> \* MERGEFORMAT </w:instrText>
            </w:r>
            <w:r>
              <w:fldChar w:fldCharType="separate"/>
            </w:r>
            <w:r w:rsidR="00295F56" w:rsidRPr="009C2EA2">
              <w:t xml:space="preserve">Figure </w:t>
            </w:r>
            <w:r w:rsidR="00295F56">
              <w:rPr>
                <w:noProof/>
              </w:rPr>
              <w:t>2</w:t>
            </w:r>
            <w:r>
              <w:fldChar w:fldCharType="end"/>
            </w:r>
            <w:r>
              <w:t xml:space="preserve"> </w:t>
            </w:r>
            <w:r w:rsidRPr="00D80CED">
              <w:t xml:space="preserve">presents the monthly trend in exports of waste from Australia </w:t>
            </w:r>
            <w:r>
              <w:t xml:space="preserve">in tonnes </w:t>
            </w:r>
            <w:r w:rsidRPr="00D80CED">
              <w:t>by material type between July</w:t>
            </w:r>
            <w:r w:rsidR="00E216E7">
              <w:t> </w:t>
            </w:r>
            <w:r w:rsidRPr="00D80CED">
              <w:t xml:space="preserve">2017 and </w:t>
            </w:r>
            <w:r w:rsidR="0044341D">
              <w:t>May </w:t>
            </w:r>
            <w:r w:rsidR="00A42DFF">
              <w:t>2021</w:t>
            </w:r>
            <w:r w:rsidRPr="00D80CED">
              <w:t>.</w:t>
            </w:r>
            <w:r>
              <w:t xml:space="preserve"> </w:t>
            </w:r>
            <w:r w:rsidR="00975D73" w:rsidRPr="00975D73">
              <w:t xml:space="preserve">Scrap metal exports </w:t>
            </w:r>
            <w:r w:rsidR="00804872">
              <w:t>continue to increase</w:t>
            </w:r>
            <w:r w:rsidR="00D463A1">
              <w:t xml:space="preserve"> and have </w:t>
            </w:r>
            <w:r w:rsidR="00804872">
              <w:t>reach</w:t>
            </w:r>
            <w:r w:rsidR="00D463A1">
              <w:t>ed</w:t>
            </w:r>
            <w:r w:rsidR="00804872">
              <w:t xml:space="preserve"> a new high</w:t>
            </w:r>
            <w:r>
              <w:t xml:space="preserve">. </w:t>
            </w:r>
            <w:r w:rsidR="00D463A1">
              <w:t xml:space="preserve">After declining for much of the </w:t>
            </w:r>
            <w:r w:rsidR="00110011">
              <w:t>analysis</w:t>
            </w:r>
            <w:r w:rsidR="00D463A1">
              <w:t xml:space="preserve"> period, e</w:t>
            </w:r>
            <w:r w:rsidR="00975D73" w:rsidRPr="00975D73">
              <w:t>xports of scrap paper and cardboard</w:t>
            </w:r>
            <w:r w:rsidR="00516252">
              <w:t xml:space="preserve"> </w:t>
            </w:r>
            <w:r w:rsidR="004E702A">
              <w:t>recovered in 2020-</w:t>
            </w:r>
            <w:r w:rsidR="00F41093">
              <w:t>21</w:t>
            </w:r>
            <w:r w:rsidR="00975D73" w:rsidRPr="00975D73">
              <w:t xml:space="preserve">. </w:t>
            </w:r>
            <w:r w:rsidR="00D7227C">
              <w:t>S</w:t>
            </w:r>
            <w:r w:rsidR="00C236C8">
              <w:t>crap tyre</w:t>
            </w:r>
            <w:r w:rsidR="00D451BE">
              <w:t xml:space="preserve"> quantities</w:t>
            </w:r>
            <w:r w:rsidR="00C236C8">
              <w:t xml:space="preserve"> </w:t>
            </w:r>
            <w:r w:rsidR="00B119C8">
              <w:t xml:space="preserve">fell </w:t>
            </w:r>
            <w:r w:rsidR="00FF5F26">
              <w:t xml:space="preserve">steadily over 2019-20 </w:t>
            </w:r>
            <w:r w:rsidR="003F7EEB">
              <w:t xml:space="preserve">to </w:t>
            </w:r>
            <w:r w:rsidR="00DA0DF7">
              <w:t xml:space="preserve">reach their lowest level </w:t>
            </w:r>
            <w:r w:rsidR="00FF5F26">
              <w:t>in April</w:t>
            </w:r>
            <w:r w:rsidR="00B119C8">
              <w:t xml:space="preserve"> but</w:t>
            </w:r>
            <w:r w:rsidR="00D451BE">
              <w:t xml:space="preserve"> </w:t>
            </w:r>
            <w:r w:rsidR="009D7769">
              <w:t>then</w:t>
            </w:r>
            <w:r w:rsidR="003E6B48">
              <w:t xml:space="preserve"> increased</w:t>
            </w:r>
            <w:r w:rsidR="005966B5" w:rsidRPr="005966B5">
              <w:rPr>
                <w:vertAlign w:val="superscript"/>
              </w:rPr>
              <w:fldChar w:fldCharType="begin"/>
            </w:r>
            <w:r w:rsidR="005966B5" w:rsidRPr="005966B5">
              <w:rPr>
                <w:vertAlign w:val="superscript"/>
              </w:rPr>
              <w:instrText xml:space="preserve"> NOTEREF _Ref65146468 \h </w:instrText>
            </w:r>
            <w:r w:rsidR="005966B5">
              <w:rPr>
                <w:vertAlign w:val="superscript"/>
              </w:rPr>
              <w:instrText xml:space="preserve"> \* MERGEFORMAT </w:instrText>
            </w:r>
            <w:r w:rsidR="005966B5" w:rsidRPr="005966B5">
              <w:rPr>
                <w:vertAlign w:val="superscript"/>
              </w:rPr>
            </w:r>
            <w:r w:rsidR="005966B5" w:rsidRPr="005966B5">
              <w:rPr>
                <w:vertAlign w:val="superscript"/>
              </w:rPr>
              <w:fldChar w:fldCharType="separate"/>
            </w:r>
            <w:r w:rsidR="00295F56">
              <w:rPr>
                <w:vertAlign w:val="superscript"/>
              </w:rPr>
              <w:t>11</w:t>
            </w:r>
            <w:r w:rsidR="005966B5" w:rsidRPr="005966B5">
              <w:rPr>
                <w:vertAlign w:val="superscript"/>
              </w:rPr>
              <w:fldChar w:fldCharType="end"/>
            </w:r>
            <w:r w:rsidR="00B22636">
              <w:t>.</w:t>
            </w:r>
            <w:r w:rsidR="00FF5F26">
              <w:t xml:space="preserve"> </w:t>
            </w:r>
            <w:r w:rsidR="00267775">
              <w:t xml:space="preserve">Exports of recovered plastics </w:t>
            </w:r>
            <w:r w:rsidR="00DD51FD">
              <w:t>peak</w:t>
            </w:r>
            <w:r w:rsidR="00D463A1">
              <w:t>ed</w:t>
            </w:r>
            <w:r w:rsidR="00DD51FD">
              <w:t xml:space="preserve"> in early 2019</w:t>
            </w:r>
            <w:r w:rsidR="00585A9B">
              <w:t xml:space="preserve">, </w:t>
            </w:r>
            <w:r w:rsidR="004E702A">
              <w:t>dropped</w:t>
            </w:r>
            <w:r w:rsidR="00DD51FD">
              <w:t xml:space="preserve"> </w:t>
            </w:r>
            <w:r w:rsidR="00585A9B">
              <w:t>to a low in August</w:t>
            </w:r>
            <w:r w:rsidR="004E702A">
              <w:t xml:space="preserve"> of that year, but </w:t>
            </w:r>
            <w:r w:rsidR="00D463A1">
              <w:t xml:space="preserve">grew </w:t>
            </w:r>
            <w:r w:rsidR="00975D73">
              <w:t>during</w:t>
            </w:r>
            <w:r w:rsidR="00E75288">
              <w:t xml:space="preserve"> 2020</w:t>
            </w:r>
            <w:r w:rsidR="00D463A1">
              <w:noBreakHyphen/>
            </w:r>
            <w:r w:rsidR="008835D4">
              <w:t>21</w:t>
            </w:r>
            <w:r w:rsidR="009831A3">
              <w:t xml:space="preserve">. </w:t>
            </w:r>
            <w:r w:rsidR="00D463A1">
              <w:t>Textile exports have remained relatively level apart from a drop in mid-2020.</w:t>
            </w:r>
          </w:p>
          <w:p w14:paraId="45962E20" w14:textId="305269FB" w:rsidR="00423A85" w:rsidRPr="00423A85" w:rsidRDefault="00423A85" w:rsidP="00BB2DA9">
            <w:pPr>
              <w:pStyle w:val="BodyText"/>
              <w:ind w:left="45"/>
            </w:pPr>
            <w:r w:rsidRPr="00423A85">
              <w:t>Figure 3 presents monthly trends in the average</w:t>
            </w:r>
            <w:r w:rsidR="00A533D3">
              <w:t xml:space="preserve"> reported</w:t>
            </w:r>
            <w:r w:rsidRPr="00423A85">
              <w:t xml:space="preserve"> </w:t>
            </w:r>
            <w:r w:rsidR="00A533D3">
              <w:t>value per tonne</w:t>
            </w:r>
            <w:r w:rsidRPr="00423A85">
              <w:t xml:space="preserve"> of key waste exports </w:t>
            </w:r>
            <w:r w:rsidR="00C236C8">
              <w:t>from</w:t>
            </w:r>
            <w:r w:rsidRPr="00423A85">
              <w:t xml:space="preserve"> July</w:t>
            </w:r>
            <w:r w:rsidR="00FF5F26">
              <w:t> </w:t>
            </w:r>
            <w:r w:rsidRPr="00423A85">
              <w:t xml:space="preserve">2017 </w:t>
            </w:r>
            <w:r w:rsidR="008A188B">
              <w:t>to</w:t>
            </w:r>
            <w:r w:rsidR="00B22636">
              <w:t xml:space="preserve"> </w:t>
            </w:r>
            <w:r w:rsidR="00F41093">
              <w:t>May </w:t>
            </w:r>
            <w:r w:rsidR="00525E77">
              <w:t>2</w:t>
            </w:r>
            <w:r w:rsidR="008835D4">
              <w:t>021</w:t>
            </w:r>
            <w:r w:rsidRPr="00423A85">
              <w:t xml:space="preserve">. </w:t>
            </w:r>
            <w:r w:rsidR="00C236C8">
              <w:t>R</w:t>
            </w:r>
            <w:r w:rsidR="00A533D3">
              <w:t>eported values</w:t>
            </w:r>
            <w:r w:rsidRPr="00423A85">
              <w:t xml:space="preserve"> for:</w:t>
            </w:r>
            <w:r w:rsidR="000F08A6" w:rsidRPr="00443641">
              <w:rPr>
                <w:noProof/>
              </w:rPr>
              <w:t xml:space="preserve"> </w:t>
            </w:r>
          </w:p>
          <w:p w14:paraId="2D745E8A" w14:textId="49AFAB6A" w:rsidR="00423A85" w:rsidRPr="00423A85" w:rsidRDefault="00423A85" w:rsidP="00BB2DA9">
            <w:pPr>
              <w:pStyle w:val="Bullet1"/>
              <w:ind w:left="329" w:hanging="284"/>
            </w:pPr>
            <w:r w:rsidRPr="00423A85">
              <w:t>metals</w:t>
            </w:r>
            <w:r w:rsidR="00C236C8">
              <w:t xml:space="preserve"> </w:t>
            </w:r>
            <w:r w:rsidR="00C236C8" w:rsidRPr="00C236C8">
              <w:t xml:space="preserve">declined from </w:t>
            </w:r>
            <w:r w:rsidR="006705F7">
              <w:t xml:space="preserve">February </w:t>
            </w:r>
            <w:r w:rsidR="00C236C8" w:rsidRPr="00C236C8">
              <w:t>2018</w:t>
            </w:r>
            <w:r w:rsidR="006705F7">
              <w:t xml:space="preserve"> to June 2020</w:t>
            </w:r>
            <w:r w:rsidR="00C236C8" w:rsidRPr="00C236C8">
              <w:t xml:space="preserve"> </w:t>
            </w:r>
            <w:r w:rsidR="00A45647">
              <w:t xml:space="preserve">but </w:t>
            </w:r>
            <w:r w:rsidR="000A7BB4">
              <w:t xml:space="preserve">have </w:t>
            </w:r>
            <w:r w:rsidR="006705F7">
              <w:t>risen strongly since</w:t>
            </w:r>
            <w:r w:rsidR="00A45647">
              <w:t xml:space="preserve"> </w:t>
            </w:r>
          </w:p>
          <w:p w14:paraId="645B9099" w14:textId="53F1C9A6" w:rsidR="00423A85" w:rsidRPr="00423A85" w:rsidRDefault="00423A85" w:rsidP="00BB2DA9">
            <w:pPr>
              <w:pStyle w:val="Bullet1"/>
              <w:ind w:left="329" w:hanging="284"/>
            </w:pPr>
            <w:r w:rsidRPr="00423A85">
              <w:t>paper and cardboard ha</w:t>
            </w:r>
            <w:r w:rsidR="008835D4">
              <w:t>d</w:t>
            </w:r>
            <w:r w:rsidRPr="00423A85">
              <w:t xml:space="preserve"> been </w:t>
            </w:r>
            <w:r w:rsidR="00C236C8">
              <w:t xml:space="preserve">on a gently </w:t>
            </w:r>
            <w:r w:rsidR="003512A8">
              <w:t xml:space="preserve">declining </w:t>
            </w:r>
            <w:r w:rsidR="00F71327">
              <w:t>trend</w:t>
            </w:r>
            <w:r w:rsidR="001A5071">
              <w:t xml:space="preserve"> but </w:t>
            </w:r>
            <w:r w:rsidR="001002B9">
              <w:t>have risen steadily since December 2020</w:t>
            </w:r>
          </w:p>
          <w:p w14:paraId="25F8AD28" w14:textId="0D9C0829" w:rsidR="00C236C8" w:rsidRDefault="00C236C8" w:rsidP="00BB2DA9">
            <w:pPr>
              <w:pStyle w:val="Bullet1"/>
              <w:ind w:left="329" w:hanging="284"/>
            </w:pPr>
            <w:r w:rsidRPr="00423A85">
              <w:t xml:space="preserve">plastics </w:t>
            </w:r>
            <w:r>
              <w:t>fell during 2018 due to China</w:t>
            </w:r>
            <w:r w:rsidR="001918C8">
              <w:t>’s</w:t>
            </w:r>
            <w:r>
              <w:t xml:space="preserve"> restrictions, but recovered as exports of low-</w:t>
            </w:r>
            <w:r w:rsidR="003E6B48">
              <w:t>grade mixed</w:t>
            </w:r>
            <w:r w:rsidR="009D40F6">
              <w:t xml:space="preserve"> materials fell while higher value streams remained consistent</w:t>
            </w:r>
          </w:p>
          <w:p w14:paraId="7B4FE5A9" w14:textId="31CCFF33" w:rsidR="009D40F6" w:rsidRDefault="009D40F6" w:rsidP="00BB2DA9">
            <w:pPr>
              <w:pStyle w:val="Bullet1"/>
              <w:ind w:left="329" w:hanging="284"/>
            </w:pPr>
            <w:r>
              <w:t>textiles were consistently between $740 and $1,000/t</w:t>
            </w:r>
            <w:r w:rsidR="00937381">
              <w:t xml:space="preserve"> but towards the low end of</w:t>
            </w:r>
            <w:r w:rsidR="009D7769">
              <w:t xml:space="preserve"> that range in 2020-21</w:t>
            </w:r>
          </w:p>
        </w:tc>
        <w:tc>
          <w:tcPr>
            <w:tcW w:w="6148" w:type="dxa"/>
          </w:tcPr>
          <w:p w14:paraId="037C65F7" w14:textId="24E018F0" w:rsidR="002B1C11" w:rsidRDefault="002B1C11" w:rsidP="002B1C11">
            <w:pPr>
              <w:pStyle w:val="Caption"/>
              <w:spacing w:before="0"/>
            </w:pPr>
            <w:bookmarkStart w:id="14" w:name="_Ref526509038"/>
            <w:bookmarkStart w:id="15" w:name="_Ref25938868"/>
            <w:r w:rsidRPr="009C2EA2">
              <w:t xml:space="preserve">Figure </w:t>
            </w:r>
            <w:fldSimple w:instr=" SEQ Figure \* ARABIC ">
              <w:r w:rsidR="00295F56">
                <w:rPr>
                  <w:noProof/>
                </w:rPr>
                <w:t>2</w:t>
              </w:r>
            </w:fldSimple>
            <w:bookmarkEnd w:id="14"/>
            <w:bookmarkEnd w:id="15"/>
            <w:r w:rsidRPr="009C2EA2">
              <w:tab/>
              <w:t xml:space="preserve">Monthly exports of </w:t>
            </w:r>
            <w:r w:rsidR="00C9470A">
              <w:t>waste and recovered materials</w:t>
            </w:r>
            <w:r w:rsidRPr="009C2EA2">
              <w:t xml:space="preserve"> from Australia by material type, July 2017 </w:t>
            </w:r>
            <w:r w:rsidR="001F4E6D">
              <w:t>to</w:t>
            </w:r>
            <w:r w:rsidRPr="009C2EA2">
              <w:t xml:space="preserve"> </w:t>
            </w:r>
            <w:r w:rsidR="0044341D">
              <w:t>May</w:t>
            </w:r>
            <w:r w:rsidR="00525E77">
              <w:t> </w:t>
            </w:r>
            <w:r w:rsidR="00980E6F">
              <w:t>2</w:t>
            </w:r>
            <w:r w:rsidR="00A42DFF">
              <w:t>021</w:t>
            </w:r>
          </w:p>
          <w:p w14:paraId="5F2BD75A" w14:textId="77777777" w:rsidR="00267775" w:rsidRDefault="00255BA6" w:rsidP="00F4505F">
            <w:pPr>
              <w:pStyle w:val="BodyText"/>
            </w:pPr>
            <w:r w:rsidRPr="00A849A8">
              <w:rPr>
                <w:noProof/>
              </w:rPr>
              <mc:AlternateContent>
                <mc:Choice Requires="wps">
                  <w:drawing>
                    <wp:anchor distT="45720" distB="45720" distL="114300" distR="114300" simplePos="0" relativeHeight="251662336" behindDoc="0" locked="0" layoutInCell="1" allowOverlap="1" wp14:anchorId="62896681" wp14:editId="5B00467C">
                      <wp:simplePos x="0" y="0"/>
                      <wp:positionH relativeFrom="page">
                        <wp:posOffset>2139950</wp:posOffset>
                      </wp:positionH>
                      <wp:positionV relativeFrom="paragraph">
                        <wp:posOffset>1683385</wp:posOffset>
                      </wp:positionV>
                      <wp:extent cx="742950" cy="26162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7BA8EEE7" w14:textId="77777777" w:rsidR="00231497" w:rsidRPr="00F33DDA" w:rsidRDefault="00231497" w:rsidP="00A849A8">
                                  <w:pPr>
                                    <w:rPr>
                                      <w:sz w:val="20"/>
                                      <w:szCs w:val="20"/>
                                    </w:rPr>
                                  </w:pPr>
                                  <w:r w:rsidRPr="00F33DDA">
                                    <w:rPr>
                                      <w:sz w:val="20"/>
                                      <w:szCs w:val="20"/>
                                    </w:rPr>
                                    <w:t>Plastics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96681" id="_x0000_s1028" type="#_x0000_t202" style="position:absolute;margin-left:168.5pt;margin-top:132.55pt;width:58.5pt;height:20.6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" filled="f" stroked="f">
                      <v:textbox>
                        <w:txbxContent>
                          <w:p w14:paraId="7BA8EEE7" w14:textId="77777777" w:rsidR="00231497" w:rsidRPr="00F33DDA" w:rsidRDefault="00231497" w:rsidP="00A849A8">
                            <w:pPr>
                              <w:rPr>
                                <w:sz w:val="20"/>
                                <w:szCs w:val="20"/>
                              </w:rPr>
                            </w:pPr>
                            <w:r w:rsidRPr="00F33DDA">
                              <w:rPr>
                                <w:sz w:val="20"/>
                                <w:szCs w:val="20"/>
                              </w:rPr>
                              <w:t>Plastics</w:t>
                            </w:r>
                          </w:p>
                        </w:txbxContent>
                      </v:textbox>
                      <w10:wrap anchorx="page"/>
                    </v:shape>
                  </w:pict>
                </mc:Fallback>
              </mc:AlternateContent>
            </w:r>
            <w:r w:rsidRPr="00A849A8">
              <w:rPr>
                <w:noProof/>
              </w:rPr>
              <mc:AlternateContent>
                <mc:Choice Requires="wps">
                  <w:drawing>
                    <wp:anchor distT="45720" distB="45720" distL="114300" distR="114300" simplePos="0" relativeHeight="251673600" behindDoc="0" locked="0" layoutInCell="1" allowOverlap="1" wp14:anchorId="15469365" wp14:editId="0A9089F4">
                      <wp:simplePos x="0" y="0"/>
                      <wp:positionH relativeFrom="column">
                        <wp:posOffset>3561080</wp:posOffset>
                      </wp:positionH>
                      <wp:positionV relativeFrom="paragraph">
                        <wp:posOffset>2616200</wp:posOffset>
                      </wp:positionV>
                      <wp:extent cx="768350" cy="29019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90195"/>
                              </a:xfrm>
                              <a:prstGeom prst="rect">
                                <a:avLst/>
                              </a:prstGeom>
                              <a:noFill/>
                              <a:ln w="9525">
                                <a:noFill/>
                                <a:miter lim="800000"/>
                                <a:headEnd/>
                                <a:tailEnd/>
                              </a:ln>
                            </wps:spPr>
                            <wps:txbx>
                              <w:txbxContent>
                                <w:p w14:paraId="393F318A" w14:textId="341E9DF2" w:rsidR="00751271" w:rsidRPr="00F33DDA" w:rsidRDefault="00751271" w:rsidP="00751271">
                                  <w:pPr>
                                    <w:rPr>
                                      <w:sz w:val="20"/>
                                      <w:szCs w:val="20"/>
                                    </w:rPr>
                                  </w:pPr>
                                  <w:r>
                                    <w:rPr>
                                      <w:sz w:val="20"/>
                                      <w:szCs w:val="20"/>
                                    </w:rPr>
                                    <w:t>Hazardous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69365" id="_x0000_s1029" type="#_x0000_t202" style="position:absolute;margin-left:280.4pt;margin-top:206pt;width:60.5pt;height:22.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" filled="f" stroked="f">
                      <v:textbox>
                        <w:txbxContent>
                          <w:p w14:paraId="393F318A" w14:textId="341E9DF2" w:rsidR="00751271" w:rsidRPr="00F33DDA" w:rsidRDefault="00751271" w:rsidP="00751271">
                            <w:pPr>
                              <w:rPr>
                                <w:sz w:val="20"/>
                                <w:szCs w:val="20"/>
                              </w:rPr>
                            </w:pPr>
                            <w:r>
                              <w:rPr>
                                <w:sz w:val="20"/>
                                <w:szCs w:val="20"/>
                              </w:rPr>
                              <w:t>Hazardous</w:t>
                            </w:r>
                          </w:p>
                        </w:txbxContent>
                      </v:textbox>
                    </v:shape>
                  </w:pict>
                </mc:Fallback>
              </mc:AlternateContent>
            </w:r>
            <w:r w:rsidRPr="00A849A8">
              <w:rPr>
                <w:noProof/>
              </w:rPr>
              <mc:AlternateContent>
                <mc:Choice Requires="wps">
                  <w:drawing>
                    <wp:anchor distT="45720" distB="45720" distL="114300" distR="114300" simplePos="0" relativeHeight="251665408" behindDoc="0" locked="0" layoutInCell="1" allowOverlap="1" wp14:anchorId="5EFA9D02" wp14:editId="23541092">
                      <wp:simplePos x="0" y="0"/>
                      <wp:positionH relativeFrom="column">
                        <wp:posOffset>3554095</wp:posOffset>
                      </wp:positionH>
                      <wp:positionV relativeFrom="paragraph">
                        <wp:posOffset>2876550</wp:posOffset>
                      </wp:positionV>
                      <wp:extent cx="647700" cy="2901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0195"/>
                              </a:xfrm>
                              <a:prstGeom prst="rect">
                                <a:avLst/>
                              </a:prstGeom>
                              <a:noFill/>
                              <a:ln w="9525">
                                <a:noFill/>
                                <a:miter lim="800000"/>
                                <a:headEnd/>
                                <a:tailEnd/>
                              </a:ln>
                            </wps:spPr>
                            <wps:txbx>
                              <w:txbxContent>
                                <w:p w14:paraId="5E74C796" w14:textId="77777777" w:rsidR="00231497" w:rsidRPr="00F33DDA" w:rsidRDefault="00231497" w:rsidP="00A849A8">
                                  <w:pPr>
                                    <w:rPr>
                                      <w:sz w:val="20"/>
                                      <w:szCs w:val="20"/>
                                    </w:rPr>
                                  </w:pPr>
                                  <w:r w:rsidRPr="00F33DDA">
                                    <w:rPr>
                                      <w:sz w:val="20"/>
                                      <w:szCs w:val="20"/>
                                    </w:rPr>
                                    <w:t>Glass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A9D02" id="_x0000_s1030" type="#_x0000_t202" style="position:absolute;margin-left:279.85pt;margin-top:226.5pt;width:51pt;height:22.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" filled="f" stroked="f">
                      <v:textbox>
                        <w:txbxContent>
                          <w:p w14:paraId="5E74C796" w14:textId="77777777" w:rsidR="00231497" w:rsidRPr="00F33DDA" w:rsidRDefault="00231497" w:rsidP="00A849A8">
                            <w:pPr>
                              <w:rPr>
                                <w:sz w:val="20"/>
                                <w:szCs w:val="20"/>
                              </w:rPr>
                            </w:pPr>
                            <w:r w:rsidRPr="00F33DDA">
                              <w:rPr>
                                <w:sz w:val="20"/>
                                <w:szCs w:val="20"/>
                              </w:rPr>
                              <w:t>Glass</w:t>
                            </w:r>
                          </w:p>
                        </w:txbxContent>
                      </v:textbox>
                    </v:shape>
                  </w:pict>
                </mc:Fallback>
              </mc:AlternateContent>
            </w:r>
            <w:r w:rsidRPr="00A849A8">
              <w:rPr>
                <w:noProof/>
              </w:rPr>
              <mc:AlternateContent>
                <mc:Choice Requires="wps">
                  <w:drawing>
                    <wp:anchor distT="45720" distB="45720" distL="114300" distR="114300" simplePos="0" relativeHeight="251663360" behindDoc="0" locked="0" layoutInCell="1" allowOverlap="1" wp14:anchorId="271A7D33" wp14:editId="5515AC89">
                      <wp:simplePos x="0" y="0"/>
                      <wp:positionH relativeFrom="column">
                        <wp:posOffset>3554095</wp:posOffset>
                      </wp:positionH>
                      <wp:positionV relativeFrom="paragraph">
                        <wp:posOffset>2067560</wp:posOffset>
                      </wp:positionV>
                      <wp:extent cx="847725" cy="23304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3045"/>
                              </a:xfrm>
                              <a:prstGeom prst="rect">
                                <a:avLst/>
                              </a:prstGeom>
                              <a:noFill/>
                              <a:ln w="9525">
                                <a:noFill/>
                                <a:miter lim="800000"/>
                                <a:headEnd/>
                                <a:tailEnd/>
                              </a:ln>
                            </wps:spPr>
                            <wps:txbx>
                              <w:txbxContent>
                                <w:p w14:paraId="6F52CDC3" w14:textId="77777777" w:rsidR="00231497" w:rsidRPr="00F33DDA" w:rsidRDefault="00231497" w:rsidP="00A849A8">
                                  <w:pPr>
                                    <w:rPr>
                                      <w:sz w:val="20"/>
                                      <w:szCs w:val="20"/>
                                    </w:rPr>
                                  </w:pPr>
                                  <w:r w:rsidRPr="00F33DDA">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A7D33" id="_x0000_s1031" type="#_x0000_t202" style="position:absolute;margin-left:279.85pt;margin-top:162.8pt;width:66.75pt;height:18.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" filled="f" stroked="f">
                      <v:textbox>
                        <w:txbxContent>
                          <w:p w14:paraId="6F52CDC3" w14:textId="77777777" w:rsidR="00231497" w:rsidRPr="00F33DDA" w:rsidRDefault="00231497" w:rsidP="00A849A8">
                            <w:pPr>
                              <w:rPr>
                                <w:sz w:val="20"/>
                                <w:szCs w:val="20"/>
                              </w:rPr>
                            </w:pPr>
                            <w:r w:rsidRPr="00F33DDA">
                              <w:rPr>
                                <w:sz w:val="20"/>
                                <w:szCs w:val="20"/>
                              </w:rPr>
                              <w:t>Textiles</w:t>
                            </w: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4CA6F1BF" wp14:editId="751F4C49">
                      <wp:simplePos x="0" y="0"/>
                      <wp:positionH relativeFrom="margin">
                        <wp:posOffset>3549650</wp:posOffset>
                      </wp:positionH>
                      <wp:positionV relativeFrom="paragraph">
                        <wp:posOffset>1820545</wp:posOffset>
                      </wp:positionV>
                      <wp:extent cx="571500" cy="29019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0195"/>
                              </a:xfrm>
                              <a:prstGeom prst="rect">
                                <a:avLst/>
                              </a:prstGeom>
                              <a:noFill/>
                              <a:ln w="9525">
                                <a:noFill/>
                                <a:miter lim="800000"/>
                                <a:headEnd/>
                                <a:tailEnd/>
                              </a:ln>
                            </wps:spPr>
                            <wps:txbx>
                              <w:txbxContent>
                                <w:p w14:paraId="65E95366" w14:textId="77777777" w:rsidR="00231497" w:rsidRPr="00F33DDA" w:rsidRDefault="00231497" w:rsidP="00A849A8">
                                  <w:pPr>
                                    <w:rPr>
                                      <w:sz w:val="20"/>
                                      <w:szCs w:val="20"/>
                                    </w:rPr>
                                  </w:pPr>
                                  <w:r w:rsidRPr="00F33DDA">
                                    <w:rPr>
                                      <w:sz w:val="20"/>
                                      <w:szCs w:val="20"/>
                                    </w:rPr>
                                    <w:t>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6F1BF" id="_x0000_s1032" type="#_x0000_t202" style="position:absolute;margin-left:279.5pt;margin-top:143.35pt;width:45pt;height:22.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" filled="f" stroked="f">
                      <v:textbox>
                        <w:txbxContent>
                          <w:p w14:paraId="65E95366" w14:textId="77777777" w:rsidR="00231497" w:rsidRPr="00F33DDA" w:rsidRDefault="00231497" w:rsidP="00A849A8">
                            <w:pPr>
                              <w:rPr>
                                <w:sz w:val="20"/>
                                <w:szCs w:val="20"/>
                              </w:rPr>
                            </w:pPr>
                            <w:r w:rsidRPr="00F33DDA">
                              <w:rPr>
                                <w:sz w:val="20"/>
                                <w:szCs w:val="20"/>
                              </w:rPr>
                              <w:t>Tyres</w:t>
                            </w:r>
                          </w:p>
                        </w:txbxContent>
                      </v:textbox>
                      <w10:wrap anchorx="margin"/>
                    </v:shape>
                  </w:pict>
                </mc:Fallback>
              </mc:AlternateContent>
            </w:r>
            <w:r w:rsidR="00D463A1" w:rsidRPr="00A849A8">
              <w:rPr>
                <w:noProof/>
              </w:rPr>
              <mc:AlternateContent>
                <mc:Choice Requires="wps">
                  <w:drawing>
                    <wp:anchor distT="45720" distB="45720" distL="114300" distR="114300" simplePos="0" relativeHeight="251687936" behindDoc="0" locked="0" layoutInCell="1" allowOverlap="1" wp14:anchorId="35AFBE65" wp14:editId="1711AA31">
                      <wp:simplePos x="0" y="0"/>
                      <wp:positionH relativeFrom="page">
                        <wp:posOffset>3676650</wp:posOffset>
                      </wp:positionH>
                      <wp:positionV relativeFrom="paragraph">
                        <wp:posOffset>866140</wp:posOffset>
                      </wp:positionV>
                      <wp:extent cx="742950" cy="261620"/>
                      <wp:effectExtent l="0" t="0" r="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688D74AF" w14:textId="6787B87B" w:rsidR="00443A58" w:rsidRPr="00F33DDA" w:rsidRDefault="00443A58" w:rsidP="00443A58">
                                  <w:pPr>
                                    <w:rPr>
                                      <w:sz w:val="20"/>
                                      <w:szCs w:val="20"/>
                                    </w:rPr>
                                  </w:pPr>
                                  <w:r>
                                    <w:rPr>
                                      <w:sz w:val="20"/>
                                      <w:szCs w:val="20"/>
                                    </w:rPr>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FBE65" id="Text Box 4" o:spid="_x0000_s1033" type="#_x0000_t202" style="position:absolute;margin-left:289.5pt;margin-top:68.2pt;width:58.5pt;height:20.6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" filled="f" stroked="f">
                      <v:textbox>
                        <w:txbxContent>
                          <w:p w14:paraId="688D74AF" w14:textId="6787B87B" w:rsidR="00443A58" w:rsidRPr="00F33DDA" w:rsidRDefault="00443A58" w:rsidP="00443A58">
                            <w:pPr>
                              <w:rPr>
                                <w:sz w:val="20"/>
                                <w:szCs w:val="20"/>
                              </w:rPr>
                            </w:pPr>
                            <w:r>
                              <w:rPr>
                                <w:sz w:val="20"/>
                                <w:szCs w:val="20"/>
                              </w:rPr>
                              <w:t>Other</w:t>
                            </w:r>
                          </w:p>
                        </w:txbxContent>
                      </v:textbox>
                      <w10:wrap anchorx="page"/>
                    </v:shape>
                  </w:pict>
                </mc:Fallback>
              </mc:AlternateContent>
            </w:r>
            <w:r w:rsidR="00D463A1" w:rsidRPr="00A849A8">
              <w:rPr>
                <w:noProof/>
              </w:rPr>
              <mc:AlternateContent>
                <mc:Choice Requires="wps">
                  <w:drawing>
                    <wp:anchor distT="45720" distB="45720" distL="114300" distR="114300" simplePos="0" relativeHeight="251671552" behindDoc="0" locked="0" layoutInCell="1" allowOverlap="1" wp14:anchorId="48934E21" wp14:editId="39135D54">
                      <wp:simplePos x="0" y="0"/>
                      <wp:positionH relativeFrom="page">
                        <wp:posOffset>3664585</wp:posOffset>
                      </wp:positionH>
                      <wp:positionV relativeFrom="paragraph">
                        <wp:posOffset>671195</wp:posOffset>
                      </wp:positionV>
                      <wp:extent cx="923925" cy="2667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66700"/>
                              </a:xfrm>
                              <a:prstGeom prst="rect">
                                <a:avLst/>
                              </a:prstGeom>
                              <a:noFill/>
                              <a:ln w="9525">
                                <a:noFill/>
                                <a:miter lim="800000"/>
                                <a:headEnd/>
                                <a:tailEnd/>
                              </a:ln>
                            </wps:spPr>
                            <wps:txbx>
                              <w:txbxContent>
                                <w:p w14:paraId="4578F0B4" w14:textId="7C24034C" w:rsidR="00751271" w:rsidRDefault="00751271" w:rsidP="00751271">
                                  <w:r>
                                    <w:rPr>
                                      <w:sz w:val="20"/>
                                      <w:szCs w:val="20"/>
                                    </w:rPr>
                                    <w:t>Paper &amp; card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34E21" id="_x0000_s1034" type="#_x0000_t202" style="position:absolute;margin-left:288.55pt;margin-top:52.85pt;width:72.75pt;height:21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" filled="f" stroked="f">
                      <v:textbox>
                        <w:txbxContent>
                          <w:p w14:paraId="4578F0B4" w14:textId="7C24034C" w:rsidR="00751271" w:rsidRDefault="00751271" w:rsidP="00751271">
                            <w:r>
                              <w:rPr>
                                <w:sz w:val="20"/>
                                <w:szCs w:val="20"/>
                              </w:rPr>
                              <w:t>Paper &amp; card</w:t>
                            </w:r>
                          </w:p>
                        </w:txbxContent>
                      </v:textbox>
                      <w10:wrap anchorx="page"/>
                    </v:shape>
                  </w:pict>
                </mc:Fallback>
              </mc:AlternateContent>
            </w:r>
            <w:r w:rsidR="0044341D" w:rsidRPr="00A849A8">
              <w:rPr>
                <w:noProof/>
              </w:rPr>
              <mc:AlternateContent>
                <mc:Choice Requires="wps">
                  <w:drawing>
                    <wp:anchor distT="45720" distB="45720" distL="114300" distR="114300" simplePos="0" relativeHeight="251685888" behindDoc="0" locked="0" layoutInCell="1" allowOverlap="1" wp14:anchorId="76566EAA" wp14:editId="2D980D62">
                      <wp:simplePos x="0" y="0"/>
                      <wp:positionH relativeFrom="page">
                        <wp:posOffset>3624580</wp:posOffset>
                      </wp:positionH>
                      <wp:positionV relativeFrom="paragraph">
                        <wp:posOffset>57785</wp:posOffset>
                      </wp:positionV>
                      <wp:extent cx="742950" cy="2616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251F7835" w14:textId="634CE862" w:rsidR="00443A58" w:rsidRPr="00F33DDA" w:rsidRDefault="00443A58" w:rsidP="00443A58">
                                  <w:pPr>
                                    <w:rPr>
                                      <w:sz w:val="20"/>
                                      <w:szCs w:val="20"/>
                                    </w:rPr>
                                  </w:pPr>
                                  <w:r>
                                    <w:rPr>
                                      <w:sz w:val="20"/>
                                      <w:szCs w:val="20"/>
                                    </w:rPr>
                                    <w:t>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66EAA" id="_x0000_s1035" type="#_x0000_t202" style="position:absolute;margin-left:285.4pt;margin-top:4.55pt;width:58.5pt;height:20.6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" filled="f" stroked="f">
                      <v:textbox>
                        <w:txbxContent>
                          <w:p w14:paraId="251F7835" w14:textId="634CE862" w:rsidR="00443A58" w:rsidRPr="00F33DDA" w:rsidRDefault="00443A58" w:rsidP="00443A58">
                            <w:pPr>
                              <w:rPr>
                                <w:sz w:val="20"/>
                                <w:szCs w:val="20"/>
                              </w:rPr>
                            </w:pPr>
                            <w:r>
                              <w:rPr>
                                <w:sz w:val="20"/>
                                <w:szCs w:val="20"/>
                              </w:rPr>
                              <w:t>Metals</w:t>
                            </w:r>
                          </w:p>
                        </w:txbxContent>
                      </v:textbox>
                      <w10:wrap anchorx="page"/>
                    </v:shape>
                  </w:pict>
                </mc:Fallback>
              </mc:AlternateContent>
            </w:r>
            <w:r w:rsidR="00D463A1">
              <w:rPr>
                <w:noProof/>
              </w:rPr>
              <w:drawing>
                <wp:inline distT="0" distB="0" distL="0" distR="0" wp14:anchorId="75DE6738" wp14:editId="14D30C31">
                  <wp:extent cx="3757619" cy="353510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6769" cy="3562525"/>
                          </a:xfrm>
                          <a:prstGeom prst="rect">
                            <a:avLst/>
                          </a:prstGeom>
                          <a:noFill/>
                        </pic:spPr>
                      </pic:pic>
                    </a:graphicData>
                  </a:graphic>
                </wp:inline>
              </w:drawing>
            </w:r>
          </w:p>
          <w:p w14:paraId="432A7144" w14:textId="12B259CD" w:rsidR="00255BA6" w:rsidRDefault="00255BA6" w:rsidP="00F4505F">
            <w:pPr>
              <w:pStyle w:val="BodyText"/>
            </w:pPr>
          </w:p>
        </w:tc>
      </w:tr>
      <w:tr w:rsidR="00895138" w14:paraId="1E37619D" w14:textId="77777777" w:rsidTr="0096725A">
        <w:trPr>
          <w:trHeight w:val="70"/>
        </w:trPr>
        <w:tc>
          <w:tcPr>
            <w:tcW w:w="3232" w:type="dxa"/>
            <w:vMerge/>
          </w:tcPr>
          <w:p w14:paraId="3E4EC615" w14:textId="77777777" w:rsidR="002B1C11" w:rsidRDefault="002B1C11" w:rsidP="00985CC9">
            <w:pPr>
              <w:pStyle w:val="BodyText"/>
            </w:pPr>
          </w:p>
        </w:tc>
        <w:tc>
          <w:tcPr>
            <w:tcW w:w="6148" w:type="dxa"/>
          </w:tcPr>
          <w:p w14:paraId="286D1191" w14:textId="0D3AB616" w:rsidR="001E5EF1" w:rsidRDefault="002B1C11" w:rsidP="00E00740">
            <w:pPr>
              <w:pStyle w:val="Caption"/>
              <w:spacing w:before="0"/>
            </w:pPr>
            <w:r w:rsidRPr="00937381">
              <w:t xml:space="preserve">Figure </w:t>
            </w:r>
            <w:fldSimple w:instr=" SEQ Figure \* ARABIC ">
              <w:r w:rsidR="00295F56">
                <w:rPr>
                  <w:noProof/>
                </w:rPr>
                <w:t>3</w:t>
              </w:r>
            </w:fldSimple>
            <w:r w:rsidRPr="00937381">
              <w:tab/>
              <w:t xml:space="preserve">Comparison of unit </w:t>
            </w:r>
            <w:r w:rsidR="00A533D3" w:rsidRPr="00937381">
              <w:t>values</w:t>
            </w:r>
            <w:r w:rsidRPr="00937381">
              <w:t xml:space="preserve"> by material (in $/t), July 2017 </w:t>
            </w:r>
            <w:r w:rsidR="001F4E6D" w:rsidRPr="00937381">
              <w:t>to</w:t>
            </w:r>
            <w:r w:rsidR="00DD3258" w:rsidRPr="00937381">
              <w:t xml:space="preserve"> </w:t>
            </w:r>
            <w:r w:rsidR="0044341D">
              <w:t>May</w:t>
            </w:r>
            <w:r w:rsidR="00525E77">
              <w:t> </w:t>
            </w:r>
            <w:r w:rsidR="00C65029" w:rsidRPr="00937381">
              <w:t>2021</w:t>
            </w:r>
            <w:r w:rsidR="00176834">
              <w:t xml:space="preserve"> </w:t>
            </w:r>
          </w:p>
          <w:p w14:paraId="15DB11AE" w14:textId="464A34EB" w:rsidR="00B22636" w:rsidRPr="00B22636" w:rsidRDefault="00165144" w:rsidP="00B22636">
            <w:pPr>
              <w:pStyle w:val="BodyText"/>
            </w:pPr>
            <w:r w:rsidRPr="00443641">
              <w:rPr>
                <w:noProof/>
              </w:rPr>
              <mc:AlternateContent>
                <mc:Choice Requires="wps">
                  <w:drawing>
                    <wp:anchor distT="45720" distB="45720" distL="114300" distR="114300" simplePos="0" relativeHeight="251677696" behindDoc="0" locked="0" layoutInCell="1" allowOverlap="1" wp14:anchorId="3C8F447F" wp14:editId="13978AAD">
                      <wp:simplePos x="0" y="0"/>
                      <wp:positionH relativeFrom="column">
                        <wp:posOffset>3616325</wp:posOffset>
                      </wp:positionH>
                      <wp:positionV relativeFrom="paragraph">
                        <wp:posOffset>1449070</wp:posOffset>
                      </wp:positionV>
                      <wp:extent cx="1028700" cy="299720"/>
                      <wp:effectExtent l="0" t="0" r="0" b="508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9720"/>
                              </a:xfrm>
                              <a:prstGeom prst="rect">
                                <a:avLst/>
                              </a:prstGeom>
                              <a:noFill/>
                              <a:ln w="9525">
                                <a:noFill/>
                                <a:miter lim="800000"/>
                                <a:headEnd/>
                                <a:tailEnd/>
                              </a:ln>
                            </wps:spPr>
                            <wps:txbx>
                              <w:txbxContent>
                                <w:p w14:paraId="2B6657C2" w14:textId="61014E48" w:rsidR="00DD3258" w:rsidRPr="0024008C" w:rsidRDefault="00DD3258" w:rsidP="00DD3258">
                                  <w:pPr>
                                    <w:rPr>
                                      <w:sz w:val="20"/>
                                      <w:szCs w:val="20"/>
                                    </w:rPr>
                                  </w:pPr>
                                  <w:r>
                                    <w:rPr>
                                      <w:sz w:val="20"/>
                                      <w:szCs w:val="20"/>
                                    </w:rPr>
                                    <w:t>Plastic</w:t>
                                  </w:r>
                                  <w:r w:rsidR="007D0FE2">
                                    <w:rPr>
                                      <w:sz w:val="20"/>
                                      <w:szCs w:val="20"/>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F447F" id="_x0000_s1036" type="#_x0000_t202" style="position:absolute;margin-left:284.75pt;margin-top:114.1pt;width:81pt;height:23.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" filled="f" stroked="f">
                      <v:textbox>
                        <w:txbxContent>
                          <w:p w14:paraId="2B6657C2" w14:textId="61014E48" w:rsidR="00DD3258" w:rsidRPr="0024008C" w:rsidRDefault="00DD3258" w:rsidP="00DD3258">
                            <w:pPr>
                              <w:rPr>
                                <w:sz w:val="20"/>
                                <w:szCs w:val="20"/>
                              </w:rPr>
                            </w:pPr>
                            <w:r>
                              <w:rPr>
                                <w:sz w:val="20"/>
                                <w:szCs w:val="20"/>
                              </w:rPr>
                              <w:t>Plastic</w:t>
                            </w:r>
                            <w:r w:rsidR="007D0FE2">
                              <w:rPr>
                                <w:sz w:val="20"/>
                                <w:szCs w:val="20"/>
                              </w:rPr>
                              <w:t>s</w:t>
                            </w:r>
                          </w:p>
                        </w:txbxContent>
                      </v:textbox>
                    </v:shape>
                  </w:pict>
                </mc:Fallback>
              </mc:AlternateContent>
            </w:r>
            <w:r w:rsidRPr="00443641">
              <w:rPr>
                <w:noProof/>
              </w:rPr>
              <mc:AlternateContent>
                <mc:Choice Requires="wps">
                  <w:drawing>
                    <wp:anchor distT="45720" distB="45720" distL="114300" distR="114300" simplePos="0" relativeHeight="251694080" behindDoc="0" locked="0" layoutInCell="1" allowOverlap="1" wp14:anchorId="16A8DE21" wp14:editId="0AF127F7">
                      <wp:simplePos x="0" y="0"/>
                      <wp:positionH relativeFrom="column">
                        <wp:posOffset>3609975</wp:posOffset>
                      </wp:positionH>
                      <wp:positionV relativeFrom="paragraph">
                        <wp:posOffset>1626235</wp:posOffset>
                      </wp:positionV>
                      <wp:extent cx="1133475" cy="299720"/>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33179E02" w14:textId="4FD8D185" w:rsidR="00443A58" w:rsidRPr="0024008C" w:rsidRDefault="00443A58" w:rsidP="00443A58">
                                  <w:pPr>
                                    <w:rPr>
                                      <w:sz w:val="20"/>
                                      <w:szCs w:val="20"/>
                                    </w:rPr>
                                  </w:pPr>
                                  <w:r>
                                    <w:rPr>
                                      <w:sz w:val="20"/>
                                      <w:szCs w:val="20"/>
                                    </w:rPr>
                                    <w:t>Paper &amp; card.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8DE21" id="_x0000_s1037" type="#_x0000_t202" style="position:absolute;margin-left:284.25pt;margin-top:128.05pt;width:89.25pt;height:23.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" filled="f" stroked="f">
                      <v:textbox>
                        <w:txbxContent>
                          <w:p w14:paraId="33179E02" w14:textId="4FD8D185" w:rsidR="00443A58" w:rsidRPr="0024008C" w:rsidRDefault="00443A58" w:rsidP="00443A58">
                            <w:pPr>
                              <w:rPr>
                                <w:sz w:val="20"/>
                                <w:szCs w:val="20"/>
                              </w:rPr>
                            </w:pPr>
                            <w:r>
                              <w:rPr>
                                <w:sz w:val="20"/>
                                <w:szCs w:val="20"/>
                              </w:rPr>
                              <w:t>Paper &amp; card.</w:t>
                            </w:r>
                          </w:p>
                        </w:txbxContent>
                      </v:textbox>
                    </v:shape>
                  </w:pict>
                </mc:Fallback>
              </mc:AlternateContent>
            </w:r>
            <w:r w:rsidR="007D0FE2" w:rsidRPr="00443641">
              <w:rPr>
                <w:noProof/>
              </w:rPr>
              <mc:AlternateContent>
                <mc:Choice Requires="wps">
                  <w:drawing>
                    <wp:anchor distT="45720" distB="45720" distL="114300" distR="114300" simplePos="0" relativeHeight="251689984" behindDoc="0" locked="0" layoutInCell="1" allowOverlap="1" wp14:anchorId="2443AFD8" wp14:editId="20DFA7A5">
                      <wp:simplePos x="0" y="0"/>
                      <wp:positionH relativeFrom="column">
                        <wp:posOffset>3635375</wp:posOffset>
                      </wp:positionH>
                      <wp:positionV relativeFrom="paragraph">
                        <wp:posOffset>704215</wp:posOffset>
                      </wp:positionV>
                      <wp:extent cx="1133475" cy="299720"/>
                      <wp:effectExtent l="0" t="0" r="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451CF34C" w14:textId="487C6719" w:rsidR="00443A58" w:rsidRPr="0024008C" w:rsidRDefault="00443A58" w:rsidP="00443A58">
                                  <w:pPr>
                                    <w:rPr>
                                      <w:sz w:val="20"/>
                                      <w:szCs w:val="20"/>
                                    </w:rPr>
                                  </w:pPr>
                                  <w:r>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3AFD8" id="_x0000_s1038" type="#_x0000_t202" style="position:absolute;margin-left:286.25pt;margin-top:55.45pt;width:89.25pt;height:23.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" filled="f" stroked="f">
                      <v:textbox>
                        <w:txbxContent>
                          <w:p w14:paraId="451CF34C" w14:textId="487C6719" w:rsidR="00443A58" w:rsidRPr="0024008C" w:rsidRDefault="00443A58" w:rsidP="00443A58">
                            <w:pPr>
                              <w:rPr>
                                <w:sz w:val="20"/>
                                <w:szCs w:val="20"/>
                              </w:rPr>
                            </w:pPr>
                            <w:r>
                              <w:rPr>
                                <w:sz w:val="20"/>
                                <w:szCs w:val="20"/>
                              </w:rPr>
                              <w:t>Textiles</w:t>
                            </w:r>
                          </w:p>
                        </w:txbxContent>
                      </v:textbox>
                    </v:shape>
                  </w:pict>
                </mc:Fallback>
              </mc:AlternateContent>
            </w:r>
            <w:r w:rsidR="0044341D">
              <w:rPr>
                <w:noProof/>
              </w:rPr>
              <w:drawing>
                <wp:inline distT="0" distB="0" distL="0" distR="0" wp14:anchorId="5153A9AC" wp14:editId="11A11EBA">
                  <wp:extent cx="3766820" cy="2714625"/>
                  <wp:effectExtent l="0" t="0" r="508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66820" cy="2714625"/>
                          </a:xfrm>
                          <a:prstGeom prst="rect">
                            <a:avLst/>
                          </a:prstGeom>
                        </pic:spPr>
                      </pic:pic>
                    </a:graphicData>
                  </a:graphic>
                </wp:inline>
              </w:drawing>
            </w:r>
          </w:p>
          <w:p w14:paraId="6F11F02A" w14:textId="08115388" w:rsidR="004B27C7" w:rsidRDefault="004B27C7" w:rsidP="00CF0CED">
            <w:pPr>
              <w:pStyle w:val="BodyText"/>
              <w:jc w:val="right"/>
            </w:pPr>
          </w:p>
        </w:tc>
      </w:tr>
    </w:tbl>
    <w:p w14:paraId="17F86070" w14:textId="13D6A8C4" w:rsidR="009D40F6" w:rsidRDefault="008342E7" w:rsidP="00050CA2">
      <w:pPr>
        <w:pStyle w:val="Bullet1"/>
        <w:ind w:left="284" w:hanging="284"/>
      </w:pPr>
      <w:r>
        <w:t>tyres dipped in 2019</w:t>
      </w:r>
      <w:r w:rsidR="008C6FA9">
        <w:t>, peaked in April 2020 and have been declining since</w:t>
      </w:r>
    </w:p>
    <w:p w14:paraId="2BA9CB15" w14:textId="698C4CF9" w:rsidR="00C236C8" w:rsidRDefault="00577D97" w:rsidP="00050CA2">
      <w:pPr>
        <w:pStyle w:val="Bullet1"/>
        <w:ind w:left="284" w:hanging="284"/>
      </w:pPr>
      <w:r>
        <w:t xml:space="preserve">glass </w:t>
      </w:r>
      <w:r w:rsidR="005B0531">
        <w:t>are</w:t>
      </w:r>
      <w:r>
        <w:t xml:space="preserve"> not shown as</w:t>
      </w:r>
      <w:r w:rsidR="00D463A1">
        <w:t xml:space="preserve"> very little of this material is now exported</w:t>
      </w:r>
      <w:r>
        <w:t>.</w:t>
      </w:r>
      <w:r w:rsidR="00525E77">
        <w:t xml:space="preserve"> </w:t>
      </w:r>
      <w:r w:rsidR="00C236C8">
        <w:br w:type="page"/>
      </w:r>
    </w:p>
    <w:p w14:paraId="32552A69" w14:textId="12E97048" w:rsidR="00EA539A" w:rsidRDefault="00EA539A" w:rsidP="0064473D">
      <w:pPr>
        <w:pStyle w:val="Heading3-nonumber"/>
      </w:pPr>
      <w:r>
        <w:lastRenderedPageBreak/>
        <w:t>Port of loading and state of origin</w:t>
      </w:r>
    </w:p>
    <w:p w14:paraId="17378E56" w14:textId="25418F03" w:rsidR="00BA2323" w:rsidRDefault="004039CA" w:rsidP="004039CA">
      <w:pPr>
        <w:pStyle w:val="BodyText"/>
      </w:pPr>
      <w:r>
        <w:t>Between</w:t>
      </w:r>
      <w:r w:rsidR="00D95153">
        <w:t xml:space="preserve"> January 2020</w:t>
      </w:r>
      <w:bookmarkStart w:id="16" w:name="_Hlk64650786"/>
      <w:r w:rsidR="006D190F" w:rsidRPr="006D190F">
        <w:rPr>
          <w:vertAlign w:val="superscript"/>
        </w:rPr>
        <w:footnoteReference w:id="12"/>
      </w:r>
      <w:bookmarkEnd w:id="16"/>
      <w:r w:rsidR="00A66E03">
        <w:t xml:space="preserve"> </w:t>
      </w:r>
      <w:r>
        <w:t xml:space="preserve">and </w:t>
      </w:r>
      <w:r w:rsidR="0044341D">
        <w:t>May </w:t>
      </w:r>
      <w:r>
        <w:t xml:space="preserve">2021 </w:t>
      </w:r>
      <w:r w:rsidR="001C6127">
        <w:t xml:space="preserve">about 81% of Australia’s waste and recovered materials </w:t>
      </w:r>
      <w:r>
        <w:t>were</w:t>
      </w:r>
      <w:r w:rsidR="001C6127">
        <w:t xml:space="preserve"> exported from four ports: Melbourne (25%); Sydney (20%); Brisbane (19%); and Fremantle (1</w:t>
      </w:r>
      <w:r w:rsidR="001A1A84">
        <w:t>7</w:t>
      </w:r>
      <w:r w:rsidR="001C6127">
        <w:t xml:space="preserve">%). </w:t>
      </w:r>
      <w:r w:rsidR="001C6127">
        <w:fldChar w:fldCharType="begin"/>
      </w:r>
      <w:r w:rsidR="001C6127">
        <w:instrText xml:space="preserve"> REF _Ref62130017 \h </w:instrText>
      </w:r>
      <w:r w:rsidR="001C6127">
        <w:fldChar w:fldCharType="separate"/>
      </w:r>
      <w:r w:rsidR="00295F56">
        <w:t xml:space="preserve">Figure </w:t>
      </w:r>
      <w:r w:rsidR="00295F56">
        <w:rPr>
          <w:noProof/>
        </w:rPr>
        <w:t>4</w:t>
      </w:r>
      <w:r w:rsidR="001C6127">
        <w:fldChar w:fldCharType="end"/>
      </w:r>
      <w:r w:rsidR="001C6127">
        <w:t xml:space="preserve"> </w:t>
      </w:r>
      <w:r w:rsidR="00E33409">
        <w:t>compares</w:t>
      </w:r>
      <w:r w:rsidR="001C6127">
        <w:t xml:space="preserve"> the average monthly tonnes exported </w:t>
      </w:r>
      <w:r w:rsidR="00436BFC">
        <w:t>between</w:t>
      </w:r>
      <w:r w:rsidR="001C6127">
        <w:t xml:space="preserve"> January 2020 </w:t>
      </w:r>
      <w:r w:rsidR="00436BFC">
        <w:t>and</w:t>
      </w:r>
      <w:r w:rsidR="001C6127">
        <w:t xml:space="preserve"> </w:t>
      </w:r>
      <w:r w:rsidR="0044341D">
        <w:t>April 2</w:t>
      </w:r>
      <w:r w:rsidR="001C6127">
        <w:t xml:space="preserve">021 </w:t>
      </w:r>
      <w:r w:rsidR="00E33409">
        <w:t>with</w:t>
      </w:r>
      <w:r w:rsidR="00A66E03">
        <w:t xml:space="preserve"> the </w:t>
      </w:r>
      <w:r w:rsidR="0044341D">
        <w:t>May </w:t>
      </w:r>
      <w:r w:rsidR="00A30106">
        <w:t>2021</w:t>
      </w:r>
      <w:r w:rsidR="00A66E03">
        <w:t xml:space="preserve"> tonnes</w:t>
      </w:r>
      <w:r w:rsidR="00E33409">
        <w:t>, by material group,</w:t>
      </w:r>
      <w:r w:rsidR="00A66E03">
        <w:t xml:space="preserve"> fr</w:t>
      </w:r>
      <w:r w:rsidR="001C6127">
        <w:t>om</w:t>
      </w:r>
      <w:r w:rsidR="00A66E03">
        <w:t xml:space="preserve"> each of the top four ports and </w:t>
      </w:r>
      <w:r w:rsidR="003E45C4">
        <w:t xml:space="preserve">from </w:t>
      </w:r>
      <w:r w:rsidR="00A66E03">
        <w:t>all other ports</w:t>
      </w:r>
      <w:r w:rsidR="001C6127">
        <w:t xml:space="preserve"> combined</w:t>
      </w:r>
      <w:r w:rsidR="00A66E03">
        <w:t>.</w:t>
      </w:r>
      <w:r w:rsidR="00E72F5A">
        <w:t xml:space="preserve"> </w:t>
      </w:r>
      <w:r w:rsidR="003707D8" w:rsidRPr="0028283A">
        <w:t xml:space="preserve">Exports </w:t>
      </w:r>
      <w:r w:rsidR="0028283A" w:rsidRPr="0028283A">
        <w:t xml:space="preserve">from all ports exceeded the average this month. </w:t>
      </w:r>
      <w:r w:rsidR="004662BB">
        <w:t>For the four main ports,</w:t>
      </w:r>
      <w:r w:rsidR="0028283A" w:rsidRPr="0028283A">
        <w:t xml:space="preserve"> Melbourne</w:t>
      </w:r>
      <w:r w:rsidR="004662BB">
        <w:t>, Sydney, Brisbane</w:t>
      </w:r>
      <w:r w:rsidR="0028283A" w:rsidRPr="0028283A">
        <w:t xml:space="preserve"> and Fremantle, </w:t>
      </w:r>
      <w:r w:rsidR="004662BB">
        <w:t xml:space="preserve">this was driven by the </w:t>
      </w:r>
      <w:r w:rsidR="00255BA6">
        <w:t>large increase</w:t>
      </w:r>
      <w:r w:rsidR="004662BB">
        <w:t xml:space="preserve"> in metal exports. </w:t>
      </w:r>
      <w:r w:rsidR="0023312D" w:rsidRPr="004662BB">
        <w:t>Exports</w:t>
      </w:r>
      <w:r w:rsidR="004662BB" w:rsidRPr="004662BB">
        <w:t xml:space="preserve"> from ‘all other ports’ exceeded the average due to </w:t>
      </w:r>
      <w:r w:rsidR="004662BB">
        <w:t>wastes from ‘</w:t>
      </w:r>
      <w:r w:rsidR="004662BB" w:rsidRPr="004662BB">
        <w:t>other</w:t>
      </w:r>
      <w:r w:rsidR="004662BB">
        <w:t>’</w:t>
      </w:r>
      <w:r w:rsidR="004662BB" w:rsidRPr="004662BB">
        <w:t xml:space="preserve"> category. This was mainly due to a large shipment of sawdust and wood waste from Bundaberg to Japan</w:t>
      </w:r>
      <w:r w:rsidR="00255BA6">
        <w:t>, which occur</w:t>
      </w:r>
      <w:r w:rsidR="00110011">
        <w:t>s</w:t>
      </w:r>
      <w:r w:rsidR="00255BA6">
        <w:t xml:space="preserve"> periodically</w:t>
      </w:r>
      <w:r w:rsidR="004662BB" w:rsidRPr="004662BB">
        <w:t xml:space="preserve">. </w:t>
      </w:r>
    </w:p>
    <w:p w14:paraId="7B83CF88" w14:textId="39C3C6DA" w:rsidR="00BA2323" w:rsidRDefault="00BA2323" w:rsidP="00E87CA5">
      <w:pPr>
        <w:pStyle w:val="Caption"/>
        <w:keepNext/>
        <w:spacing w:after="120"/>
      </w:pPr>
      <w:bookmarkStart w:id="17" w:name="_Ref62130017"/>
      <w:r>
        <w:t xml:space="preserve">Figure </w:t>
      </w:r>
      <w:fldSimple w:instr=" SEQ Figure \* ARABIC ">
        <w:r w:rsidR="00295F56">
          <w:rPr>
            <w:noProof/>
          </w:rPr>
          <w:t>4</w:t>
        </w:r>
      </w:fldSimple>
      <w:bookmarkEnd w:id="17"/>
      <w:r>
        <w:tab/>
      </w:r>
      <w:r w:rsidR="008342E7">
        <w:t>Monthly</w:t>
      </w:r>
      <w:r>
        <w:t xml:space="preserve"> exports by </w:t>
      </w:r>
      <w:r w:rsidR="008342E7">
        <w:t xml:space="preserve">material </w:t>
      </w:r>
      <w:r>
        <w:t>from port of loading</w:t>
      </w:r>
      <w:r w:rsidR="008342E7">
        <w:t xml:space="preserve"> – latest month compared with average</w:t>
      </w:r>
    </w:p>
    <w:p w14:paraId="706E7D8A" w14:textId="174F4136" w:rsidR="00BA2323" w:rsidRDefault="00B41978" w:rsidP="00EA539A">
      <w:pPr>
        <w:pStyle w:val="BodyText"/>
      </w:pPr>
      <w:r>
        <w:rPr>
          <w:noProof/>
        </w:rPr>
        <w:drawing>
          <wp:inline distT="0" distB="0" distL="0" distR="0" wp14:anchorId="754BCA81" wp14:editId="656AB683">
            <wp:extent cx="6344920" cy="29547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8672" cy="2961170"/>
                    </a:xfrm>
                    <a:prstGeom prst="rect">
                      <a:avLst/>
                    </a:prstGeom>
                    <a:noFill/>
                  </pic:spPr>
                </pic:pic>
              </a:graphicData>
            </a:graphic>
          </wp:inline>
        </w:drawing>
      </w:r>
    </w:p>
    <w:p w14:paraId="03F77A6D" w14:textId="48206A49" w:rsidR="001210EF" w:rsidRDefault="001210EF" w:rsidP="00EA539A">
      <w:pPr>
        <w:pStyle w:val="BodyText"/>
      </w:pPr>
    </w:p>
    <w:p w14:paraId="69B44241" w14:textId="658B95B0" w:rsidR="000B2A07" w:rsidRDefault="006666EC" w:rsidP="00CE47D6">
      <w:pPr>
        <w:pStyle w:val="BodyText"/>
        <w:spacing w:after="120"/>
      </w:pPr>
      <w:bookmarkStart w:id="18" w:name="_Hlk65148197"/>
      <w:bookmarkStart w:id="19" w:name="_Hlk65146735"/>
      <w:bookmarkStart w:id="20" w:name="_Hlk65143717"/>
      <w:r>
        <w:t>Most waste</w:t>
      </w:r>
      <w:r w:rsidR="00D21079">
        <w:t xml:space="preserve"> and recovered materials</w:t>
      </w:r>
      <w:r>
        <w:t xml:space="preserve"> </w:t>
      </w:r>
      <w:r w:rsidR="00D21079">
        <w:t>are</w:t>
      </w:r>
      <w:r>
        <w:t xml:space="preserve"> exported from a</w:t>
      </w:r>
      <w:r w:rsidR="001210EF">
        <w:t xml:space="preserve"> port </w:t>
      </w:r>
      <w:r>
        <w:t xml:space="preserve">in </w:t>
      </w:r>
      <w:r w:rsidR="00A86113">
        <w:t xml:space="preserve">the </w:t>
      </w:r>
      <w:r>
        <w:t>jurisdiction</w:t>
      </w:r>
      <w:r w:rsidR="005E53BC">
        <w:t xml:space="preserve"> where they are generated</w:t>
      </w:r>
      <w:r w:rsidR="003E45C4">
        <w:t xml:space="preserve">, </w:t>
      </w:r>
      <w:r w:rsidR="00E33409">
        <w:t>but</w:t>
      </w:r>
      <w:r w:rsidR="003E45C4">
        <w:t xml:space="preserve"> </w:t>
      </w:r>
      <w:r w:rsidR="001210EF">
        <w:t>Tasmania</w:t>
      </w:r>
      <w:r w:rsidR="005E53BC">
        <w:t xml:space="preserve"> </w:t>
      </w:r>
      <w:r w:rsidR="001210EF">
        <w:t>export</w:t>
      </w:r>
      <w:r w:rsidR="0035502C">
        <w:t>ed</w:t>
      </w:r>
      <w:r w:rsidR="001210EF">
        <w:t xml:space="preserve"> </w:t>
      </w:r>
      <w:r w:rsidR="0035502C">
        <w:t>less than</w:t>
      </w:r>
      <w:r w:rsidR="00A92302">
        <w:t xml:space="preserve"> half</w:t>
      </w:r>
      <w:r w:rsidR="00EE3ECA">
        <w:t xml:space="preserve"> of its waste</w:t>
      </w:r>
      <w:r w:rsidR="0035502C">
        <w:t xml:space="preserve"> from Launceston</w:t>
      </w:r>
      <w:r w:rsidR="00E33409">
        <w:t xml:space="preserve"> while </w:t>
      </w:r>
      <w:r w:rsidR="0035502C">
        <w:t xml:space="preserve">the rest </w:t>
      </w:r>
      <w:r w:rsidR="00577D97">
        <w:t>went</w:t>
      </w:r>
      <w:r w:rsidR="001210EF">
        <w:t xml:space="preserve"> </w:t>
      </w:r>
      <w:r w:rsidR="000B2A07">
        <w:t xml:space="preserve">via </w:t>
      </w:r>
      <w:r w:rsidR="001210EF">
        <w:t>Melbourne</w:t>
      </w:r>
      <w:r w:rsidR="0035502C">
        <w:t> (4</w:t>
      </w:r>
      <w:r w:rsidR="00E47662">
        <w:t>6</w:t>
      </w:r>
      <w:r w:rsidR="0035502C">
        <w:t>%)</w:t>
      </w:r>
      <w:r w:rsidR="00ED37E0">
        <w:t xml:space="preserve"> and</w:t>
      </w:r>
      <w:r w:rsidR="0035502C">
        <w:t xml:space="preserve"> Sydney (</w:t>
      </w:r>
      <w:r w:rsidR="00E47662">
        <w:t>12</w:t>
      </w:r>
      <w:r w:rsidR="0035502C">
        <w:t>%). I</w:t>
      </w:r>
      <w:r w:rsidR="00ED37E0">
        <w:t>t is understood that</w:t>
      </w:r>
      <w:r w:rsidR="00255BA6">
        <w:t xml:space="preserve"> exported</w:t>
      </w:r>
      <w:r w:rsidR="00ED37E0">
        <w:t xml:space="preserve"> materials </w:t>
      </w:r>
      <w:r w:rsidR="00255BA6">
        <w:t xml:space="preserve">generated in </w:t>
      </w:r>
      <w:r w:rsidR="0037134E">
        <w:t xml:space="preserve">the Australian Capital Territory </w:t>
      </w:r>
      <w:r w:rsidR="004039CA" w:rsidRPr="004039CA">
        <w:t>are</w:t>
      </w:r>
      <w:r w:rsidR="00255BA6">
        <w:t xml:space="preserve"> typically</w:t>
      </w:r>
      <w:r w:rsidR="004039CA" w:rsidRPr="004039CA">
        <w:t xml:space="preserve"> exported from </w:t>
      </w:r>
      <w:r w:rsidR="00ED37E0">
        <w:t>Sydney</w:t>
      </w:r>
      <w:r w:rsidR="001210EF">
        <w:t>.</w:t>
      </w:r>
      <w:bookmarkEnd w:id="18"/>
      <w:r w:rsidR="001210EF">
        <w:t xml:space="preserve"> </w:t>
      </w:r>
      <w:bookmarkEnd w:id="19"/>
    </w:p>
    <w:bookmarkEnd w:id="20"/>
    <w:p w14:paraId="37C6970C" w14:textId="2B8B1BFF" w:rsidR="00CC06A4" w:rsidRDefault="001F4E6D" w:rsidP="0064473D">
      <w:pPr>
        <w:pStyle w:val="Heading3-nonumber"/>
      </w:pPr>
      <w:r>
        <w:t xml:space="preserve">Australian </w:t>
      </w:r>
      <w:r w:rsidR="00CC06A4">
        <w:t>waste export ban</w:t>
      </w:r>
    </w:p>
    <w:p w14:paraId="3C8A2B16" w14:textId="25CACF68" w:rsidR="0073263E" w:rsidRDefault="00773ED4" w:rsidP="00CE47D6">
      <w:pPr>
        <w:pStyle w:val="BodyText"/>
        <w:spacing w:after="120"/>
      </w:pPr>
      <w:r w:rsidRPr="00773ED4">
        <w:t xml:space="preserve">A March 2020 meeting of the </w:t>
      </w:r>
      <w:r w:rsidR="001F4E6D">
        <w:t xml:space="preserve">then </w:t>
      </w:r>
      <w:r w:rsidRPr="00773ED4">
        <w:t xml:space="preserve">Council of Australian Governments agreed to a </w:t>
      </w:r>
      <w:r w:rsidR="007F1D94">
        <w:t>timetable</w:t>
      </w:r>
      <w:r w:rsidRPr="00773ED4">
        <w:t xml:space="preserve"> for implementing bans on exporting waste glass, paper, </w:t>
      </w:r>
      <w:r w:rsidR="00FD65B5" w:rsidRPr="00773ED4">
        <w:t>plastics,</w:t>
      </w:r>
      <w:r w:rsidRPr="00773ED4">
        <w:t xml:space="preserve"> and tyres not processed into a value-added material. The relevant materials, dates and main export codes are shown in </w:t>
      </w:r>
      <w:r w:rsidR="003B469B">
        <w:fldChar w:fldCharType="begin"/>
      </w:r>
      <w:r w:rsidR="003B469B">
        <w:instrText xml:space="preserve"> REF _Ref25932917 \h </w:instrText>
      </w:r>
      <w:r w:rsidR="003B469B">
        <w:fldChar w:fldCharType="separate"/>
      </w:r>
      <w:r w:rsidR="00295F56">
        <w:t xml:space="preserve">Table </w:t>
      </w:r>
      <w:r w:rsidR="00295F56">
        <w:rPr>
          <w:noProof/>
        </w:rPr>
        <w:t>3</w:t>
      </w:r>
      <w:r w:rsidR="003B469B">
        <w:fldChar w:fldCharType="end"/>
      </w:r>
      <w:r w:rsidR="003B469B">
        <w:t>.</w:t>
      </w:r>
      <w:r w:rsidR="005D3783">
        <w:t xml:space="preserve"> </w:t>
      </w:r>
    </w:p>
    <w:p w14:paraId="19BB2D50" w14:textId="262EBBB7" w:rsidR="0077121F" w:rsidRDefault="0073263E" w:rsidP="00CE47D6">
      <w:pPr>
        <w:spacing w:after="120"/>
      </w:pPr>
      <w:r>
        <w:t xml:space="preserve">In </w:t>
      </w:r>
      <w:r w:rsidR="00170211">
        <w:t>May</w:t>
      </w:r>
      <w:r w:rsidR="0023312D">
        <w:t> </w:t>
      </w:r>
      <w:r w:rsidR="00F50009">
        <w:t>2021</w:t>
      </w:r>
      <w:r>
        <w:t xml:space="preserve">, about </w:t>
      </w:r>
      <w:r w:rsidR="0023312D">
        <w:t>1</w:t>
      </w:r>
      <w:r w:rsidR="00170211">
        <w:t>32</w:t>
      </w:r>
      <w:r>
        <w:t xml:space="preserve">,000 tonnes of waste and recovered materials were exported </w:t>
      </w:r>
      <w:r w:rsidRPr="00AE34EA">
        <w:t>within the codes listed</w:t>
      </w:r>
      <w:r>
        <w:t xml:space="preserve">, </w:t>
      </w:r>
      <w:r w:rsidR="00170211">
        <w:t>up</w:t>
      </w:r>
      <w:r w:rsidR="0023312D">
        <w:t xml:space="preserve"> from </w:t>
      </w:r>
      <w:r w:rsidR="00F50009">
        <w:t>1</w:t>
      </w:r>
      <w:r w:rsidR="00170211">
        <w:t>09</w:t>
      </w:r>
      <w:r w:rsidRPr="00B30B2A">
        <w:t>,000</w:t>
      </w:r>
      <w:r w:rsidR="001918C8">
        <w:t xml:space="preserve"> tonnes</w:t>
      </w:r>
      <w:r>
        <w:t xml:space="preserve"> in </w:t>
      </w:r>
      <w:r w:rsidR="00170211">
        <w:t>April</w:t>
      </w:r>
      <w:r>
        <w:t xml:space="preserve">. This represents about </w:t>
      </w:r>
      <w:r w:rsidR="00170211">
        <w:t>26</w:t>
      </w:r>
      <w:r>
        <w:t xml:space="preserve">% of the total quantity of waste and recovered materials exported for the month, and </w:t>
      </w:r>
      <w:r w:rsidR="00170211">
        <w:t>29</w:t>
      </w:r>
      <w:r>
        <w:t xml:space="preserve">% of </w:t>
      </w:r>
      <w:r w:rsidR="006D72E3">
        <w:t>all</w:t>
      </w:r>
      <w:r>
        <w:t xml:space="preserve"> exports within the ‘core waste + ash’ scope of </w:t>
      </w:r>
      <w:r w:rsidR="00B81BAF">
        <w:t>national waste reporting</w:t>
      </w:r>
      <w:r>
        <w:t xml:space="preserve">. </w:t>
      </w:r>
    </w:p>
    <w:p w14:paraId="7ADDACC0" w14:textId="29772766" w:rsidR="001C6127" w:rsidRDefault="00255BA6" w:rsidP="00CE47D6">
      <w:pPr>
        <w:spacing w:after="120"/>
        <w:sectPr w:rsidR="001C6127" w:rsidSect="00983FE9">
          <w:headerReference w:type="default" r:id="rId17"/>
          <w:footerReference w:type="default" r:id="rId18"/>
          <w:pgSz w:w="11906" w:h="16838" w:code="9"/>
          <w:pgMar w:top="1247" w:right="1134" w:bottom="907" w:left="1134" w:header="709" w:footer="0" w:gutter="0"/>
          <w:cols w:space="708"/>
          <w:docGrid w:linePitch="360"/>
        </w:sectPr>
      </w:pPr>
      <w:bookmarkStart w:id="21" w:name="_Hlk74244875"/>
      <w:r>
        <w:t xml:space="preserve">The second material stream to face a ban was </w:t>
      </w:r>
      <w:r w:rsidR="001C6127">
        <w:t xml:space="preserve">mixed polymer scrap plastics, which </w:t>
      </w:r>
      <w:r>
        <w:t xml:space="preserve">came </w:t>
      </w:r>
      <w:r w:rsidR="001C6127">
        <w:t xml:space="preserve">into force on 1 July 2021. </w:t>
      </w:r>
      <w:r w:rsidR="00622325">
        <w:t xml:space="preserve">From this date, the four </w:t>
      </w:r>
      <w:r>
        <w:t xml:space="preserve">pre-existing </w:t>
      </w:r>
      <w:r w:rsidR="00622325">
        <w:t>AHECC codes for scrap plastic</w:t>
      </w:r>
      <w:r>
        <w:t xml:space="preserve"> were</w:t>
      </w:r>
      <w:r w:rsidR="00622325">
        <w:t xml:space="preserve"> replaced with nine new codes, with more specific definitions</w:t>
      </w:r>
      <w:r w:rsidR="00170211">
        <w:t xml:space="preserve">. </w:t>
      </w:r>
      <w:r w:rsidR="00054513">
        <w:t>Government and industry</w:t>
      </w:r>
      <w:r w:rsidR="001C6127">
        <w:t xml:space="preserve"> are dealing with the challenge of ensuring that sufficient local sorting capacity is available for mixed rigid packaging plastic</w:t>
      </w:r>
      <w:r w:rsidR="00267D5A">
        <w:t>s</w:t>
      </w:r>
      <w:r w:rsidR="001C6127">
        <w:t xml:space="preserve"> from kerbside collections, which ha</w:t>
      </w:r>
      <w:r w:rsidR="00123283">
        <w:t>ve</w:t>
      </w:r>
      <w:r w:rsidR="001C6127">
        <w:t xml:space="preserve"> previously been exported. </w:t>
      </w:r>
      <w:r w:rsidR="00623F69">
        <w:t>An estimated</w:t>
      </w:r>
      <w:r w:rsidR="001C6127">
        <w:t xml:space="preserve"> 6,</w:t>
      </w:r>
      <w:r w:rsidR="0023312D">
        <w:t>4</w:t>
      </w:r>
      <w:r w:rsidR="001C6127">
        <w:t xml:space="preserve">00 tonnes of </w:t>
      </w:r>
      <w:r w:rsidR="00623F69">
        <w:t xml:space="preserve">this </w:t>
      </w:r>
      <w:r w:rsidR="001C6127">
        <w:t xml:space="preserve">material </w:t>
      </w:r>
      <w:r w:rsidR="00E2538F">
        <w:t>were</w:t>
      </w:r>
      <w:r w:rsidR="001C6127">
        <w:t xml:space="preserve"> exported in </w:t>
      </w:r>
      <w:r w:rsidR="00622325">
        <w:t>May </w:t>
      </w:r>
      <w:r w:rsidR="007077E4">
        <w:t>2021</w:t>
      </w:r>
      <w:r w:rsidR="001C6127">
        <w:t xml:space="preserve">. </w:t>
      </w:r>
    </w:p>
    <w:p w14:paraId="008E47E7" w14:textId="69AC2D83" w:rsidR="00CC06A4" w:rsidRDefault="00CC06A4" w:rsidP="0064473D">
      <w:pPr>
        <w:pStyle w:val="Caption"/>
      </w:pPr>
      <w:bookmarkStart w:id="22" w:name="_Ref25932917"/>
      <w:bookmarkEnd w:id="21"/>
      <w:r>
        <w:lastRenderedPageBreak/>
        <w:t xml:space="preserve">Table </w:t>
      </w:r>
      <w:fldSimple w:instr=" SEQ Table \* ARABIC ">
        <w:r w:rsidR="00295F56">
          <w:rPr>
            <w:noProof/>
          </w:rPr>
          <w:t>3</w:t>
        </w:r>
      </w:fldSimple>
      <w:bookmarkEnd w:id="22"/>
      <w:r>
        <w:tab/>
        <w:t>Material types facing export bans</w:t>
      </w:r>
    </w:p>
    <w:tbl>
      <w:tblPr>
        <w:tblStyle w:val="BE-table1"/>
        <w:tblW w:w="9741" w:type="dxa"/>
        <w:tblCellMar>
          <w:top w:w="17" w:type="dxa"/>
          <w:bottom w:w="17" w:type="dxa"/>
        </w:tblCellMar>
        <w:tblLook w:val="04A0" w:firstRow="1" w:lastRow="0" w:firstColumn="1" w:lastColumn="0" w:noHBand="0" w:noVBand="1"/>
      </w:tblPr>
      <w:tblGrid>
        <w:gridCol w:w="1271"/>
        <w:gridCol w:w="823"/>
        <w:gridCol w:w="1057"/>
        <w:gridCol w:w="3671"/>
        <w:gridCol w:w="996"/>
        <w:gridCol w:w="681"/>
        <w:gridCol w:w="1242"/>
      </w:tblGrid>
      <w:tr w:rsidR="00362BB3" w14:paraId="76AA2951" w14:textId="77777777" w:rsidTr="00947696">
        <w:trPr>
          <w:cnfStyle w:val="100000000000" w:firstRow="1" w:lastRow="0" w:firstColumn="0" w:lastColumn="0" w:oddVBand="0" w:evenVBand="0" w:oddHBand="0" w:evenHBand="0" w:firstRowFirstColumn="0" w:firstRowLastColumn="0" w:lastRowFirstColumn="0" w:lastRowLastColumn="0"/>
          <w:tblHeader/>
        </w:trPr>
        <w:tc>
          <w:tcPr>
            <w:tcW w:w="987" w:type="dxa"/>
            <w:tcBorders>
              <w:right w:val="nil"/>
            </w:tcBorders>
            <w:shd w:val="clear" w:color="auto" w:fill="9494D4" w:themeFill="accent1" w:themeFillTint="99"/>
            <w:tcMar>
              <w:left w:w="57" w:type="dxa"/>
              <w:right w:w="57" w:type="dxa"/>
            </w:tcMar>
          </w:tcPr>
          <w:p w14:paraId="6B94E352" w14:textId="77777777" w:rsidR="001F4E6D" w:rsidRDefault="001F4E6D" w:rsidP="006E12AB">
            <w:pPr>
              <w:pStyle w:val="BodyText"/>
            </w:pPr>
            <w:r>
              <w:t>Material</w:t>
            </w:r>
          </w:p>
        </w:tc>
        <w:tc>
          <w:tcPr>
            <w:tcW w:w="845" w:type="dxa"/>
            <w:tcBorders>
              <w:left w:val="nil"/>
              <w:right w:val="nil"/>
            </w:tcBorders>
            <w:shd w:val="clear" w:color="auto" w:fill="9494D4" w:themeFill="accent1" w:themeFillTint="99"/>
            <w:tcMar>
              <w:left w:w="57" w:type="dxa"/>
              <w:right w:w="57" w:type="dxa"/>
            </w:tcMar>
          </w:tcPr>
          <w:p w14:paraId="49E1A7E4" w14:textId="77777777" w:rsidR="001F4E6D" w:rsidRDefault="001F4E6D" w:rsidP="006E12AB">
            <w:pPr>
              <w:pStyle w:val="BodyText"/>
            </w:pPr>
            <w:r>
              <w:t>Ban date</w:t>
            </w:r>
          </w:p>
        </w:tc>
        <w:tc>
          <w:tcPr>
            <w:tcW w:w="1057" w:type="dxa"/>
            <w:tcBorders>
              <w:left w:val="nil"/>
              <w:right w:val="nil"/>
            </w:tcBorders>
            <w:shd w:val="clear" w:color="auto" w:fill="9494D4" w:themeFill="accent1" w:themeFillTint="99"/>
            <w:tcMar>
              <w:left w:w="57" w:type="dxa"/>
              <w:right w:w="57" w:type="dxa"/>
            </w:tcMar>
          </w:tcPr>
          <w:p w14:paraId="70F2B8CE" w14:textId="77777777" w:rsidR="001F4E6D" w:rsidRDefault="001F4E6D" w:rsidP="006E12AB">
            <w:pPr>
              <w:pStyle w:val="BodyText"/>
            </w:pPr>
            <w:r>
              <w:t>AHECC</w:t>
            </w:r>
            <w:r>
              <w:rPr>
                <w:rStyle w:val="FootnoteReference"/>
              </w:rPr>
              <w:footnoteReference w:id="13"/>
            </w:r>
            <w:r>
              <w:t xml:space="preserve"> code</w:t>
            </w:r>
          </w:p>
        </w:tc>
        <w:tc>
          <w:tcPr>
            <w:tcW w:w="3854" w:type="dxa"/>
            <w:tcBorders>
              <w:left w:val="nil"/>
              <w:right w:val="nil"/>
            </w:tcBorders>
            <w:shd w:val="clear" w:color="auto" w:fill="9494D4" w:themeFill="accent1" w:themeFillTint="99"/>
            <w:tcMar>
              <w:left w:w="57" w:type="dxa"/>
              <w:right w:w="57" w:type="dxa"/>
            </w:tcMar>
          </w:tcPr>
          <w:p w14:paraId="2AA8B504" w14:textId="77777777" w:rsidR="001F4E6D" w:rsidRDefault="001F4E6D" w:rsidP="006E12AB">
            <w:pPr>
              <w:pStyle w:val="BodyText"/>
            </w:pPr>
            <w:r>
              <w:t>AHECC description</w:t>
            </w:r>
          </w:p>
        </w:tc>
        <w:tc>
          <w:tcPr>
            <w:tcW w:w="1734" w:type="dxa"/>
            <w:gridSpan w:val="2"/>
            <w:tcBorders>
              <w:left w:val="nil"/>
              <w:right w:val="nil"/>
            </w:tcBorders>
            <w:shd w:val="clear" w:color="auto" w:fill="9494D4" w:themeFill="accent1" w:themeFillTint="99"/>
            <w:tcMar>
              <w:left w:w="57" w:type="dxa"/>
              <w:right w:w="57" w:type="dxa"/>
            </w:tcMar>
            <w:vAlign w:val="center"/>
          </w:tcPr>
          <w:p w14:paraId="25352FCC" w14:textId="32E1894E" w:rsidR="001F4E6D" w:rsidRDefault="00170211" w:rsidP="006E12AB">
            <w:pPr>
              <w:pStyle w:val="BodyText"/>
              <w:jc w:val="right"/>
            </w:pPr>
            <w:r>
              <w:t>May</w:t>
            </w:r>
            <w:r w:rsidR="00F50009">
              <w:t xml:space="preserve"> 21</w:t>
            </w:r>
            <w:r w:rsidR="001F4E6D">
              <w:t xml:space="preserve"> exports in this code (rounded tonnes)</w:t>
            </w:r>
          </w:p>
        </w:tc>
        <w:tc>
          <w:tcPr>
            <w:tcW w:w="1264" w:type="dxa"/>
            <w:tcBorders>
              <w:left w:val="nil"/>
            </w:tcBorders>
            <w:shd w:val="clear" w:color="auto" w:fill="9494D4" w:themeFill="accent1" w:themeFillTint="99"/>
            <w:tcMar>
              <w:left w:w="57" w:type="dxa"/>
              <w:right w:w="57" w:type="dxa"/>
            </w:tcMar>
          </w:tcPr>
          <w:p w14:paraId="04777AAE" w14:textId="77777777" w:rsidR="001F4E6D" w:rsidRDefault="001F4E6D" w:rsidP="006E12AB">
            <w:pPr>
              <w:pStyle w:val="BodyText"/>
              <w:jc w:val="right"/>
            </w:pPr>
            <w:r>
              <w:t>Estimated % of tonnes to be banned</w:t>
            </w:r>
            <w:r>
              <w:rPr>
                <w:rStyle w:val="FootnoteReference"/>
              </w:rPr>
              <w:footnoteReference w:id="14"/>
            </w:r>
          </w:p>
        </w:tc>
      </w:tr>
      <w:tr w:rsidR="00362BB3" w14:paraId="3BC6789B" w14:textId="77777777" w:rsidTr="00947696">
        <w:trPr>
          <w:trHeight w:val="445"/>
        </w:trPr>
        <w:tc>
          <w:tcPr>
            <w:tcW w:w="987" w:type="dxa"/>
            <w:tcBorders>
              <w:right w:val="single" w:sz="4" w:space="0" w:color="B7B7E2" w:themeColor="accent1" w:themeTint="66"/>
            </w:tcBorders>
            <w:tcMar>
              <w:left w:w="57" w:type="dxa"/>
              <w:right w:w="57" w:type="dxa"/>
            </w:tcMar>
            <w:vAlign w:val="center"/>
          </w:tcPr>
          <w:p w14:paraId="79000CE5" w14:textId="36BD3682" w:rsidR="001B5592" w:rsidRDefault="00362BB3" w:rsidP="006E12AB">
            <w:pPr>
              <w:pStyle w:val="BodyText"/>
            </w:pPr>
            <w:r>
              <w:t xml:space="preserve">Glass (unprocessed) </w:t>
            </w:r>
          </w:p>
        </w:tc>
        <w:tc>
          <w:tcPr>
            <w:tcW w:w="845" w:type="dxa"/>
            <w:tcBorders>
              <w:left w:val="single" w:sz="4" w:space="0" w:color="B7B7E2" w:themeColor="accent1" w:themeTint="66"/>
            </w:tcBorders>
            <w:tcMar>
              <w:left w:w="57" w:type="dxa"/>
              <w:right w:w="57" w:type="dxa"/>
            </w:tcMar>
            <w:vAlign w:val="center"/>
          </w:tcPr>
          <w:p w14:paraId="11FBB2CB" w14:textId="77777777" w:rsidR="001B5592" w:rsidRPr="00740C3B" w:rsidRDefault="001B5592" w:rsidP="006E12AB">
            <w:pPr>
              <w:pStyle w:val="BodyText"/>
            </w:pPr>
            <w:r>
              <w:t>Jan 2021</w:t>
            </w:r>
          </w:p>
        </w:tc>
        <w:tc>
          <w:tcPr>
            <w:tcW w:w="1057" w:type="dxa"/>
            <w:tcMar>
              <w:left w:w="57" w:type="dxa"/>
              <w:right w:w="57" w:type="dxa"/>
            </w:tcMar>
            <w:vAlign w:val="center"/>
          </w:tcPr>
          <w:p w14:paraId="0006C422" w14:textId="34508A86" w:rsidR="001B5592" w:rsidRDefault="001B5592" w:rsidP="006E12AB">
            <w:pPr>
              <w:pStyle w:val="BodyText"/>
            </w:pPr>
            <w:r>
              <w:t>70010091</w:t>
            </w:r>
            <w:r>
              <w:rPr>
                <w:rStyle w:val="FootnoteReference"/>
              </w:rPr>
              <w:footnoteReference w:id="15"/>
            </w:r>
            <w:r>
              <w:t xml:space="preserve"> </w:t>
            </w:r>
          </w:p>
        </w:tc>
        <w:tc>
          <w:tcPr>
            <w:tcW w:w="4907" w:type="dxa"/>
            <w:gridSpan w:val="2"/>
            <w:tcMar>
              <w:left w:w="57" w:type="dxa"/>
              <w:right w:w="57" w:type="dxa"/>
            </w:tcMar>
            <w:vAlign w:val="center"/>
          </w:tcPr>
          <w:p w14:paraId="1E9EEA2D" w14:textId="69DC7D5D" w:rsidR="001B5592" w:rsidRDefault="001B5592" w:rsidP="006E12AB">
            <w:pPr>
              <w:pStyle w:val="BodyText"/>
            </w:pPr>
            <w:r>
              <w:t xml:space="preserve">Glass in the mass, cullet and other waste and scrap of glass, </w:t>
            </w:r>
            <w:r w:rsidR="00623F69">
              <w:t>not elsewhere specified</w:t>
            </w:r>
          </w:p>
        </w:tc>
        <w:tc>
          <w:tcPr>
            <w:tcW w:w="681" w:type="dxa"/>
            <w:shd w:val="clear" w:color="auto" w:fill="auto"/>
            <w:tcMar>
              <w:left w:w="57" w:type="dxa"/>
              <w:right w:w="57" w:type="dxa"/>
            </w:tcMar>
            <w:vAlign w:val="center"/>
          </w:tcPr>
          <w:p w14:paraId="518A7F10" w14:textId="6CEBF266" w:rsidR="001B5592" w:rsidRPr="002F026E" w:rsidRDefault="00170211" w:rsidP="006E12AB">
            <w:pPr>
              <w:pStyle w:val="BodyText"/>
              <w:jc w:val="right"/>
              <w:rPr>
                <w:szCs w:val="20"/>
              </w:rPr>
            </w:pPr>
            <w:r>
              <w:rPr>
                <w:szCs w:val="20"/>
              </w:rPr>
              <w:t>20</w:t>
            </w:r>
            <w:r w:rsidR="004751EB">
              <w:rPr>
                <w:rStyle w:val="FootnoteReference"/>
                <w:szCs w:val="20"/>
              </w:rPr>
              <w:footnoteReference w:id="16"/>
            </w:r>
          </w:p>
        </w:tc>
        <w:tc>
          <w:tcPr>
            <w:tcW w:w="1264" w:type="dxa"/>
            <w:tcMar>
              <w:left w:w="57" w:type="dxa"/>
              <w:right w:w="57" w:type="dxa"/>
            </w:tcMar>
            <w:vAlign w:val="center"/>
          </w:tcPr>
          <w:p w14:paraId="49397190" w14:textId="265B2662" w:rsidR="001B5592" w:rsidRPr="00C81A8B" w:rsidRDefault="001B5592" w:rsidP="006E12AB">
            <w:pPr>
              <w:pStyle w:val="BodyText"/>
              <w:jc w:val="right"/>
              <w:rPr>
                <w:i/>
                <w:iCs/>
              </w:rPr>
            </w:pPr>
            <w:r>
              <w:rPr>
                <w:i/>
                <w:iCs/>
              </w:rPr>
              <w:t>Ban in effect</w:t>
            </w:r>
          </w:p>
        </w:tc>
      </w:tr>
      <w:tr w:rsidR="00362BB3" w14:paraId="49EAC31C" w14:textId="77777777" w:rsidTr="00947696">
        <w:tc>
          <w:tcPr>
            <w:tcW w:w="987" w:type="dxa"/>
            <w:vMerge w:val="restart"/>
            <w:tcMar>
              <w:left w:w="57" w:type="dxa"/>
              <w:right w:w="57" w:type="dxa"/>
            </w:tcMar>
            <w:vAlign w:val="center"/>
          </w:tcPr>
          <w:p w14:paraId="480D9D3D" w14:textId="77777777" w:rsidR="001F4E6D" w:rsidRDefault="001F4E6D" w:rsidP="006E12AB">
            <w:pPr>
              <w:pStyle w:val="BodyText"/>
            </w:pPr>
            <w:r w:rsidRPr="00740C3B">
              <w:t xml:space="preserve">Paper </w:t>
            </w:r>
            <w:r>
              <w:t>and</w:t>
            </w:r>
            <w:r w:rsidRPr="00740C3B">
              <w:t xml:space="preserve"> cardboard</w:t>
            </w:r>
          </w:p>
        </w:tc>
        <w:tc>
          <w:tcPr>
            <w:tcW w:w="845" w:type="dxa"/>
            <w:vMerge w:val="restart"/>
            <w:tcMar>
              <w:left w:w="57" w:type="dxa"/>
              <w:right w:w="57" w:type="dxa"/>
            </w:tcMar>
            <w:vAlign w:val="center"/>
          </w:tcPr>
          <w:p w14:paraId="4D55F936" w14:textId="77777777" w:rsidR="001F4E6D" w:rsidRPr="00740C3B" w:rsidRDefault="001F4E6D" w:rsidP="006E12AB">
            <w:pPr>
              <w:pStyle w:val="BodyText"/>
            </w:pPr>
            <w:r>
              <w:t>Jul 2024</w:t>
            </w:r>
          </w:p>
        </w:tc>
        <w:tc>
          <w:tcPr>
            <w:tcW w:w="1057" w:type="dxa"/>
            <w:tcMar>
              <w:left w:w="57" w:type="dxa"/>
              <w:right w:w="57" w:type="dxa"/>
            </w:tcMar>
            <w:vAlign w:val="center"/>
          </w:tcPr>
          <w:p w14:paraId="76467477" w14:textId="77777777" w:rsidR="001F4E6D" w:rsidRDefault="001F4E6D" w:rsidP="006E12AB">
            <w:pPr>
              <w:pStyle w:val="BodyText"/>
            </w:pPr>
            <w:r w:rsidRPr="00740C3B">
              <w:t>47071000</w:t>
            </w:r>
          </w:p>
        </w:tc>
        <w:tc>
          <w:tcPr>
            <w:tcW w:w="4907" w:type="dxa"/>
            <w:gridSpan w:val="2"/>
            <w:tcMar>
              <w:left w:w="57" w:type="dxa"/>
              <w:right w:w="57" w:type="dxa"/>
            </w:tcMar>
            <w:vAlign w:val="center"/>
          </w:tcPr>
          <w:p w14:paraId="07EEEFFF" w14:textId="77777777" w:rsidR="001F4E6D" w:rsidRDefault="001F4E6D" w:rsidP="006E12AB">
            <w:pPr>
              <w:pStyle w:val="BodyText"/>
            </w:pPr>
            <w:r w:rsidRPr="00740C3B">
              <w:t>Recovered (waste and scrap), unbleached, kraft paper or paperboard or corrugated paper or paperboard</w:t>
            </w:r>
          </w:p>
        </w:tc>
        <w:tc>
          <w:tcPr>
            <w:tcW w:w="681" w:type="dxa"/>
            <w:tcMar>
              <w:left w:w="57" w:type="dxa"/>
              <w:right w:w="57" w:type="dxa"/>
            </w:tcMar>
            <w:vAlign w:val="center"/>
          </w:tcPr>
          <w:p w14:paraId="7479B95D" w14:textId="319A27A4" w:rsidR="001F4E6D" w:rsidRPr="002F026E" w:rsidRDefault="00170211" w:rsidP="006E12AB">
            <w:pPr>
              <w:pStyle w:val="BodyText"/>
              <w:jc w:val="right"/>
              <w:rPr>
                <w:szCs w:val="20"/>
              </w:rPr>
            </w:pPr>
            <w:r>
              <w:rPr>
                <w:rFonts w:cs="Calibri"/>
                <w:color w:val="000000"/>
                <w:szCs w:val="20"/>
              </w:rPr>
              <w:t>49</w:t>
            </w:r>
            <w:r w:rsidR="001F4E6D" w:rsidRPr="002F026E">
              <w:rPr>
                <w:rFonts w:cs="Calibri"/>
                <w:color w:val="000000"/>
                <w:szCs w:val="20"/>
              </w:rPr>
              <w:t>,000</w:t>
            </w:r>
          </w:p>
        </w:tc>
        <w:tc>
          <w:tcPr>
            <w:tcW w:w="1264" w:type="dxa"/>
            <w:vMerge w:val="restart"/>
            <w:tcMar>
              <w:left w:w="57" w:type="dxa"/>
              <w:right w:w="57" w:type="dxa"/>
            </w:tcMar>
            <w:vAlign w:val="center"/>
          </w:tcPr>
          <w:p w14:paraId="7CC919AB" w14:textId="77777777" w:rsidR="001F4E6D" w:rsidRDefault="001F4E6D" w:rsidP="006E12AB">
            <w:pPr>
              <w:pStyle w:val="BodyText"/>
              <w:jc w:val="right"/>
            </w:pPr>
            <w:r>
              <w:t xml:space="preserve">47% </w:t>
            </w:r>
            <w:r>
              <w:rPr>
                <w:rStyle w:val="FootnoteReference"/>
              </w:rPr>
              <w:footnoteReference w:id="17"/>
            </w:r>
          </w:p>
        </w:tc>
      </w:tr>
      <w:tr w:rsidR="00362BB3" w14:paraId="3AFEB438" w14:textId="77777777" w:rsidTr="00947696">
        <w:tc>
          <w:tcPr>
            <w:tcW w:w="987" w:type="dxa"/>
            <w:vMerge/>
            <w:tcMar>
              <w:left w:w="57" w:type="dxa"/>
              <w:right w:w="57" w:type="dxa"/>
            </w:tcMar>
            <w:vAlign w:val="center"/>
          </w:tcPr>
          <w:p w14:paraId="4E4BEB1A" w14:textId="77777777" w:rsidR="001F4E6D" w:rsidRPr="00740C3B" w:rsidRDefault="001F4E6D" w:rsidP="006E12AB">
            <w:pPr>
              <w:pStyle w:val="BodyText"/>
            </w:pPr>
          </w:p>
        </w:tc>
        <w:tc>
          <w:tcPr>
            <w:tcW w:w="845" w:type="dxa"/>
            <w:vMerge/>
            <w:tcMar>
              <w:left w:w="57" w:type="dxa"/>
              <w:right w:w="57" w:type="dxa"/>
            </w:tcMar>
            <w:vAlign w:val="center"/>
          </w:tcPr>
          <w:p w14:paraId="51872DCB" w14:textId="77777777" w:rsidR="001F4E6D" w:rsidRDefault="001F4E6D" w:rsidP="006E12AB">
            <w:pPr>
              <w:pStyle w:val="BodyText"/>
            </w:pPr>
          </w:p>
        </w:tc>
        <w:tc>
          <w:tcPr>
            <w:tcW w:w="1057" w:type="dxa"/>
            <w:tcMar>
              <w:left w:w="57" w:type="dxa"/>
              <w:right w:w="57" w:type="dxa"/>
            </w:tcMar>
            <w:vAlign w:val="center"/>
          </w:tcPr>
          <w:p w14:paraId="49F4AD6C" w14:textId="77777777" w:rsidR="001F4E6D" w:rsidRPr="00740C3B" w:rsidRDefault="001F4E6D" w:rsidP="006E12AB">
            <w:pPr>
              <w:pStyle w:val="BodyText"/>
            </w:pPr>
            <w:r w:rsidRPr="00740C3B">
              <w:t>47072000</w:t>
            </w:r>
          </w:p>
        </w:tc>
        <w:tc>
          <w:tcPr>
            <w:tcW w:w="4907" w:type="dxa"/>
            <w:gridSpan w:val="2"/>
            <w:tcMar>
              <w:left w:w="57" w:type="dxa"/>
              <w:right w:w="57" w:type="dxa"/>
            </w:tcMar>
            <w:vAlign w:val="center"/>
          </w:tcPr>
          <w:p w14:paraId="4AADD88F" w14:textId="77777777" w:rsidR="001F4E6D" w:rsidRPr="00740C3B" w:rsidRDefault="001F4E6D" w:rsidP="006E12AB">
            <w:pPr>
              <w:pStyle w:val="BodyText"/>
            </w:pPr>
            <w:r w:rsidRPr="00740C3B">
              <w:t>Recovered (waste and scrap) paper or paperboard, made mainly of bleached chemical pulp, not coloured in the mass</w:t>
            </w:r>
          </w:p>
        </w:tc>
        <w:tc>
          <w:tcPr>
            <w:tcW w:w="681" w:type="dxa"/>
            <w:tcMar>
              <w:left w:w="57" w:type="dxa"/>
              <w:right w:w="57" w:type="dxa"/>
            </w:tcMar>
            <w:vAlign w:val="center"/>
          </w:tcPr>
          <w:p w14:paraId="0A59B501" w14:textId="7F99306C" w:rsidR="001F4E6D" w:rsidRPr="002F026E" w:rsidRDefault="00170211" w:rsidP="006E12AB">
            <w:pPr>
              <w:pStyle w:val="BodyText"/>
              <w:jc w:val="right"/>
              <w:rPr>
                <w:szCs w:val="20"/>
              </w:rPr>
            </w:pPr>
            <w:r>
              <w:rPr>
                <w:szCs w:val="20"/>
              </w:rPr>
              <w:t>20</w:t>
            </w:r>
          </w:p>
        </w:tc>
        <w:tc>
          <w:tcPr>
            <w:tcW w:w="1264" w:type="dxa"/>
            <w:vMerge/>
            <w:tcMar>
              <w:left w:w="57" w:type="dxa"/>
              <w:right w:w="57" w:type="dxa"/>
            </w:tcMar>
            <w:vAlign w:val="center"/>
          </w:tcPr>
          <w:p w14:paraId="2E818CAE" w14:textId="77777777" w:rsidR="001F4E6D" w:rsidRPr="00740C3B" w:rsidRDefault="001F4E6D" w:rsidP="006E12AB">
            <w:pPr>
              <w:pStyle w:val="BodyText"/>
              <w:jc w:val="right"/>
            </w:pPr>
          </w:p>
        </w:tc>
      </w:tr>
      <w:tr w:rsidR="00362BB3" w14:paraId="695BE5EC" w14:textId="77777777" w:rsidTr="00947696">
        <w:tc>
          <w:tcPr>
            <w:tcW w:w="987" w:type="dxa"/>
            <w:vMerge/>
            <w:tcMar>
              <w:left w:w="57" w:type="dxa"/>
              <w:right w:w="57" w:type="dxa"/>
            </w:tcMar>
            <w:vAlign w:val="center"/>
          </w:tcPr>
          <w:p w14:paraId="5854AD59" w14:textId="77777777" w:rsidR="001F4E6D" w:rsidRDefault="001F4E6D" w:rsidP="006E12AB">
            <w:pPr>
              <w:pStyle w:val="BodyText"/>
            </w:pPr>
          </w:p>
        </w:tc>
        <w:tc>
          <w:tcPr>
            <w:tcW w:w="845" w:type="dxa"/>
            <w:vMerge/>
            <w:tcMar>
              <w:left w:w="57" w:type="dxa"/>
              <w:right w:w="57" w:type="dxa"/>
            </w:tcMar>
            <w:vAlign w:val="center"/>
          </w:tcPr>
          <w:p w14:paraId="438B037A" w14:textId="77777777" w:rsidR="001F4E6D" w:rsidRPr="00740C3B" w:rsidRDefault="001F4E6D" w:rsidP="006E12AB">
            <w:pPr>
              <w:pStyle w:val="BodyText"/>
            </w:pPr>
          </w:p>
        </w:tc>
        <w:tc>
          <w:tcPr>
            <w:tcW w:w="1057" w:type="dxa"/>
            <w:tcMar>
              <w:left w:w="57" w:type="dxa"/>
              <w:right w:w="57" w:type="dxa"/>
            </w:tcMar>
            <w:vAlign w:val="center"/>
          </w:tcPr>
          <w:p w14:paraId="4711387C" w14:textId="77777777" w:rsidR="001F4E6D" w:rsidRDefault="001F4E6D" w:rsidP="006E12AB">
            <w:pPr>
              <w:pStyle w:val="BodyText"/>
            </w:pPr>
            <w:r w:rsidRPr="00740C3B">
              <w:t>47073000</w:t>
            </w:r>
          </w:p>
        </w:tc>
        <w:tc>
          <w:tcPr>
            <w:tcW w:w="4907" w:type="dxa"/>
            <w:gridSpan w:val="2"/>
            <w:tcMar>
              <w:left w:w="57" w:type="dxa"/>
              <w:right w:w="57" w:type="dxa"/>
            </w:tcMar>
            <w:vAlign w:val="center"/>
          </w:tcPr>
          <w:p w14:paraId="7AB0CCBA" w14:textId="77777777" w:rsidR="001F4E6D" w:rsidRDefault="001F4E6D" w:rsidP="006E12AB">
            <w:pPr>
              <w:pStyle w:val="BodyText"/>
            </w:pPr>
            <w:r w:rsidRPr="00740C3B">
              <w:t>Recovered (waste and scrap) paper or paperboard, made mainly of mechanical pulp (</w:t>
            </w:r>
            <w:r>
              <w:t>e.g.</w:t>
            </w:r>
            <w:r w:rsidRPr="00740C3B">
              <w:t xml:space="preserve"> newspapers, journals</w:t>
            </w:r>
            <w:r>
              <w:t>)</w:t>
            </w:r>
          </w:p>
        </w:tc>
        <w:tc>
          <w:tcPr>
            <w:tcW w:w="681" w:type="dxa"/>
            <w:tcMar>
              <w:left w:w="57" w:type="dxa"/>
              <w:right w:w="57" w:type="dxa"/>
            </w:tcMar>
            <w:vAlign w:val="center"/>
          </w:tcPr>
          <w:p w14:paraId="6BAAFA0C" w14:textId="3EB85719" w:rsidR="001F4E6D" w:rsidRPr="002F026E" w:rsidRDefault="00170211" w:rsidP="006E12AB">
            <w:pPr>
              <w:pStyle w:val="BodyText"/>
              <w:jc w:val="right"/>
              <w:rPr>
                <w:szCs w:val="20"/>
              </w:rPr>
            </w:pPr>
            <w:r>
              <w:rPr>
                <w:szCs w:val="20"/>
              </w:rPr>
              <w:t>2,100</w:t>
            </w:r>
          </w:p>
        </w:tc>
        <w:tc>
          <w:tcPr>
            <w:tcW w:w="1264" w:type="dxa"/>
            <w:vMerge/>
            <w:tcMar>
              <w:left w:w="57" w:type="dxa"/>
              <w:right w:w="57" w:type="dxa"/>
            </w:tcMar>
            <w:vAlign w:val="center"/>
          </w:tcPr>
          <w:p w14:paraId="19478F94" w14:textId="77777777" w:rsidR="001F4E6D" w:rsidRDefault="001F4E6D" w:rsidP="006E12AB">
            <w:pPr>
              <w:pStyle w:val="BodyText"/>
              <w:jc w:val="right"/>
            </w:pPr>
          </w:p>
        </w:tc>
      </w:tr>
      <w:tr w:rsidR="00362BB3" w14:paraId="146B2259" w14:textId="77777777" w:rsidTr="00947696">
        <w:tc>
          <w:tcPr>
            <w:tcW w:w="987" w:type="dxa"/>
            <w:vMerge/>
            <w:tcMar>
              <w:left w:w="57" w:type="dxa"/>
              <w:right w:w="57" w:type="dxa"/>
            </w:tcMar>
            <w:vAlign w:val="center"/>
          </w:tcPr>
          <w:p w14:paraId="059081AE" w14:textId="77777777" w:rsidR="001F4E6D" w:rsidRDefault="001F4E6D" w:rsidP="006E12AB">
            <w:pPr>
              <w:pStyle w:val="BodyText"/>
            </w:pPr>
          </w:p>
        </w:tc>
        <w:tc>
          <w:tcPr>
            <w:tcW w:w="845" w:type="dxa"/>
            <w:vMerge/>
            <w:tcMar>
              <w:left w:w="57" w:type="dxa"/>
              <w:right w:w="57" w:type="dxa"/>
            </w:tcMar>
            <w:vAlign w:val="center"/>
          </w:tcPr>
          <w:p w14:paraId="13CB95C1" w14:textId="77777777" w:rsidR="001F4E6D" w:rsidRPr="00740C3B" w:rsidRDefault="001F4E6D" w:rsidP="006E12AB">
            <w:pPr>
              <w:pStyle w:val="BodyText"/>
            </w:pPr>
          </w:p>
        </w:tc>
        <w:tc>
          <w:tcPr>
            <w:tcW w:w="1057" w:type="dxa"/>
            <w:tcMar>
              <w:left w:w="57" w:type="dxa"/>
              <w:right w:w="57" w:type="dxa"/>
            </w:tcMar>
            <w:vAlign w:val="center"/>
          </w:tcPr>
          <w:p w14:paraId="043CC0AB" w14:textId="77777777" w:rsidR="001F4E6D" w:rsidRDefault="001F4E6D" w:rsidP="006E12AB">
            <w:pPr>
              <w:pStyle w:val="BodyText"/>
            </w:pPr>
            <w:r w:rsidRPr="00740C3B">
              <w:t>47079000</w:t>
            </w:r>
          </w:p>
        </w:tc>
        <w:tc>
          <w:tcPr>
            <w:tcW w:w="4907" w:type="dxa"/>
            <w:gridSpan w:val="2"/>
            <w:tcMar>
              <w:left w:w="57" w:type="dxa"/>
              <w:right w:w="57" w:type="dxa"/>
            </w:tcMar>
            <w:vAlign w:val="center"/>
          </w:tcPr>
          <w:p w14:paraId="29B81266" w14:textId="4C54E38A" w:rsidR="001F4E6D" w:rsidRDefault="001F4E6D" w:rsidP="006E12AB">
            <w:pPr>
              <w:pStyle w:val="BodyText"/>
            </w:pPr>
            <w:r w:rsidRPr="00740C3B">
              <w:t>Waste and scrap paper or paperboard (incl. unsorted waste &amp; scrap)</w:t>
            </w:r>
          </w:p>
        </w:tc>
        <w:tc>
          <w:tcPr>
            <w:tcW w:w="681" w:type="dxa"/>
            <w:tcMar>
              <w:left w:w="57" w:type="dxa"/>
              <w:right w:w="57" w:type="dxa"/>
            </w:tcMar>
            <w:vAlign w:val="center"/>
          </w:tcPr>
          <w:p w14:paraId="15A6A853" w14:textId="21CB5E67" w:rsidR="001F4E6D" w:rsidRPr="002F026E" w:rsidRDefault="00170211" w:rsidP="006E12AB">
            <w:pPr>
              <w:pStyle w:val="BodyText"/>
              <w:jc w:val="right"/>
              <w:rPr>
                <w:szCs w:val="20"/>
              </w:rPr>
            </w:pPr>
            <w:r>
              <w:rPr>
                <w:rFonts w:cs="Calibri"/>
                <w:color w:val="000000"/>
                <w:szCs w:val="20"/>
              </w:rPr>
              <w:t>55</w:t>
            </w:r>
            <w:r w:rsidR="001F4E6D">
              <w:rPr>
                <w:rFonts w:cs="Calibri"/>
                <w:color w:val="000000"/>
                <w:szCs w:val="20"/>
              </w:rPr>
              <w:t>,000</w:t>
            </w:r>
          </w:p>
        </w:tc>
        <w:tc>
          <w:tcPr>
            <w:tcW w:w="1264" w:type="dxa"/>
            <w:vMerge/>
            <w:tcMar>
              <w:left w:w="57" w:type="dxa"/>
              <w:right w:w="57" w:type="dxa"/>
            </w:tcMar>
            <w:vAlign w:val="center"/>
          </w:tcPr>
          <w:p w14:paraId="359446C1" w14:textId="77777777" w:rsidR="001F4E6D" w:rsidRDefault="001F4E6D" w:rsidP="006E12AB">
            <w:pPr>
              <w:pStyle w:val="BodyText"/>
              <w:jc w:val="right"/>
            </w:pPr>
          </w:p>
        </w:tc>
      </w:tr>
      <w:tr w:rsidR="00362BB3" w14:paraId="4FA1AE3B" w14:textId="77777777" w:rsidTr="00947696">
        <w:tc>
          <w:tcPr>
            <w:tcW w:w="987" w:type="dxa"/>
            <w:vMerge w:val="restart"/>
            <w:tcMar>
              <w:left w:w="57" w:type="dxa"/>
              <w:right w:w="57" w:type="dxa"/>
            </w:tcMar>
            <w:vAlign w:val="center"/>
          </w:tcPr>
          <w:p w14:paraId="6D1167B4" w14:textId="77777777" w:rsidR="001F4E6D" w:rsidRDefault="001F4E6D" w:rsidP="006E12AB">
            <w:pPr>
              <w:pStyle w:val="BodyText"/>
            </w:pPr>
            <w:r>
              <w:t>Plastics</w:t>
            </w:r>
          </w:p>
        </w:tc>
        <w:tc>
          <w:tcPr>
            <w:tcW w:w="845" w:type="dxa"/>
            <w:vMerge w:val="restart"/>
            <w:tcMar>
              <w:left w:w="57" w:type="dxa"/>
              <w:right w:w="57" w:type="dxa"/>
            </w:tcMar>
            <w:vAlign w:val="center"/>
          </w:tcPr>
          <w:p w14:paraId="4FC44725" w14:textId="77777777" w:rsidR="001F4E6D" w:rsidRPr="00740C3B" w:rsidRDefault="001F4E6D" w:rsidP="006E12AB">
            <w:pPr>
              <w:pStyle w:val="BodyText"/>
            </w:pPr>
            <w:r>
              <w:t>Jul 2022</w:t>
            </w:r>
          </w:p>
        </w:tc>
        <w:tc>
          <w:tcPr>
            <w:tcW w:w="1057" w:type="dxa"/>
            <w:tcMar>
              <w:left w:w="57" w:type="dxa"/>
              <w:right w:w="57" w:type="dxa"/>
            </w:tcMar>
            <w:vAlign w:val="center"/>
          </w:tcPr>
          <w:p w14:paraId="37EA3FDE" w14:textId="77777777" w:rsidR="001F4E6D" w:rsidRDefault="001F4E6D" w:rsidP="006E12AB">
            <w:pPr>
              <w:pStyle w:val="BodyText"/>
            </w:pPr>
            <w:r w:rsidRPr="00740C3B">
              <w:t>39151000</w:t>
            </w:r>
          </w:p>
        </w:tc>
        <w:tc>
          <w:tcPr>
            <w:tcW w:w="4907" w:type="dxa"/>
            <w:gridSpan w:val="2"/>
            <w:tcMar>
              <w:left w:w="57" w:type="dxa"/>
              <w:right w:w="57" w:type="dxa"/>
            </w:tcMar>
            <w:vAlign w:val="center"/>
          </w:tcPr>
          <w:p w14:paraId="30A0F0EE" w14:textId="77777777" w:rsidR="001F4E6D" w:rsidRDefault="001F4E6D" w:rsidP="006E12AB">
            <w:pPr>
              <w:pStyle w:val="BodyText"/>
            </w:pPr>
            <w:r w:rsidRPr="00740C3B">
              <w:t>Waste, parings and scrap, of polymers of ethylene</w:t>
            </w:r>
          </w:p>
        </w:tc>
        <w:tc>
          <w:tcPr>
            <w:tcW w:w="681" w:type="dxa"/>
            <w:tcMar>
              <w:left w:w="57" w:type="dxa"/>
              <w:right w:w="57" w:type="dxa"/>
            </w:tcMar>
            <w:vAlign w:val="center"/>
          </w:tcPr>
          <w:p w14:paraId="2947A6AA" w14:textId="01959027" w:rsidR="001F4E6D" w:rsidRPr="002F026E" w:rsidRDefault="00170211" w:rsidP="006E12AB">
            <w:pPr>
              <w:pStyle w:val="BodyText"/>
              <w:jc w:val="right"/>
              <w:rPr>
                <w:szCs w:val="20"/>
              </w:rPr>
            </w:pPr>
            <w:r>
              <w:rPr>
                <w:rFonts w:cs="Calibri"/>
                <w:color w:val="000000"/>
                <w:szCs w:val="20"/>
              </w:rPr>
              <w:t>5</w:t>
            </w:r>
            <w:r w:rsidR="00F50009">
              <w:rPr>
                <w:rFonts w:cs="Calibri"/>
                <w:color w:val="000000"/>
                <w:szCs w:val="20"/>
              </w:rPr>
              <w:t>,</w:t>
            </w:r>
            <w:r>
              <w:rPr>
                <w:rFonts w:cs="Calibri"/>
                <w:color w:val="000000"/>
                <w:szCs w:val="20"/>
              </w:rPr>
              <w:t>1</w:t>
            </w:r>
            <w:r w:rsidR="001F4E6D">
              <w:rPr>
                <w:rFonts w:cs="Calibri"/>
                <w:color w:val="000000"/>
                <w:szCs w:val="20"/>
              </w:rPr>
              <w:t>00</w:t>
            </w:r>
          </w:p>
        </w:tc>
        <w:tc>
          <w:tcPr>
            <w:tcW w:w="1264" w:type="dxa"/>
            <w:vMerge w:val="restart"/>
            <w:tcMar>
              <w:left w:w="57" w:type="dxa"/>
              <w:right w:w="57" w:type="dxa"/>
            </w:tcMar>
            <w:vAlign w:val="center"/>
          </w:tcPr>
          <w:p w14:paraId="3CD1972F" w14:textId="77777777" w:rsidR="001F4E6D" w:rsidRDefault="001F4E6D" w:rsidP="006E12AB">
            <w:pPr>
              <w:pStyle w:val="BodyText"/>
              <w:jc w:val="right"/>
            </w:pPr>
            <w:r>
              <w:t xml:space="preserve">100% </w:t>
            </w:r>
            <w:r>
              <w:rPr>
                <w:rStyle w:val="FootnoteReference"/>
              </w:rPr>
              <w:footnoteReference w:id="18"/>
            </w:r>
          </w:p>
        </w:tc>
      </w:tr>
      <w:tr w:rsidR="00362BB3" w14:paraId="09007792" w14:textId="77777777" w:rsidTr="00947696">
        <w:tc>
          <w:tcPr>
            <w:tcW w:w="987" w:type="dxa"/>
            <w:vMerge/>
            <w:tcMar>
              <w:left w:w="57" w:type="dxa"/>
              <w:right w:w="57" w:type="dxa"/>
            </w:tcMar>
            <w:vAlign w:val="center"/>
          </w:tcPr>
          <w:p w14:paraId="08A5E434" w14:textId="77777777" w:rsidR="001F4E6D" w:rsidRDefault="001F4E6D" w:rsidP="006E12AB">
            <w:pPr>
              <w:pStyle w:val="BodyText"/>
            </w:pPr>
          </w:p>
        </w:tc>
        <w:tc>
          <w:tcPr>
            <w:tcW w:w="845" w:type="dxa"/>
            <w:vMerge/>
            <w:tcMar>
              <w:left w:w="57" w:type="dxa"/>
              <w:right w:w="57" w:type="dxa"/>
            </w:tcMar>
            <w:vAlign w:val="center"/>
          </w:tcPr>
          <w:p w14:paraId="5F305F67" w14:textId="77777777" w:rsidR="001F4E6D" w:rsidRPr="00740C3B" w:rsidRDefault="001F4E6D" w:rsidP="006E12AB">
            <w:pPr>
              <w:pStyle w:val="BodyText"/>
            </w:pPr>
          </w:p>
        </w:tc>
        <w:tc>
          <w:tcPr>
            <w:tcW w:w="1057" w:type="dxa"/>
            <w:tcMar>
              <w:left w:w="57" w:type="dxa"/>
              <w:right w:w="57" w:type="dxa"/>
            </w:tcMar>
            <w:vAlign w:val="center"/>
          </w:tcPr>
          <w:p w14:paraId="5DC8DB51" w14:textId="77777777" w:rsidR="001F4E6D" w:rsidRDefault="001F4E6D" w:rsidP="006E12AB">
            <w:pPr>
              <w:pStyle w:val="BodyText"/>
            </w:pPr>
            <w:r w:rsidRPr="00740C3B">
              <w:t>39152000</w:t>
            </w:r>
          </w:p>
        </w:tc>
        <w:tc>
          <w:tcPr>
            <w:tcW w:w="4907" w:type="dxa"/>
            <w:gridSpan w:val="2"/>
            <w:tcMar>
              <w:left w:w="57" w:type="dxa"/>
              <w:right w:w="57" w:type="dxa"/>
            </w:tcMar>
            <w:vAlign w:val="center"/>
          </w:tcPr>
          <w:p w14:paraId="7D9297A7" w14:textId="77777777" w:rsidR="001F4E6D" w:rsidRDefault="001F4E6D" w:rsidP="006E12AB">
            <w:pPr>
              <w:pStyle w:val="BodyText"/>
            </w:pPr>
            <w:r w:rsidRPr="00740C3B">
              <w:t>Waste, parings and scrap, of polymers of styrene</w:t>
            </w:r>
          </w:p>
        </w:tc>
        <w:tc>
          <w:tcPr>
            <w:tcW w:w="681" w:type="dxa"/>
            <w:tcMar>
              <w:left w:w="57" w:type="dxa"/>
              <w:right w:w="57" w:type="dxa"/>
            </w:tcMar>
            <w:vAlign w:val="center"/>
          </w:tcPr>
          <w:p w14:paraId="7BD0CAB7" w14:textId="4A33E6C5" w:rsidR="001F4E6D" w:rsidRPr="002F026E" w:rsidRDefault="00170211" w:rsidP="006E12AB">
            <w:pPr>
              <w:pStyle w:val="BodyText"/>
              <w:jc w:val="right"/>
              <w:rPr>
                <w:szCs w:val="20"/>
              </w:rPr>
            </w:pPr>
            <w:r>
              <w:rPr>
                <w:szCs w:val="20"/>
              </w:rPr>
              <w:t>9</w:t>
            </w:r>
            <w:r w:rsidR="001F4E6D">
              <w:rPr>
                <w:szCs w:val="20"/>
              </w:rPr>
              <w:t>0</w:t>
            </w:r>
          </w:p>
        </w:tc>
        <w:tc>
          <w:tcPr>
            <w:tcW w:w="1264" w:type="dxa"/>
            <w:vMerge/>
            <w:tcMar>
              <w:left w:w="57" w:type="dxa"/>
              <w:right w:w="57" w:type="dxa"/>
            </w:tcMar>
            <w:vAlign w:val="center"/>
          </w:tcPr>
          <w:p w14:paraId="13FDC1CC" w14:textId="77777777" w:rsidR="001F4E6D" w:rsidRDefault="001F4E6D" w:rsidP="006E12AB">
            <w:pPr>
              <w:pStyle w:val="BodyText"/>
              <w:jc w:val="right"/>
            </w:pPr>
          </w:p>
        </w:tc>
      </w:tr>
      <w:tr w:rsidR="00362BB3" w14:paraId="262A878D" w14:textId="77777777" w:rsidTr="00947696">
        <w:tc>
          <w:tcPr>
            <w:tcW w:w="987" w:type="dxa"/>
            <w:vMerge/>
            <w:tcMar>
              <w:left w:w="57" w:type="dxa"/>
              <w:right w:w="57" w:type="dxa"/>
            </w:tcMar>
            <w:vAlign w:val="center"/>
          </w:tcPr>
          <w:p w14:paraId="71F7C1F3" w14:textId="77777777" w:rsidR="001F4E6D" w:rsidRDefault="001F4E6D" w:rsidP="006E12AB">
            <w:pPr>
              <w:pStyle w:val="BodyText"/>
            </w:pPr>
          </w:p>
        </w:tc>
        <w:tc>
          <w:tcPr>
            <w:tcW w:w="845" w:type="dxa"/>
            <w:vMerge/>
            <w:tcMar>
              <w:left w:w="57" w:type="dxa"/>
              <w:right w:w="57" w:type="dxa"/>
            </w:tcMar>
            <w:vAlign w:val="center"/>
          </w:tcPr>
          <w:p w14:paraId="48D88408" w14:textId="77777777" w:rsidR="001F4E6D" w:rsidRPr="00740C3B" w:rsidRDefault="001F4E6D" w:rsidP="006E12AB">
            <w:pPr>
              <w:pStyle w:val="BodyText"/>
            </w:pPr>
          </w:p>
        </w:tc>
        <w:tc>
          <w:tcPr>
            <w:tcW w:w="1057" w:type="dxa"/>
            <w:tcMar>
              <w:left w:w="57" w:type="dxa"/>
              <w:right w:w="57" w:type="dxa"/>
            </w:tcMar>
            <w:vAlign w:val="center"/>
          </w:tcPr>
          <w:p w14:paraId="354E1161" w14:textId="77777777" w:rsidR="001F4E6D" w:rsidRDefault="001F4E6D" w:rsidP="006E12AB">
            <w:pPr>
              <w:pStyle w:val="BodyText"/>
            </w:pPr>
            <w:r w:rsidRPr="00740C3B">
              <w:t>39153000</w:t>
            </w:r>
          </w:p>
        </w:tc>
        <w:tc>
          <w:tcPr>
            <w:tcW w:w="4907" w:type="dxa"/>
            <w:gridSpan w:val="2"/>
            <w:tcMar>
              <w:left w:w="57" w:type="dxa"/>
              <w:right w:w="57" w:type="dxa"/>
            </w:tcMar>
            <w:vAlign w:val="center"/>
          </w:tcPr>
          <w:p w14:paraId="0EFD945A" w14:textId="77777777" w:rsidR="001F4E6D" w:rsidRDefault="001F4E6D" w:rsidP="006E12AB">
            <w:pPr>
              <w:pStyle w:val="BodyText"/>
            </w:pPr>
            <w:r w:rsidRPr="00740C3B">
              <w:t>Waste, parings and scrap, of polymers of vinyl chloride</w:t>
            </w:r>
          </w:p>
        </w:tc>
        <w:tc>
          <w:tcPr>
            <w:tcW w:w="681" w:type="dxa"/>
            <w:tcMar>
              <w:left w:w="57" w:type="dxa"/>
              <w:right w:w="57" w:type="dxa"/>
            </w:tcMar>
            <w:vAlign w:val="center"/>
          </w:tcPr>
          <w:p w14:paraId="3130F991" w14:textId="5F5D34F8" w:rsidR="001F4E6D" w:rsidRPr="002F026E" w:rsidRDefault="00170211" w:rsidP="006E12AB">
            <w:pPr>
              <w:pStyle w:val="BodyText"/>
              <w:jc w:val="right"/>
              <w:rPr>
                <w:szCs w:val="20"/>
              </w:rPr>
            </w:pPr>
            <w:r>
              <w:rPr>
                <w:szCs w:val="20"/>
              </w:rPr>
              <w:t>20</w:t>
            </w:r>
          </w:p>
        </w:tc>
        <w:tc>
          <w:tcPr>
            <w:tcW w:w="1264" w:type="dxa"/>
            <w:vMerge/>
            <w:tcMar>
              <w:left w:w="57" w:type="dxa"/>
              <w:right w:w="57" w:type="dxa"/>
            </w:tcMar>
            <w:vAlign w:val="center"/>
          </w:tcPr>
          <w:p w14:paraId="3EE30458" w14:textId="77777777" w:rsidR="001F4E6D" w:rsidRDefault="001F4E6D" w:rsidP="006E12AB">
            <w:pPr>
              <w:pStyle w:val="BodyText"/>
              <w:jc w:val="right"/>
            </w:pPr>
          </w:p>
        </w:tc>
      </w:tr>
      <w:tr w:rsidR="00362BB3" w14:paraId="44B53064" w14:textId="77777777" w:rsidTr="00947696">
        <w:tc>
          <w:tcPr>
            <w:tcW w:w="987" w:type="dxa"/>
            <w:vMerge/>
            <w:tcMar>
              <w:left w:w="57" w:type="dxa"/>
              <w:right w:w="57" w:type="dxa"/>
            </w:tcMar>
            <w:vAlign w:val="center"/>
          </w:tcPr>
          <w:p w14:paraId="489EEF0F" w14:textId="77777777" w:rsidR="001F4E6D" w:rsidRDefault="001F4E6D" w:rsidP="006E12AB">
            <w:pPr>
              <w:pStyle w:val="BodyText"/>
            </w:pPr>
          </w:p>
        </w:tc>
        <w:tc>
          <w:tcPr>
            <w:tcW w:w="845" w:type="dxa"/>
            <w:tcMar>
              <w:left w:w="57" w:type="dxa"/>
              <w:right w:w="57" w:type="dxa"/>
            </w:tcMar>
            <w:vAlign w:val="center"/>
          </w:tcPr>
          <w:p w14:paraId="1445ED31" w14:textId="77777777" w:rsidR="001F4E6D" w:rsidRPr="00740C3B" w:rsidRDefault="001F4E6D" w:rsidP="006E12AB">
            <w:pPr>
              <w:pStyle w:val="BodyText"/>
            </w:pPr>
            <w:r>
              <w:t>Jul 2021</w:t>
            </w:r>
          </w:p>
        </w:tc>
        <w:tc>
          <w:tcPr>
            <w:tcW w:w="1057" w:type="dxa"/>
            <w:tcMar>
              <w:left w:w="57" w:type="dxa"/>
              <w:right w:w="57" w:type="dxa"/>
            </w:tcMar>
            <w:vAlign w:val="center"/>
          </w:tcPr>
          <w:p w14:paraId="59A92300" w14:textId="77777777" w:rsidR="001F4E6D" w:rsidRDefault="001F4E6D" w:rsidP="006E12AB">
            <w:pPr>
              <w:pStyle w:val="BodyText"/>
            </w:pPr>
            <w:r w:rsidRPr="00740C3B">
              <w:t>39159092</w:t>
            </w:r>
          </w:p>
        </w:tc>
        <w:tc>
          <w:tcPr>
            <w:tcW w:w="4907" w:type="dxa"/>
            <w:gridSpan w:val="2"/>
            <w:tcMar>
              <w:left w:w="57" w:type="dxa"/>
              <w:right w:w="57" w:type="dxa"/>
            </w:tcMar>
            <w:vAlign w:val="center"/>
          </w:tcPr>
          <w:p w14:paraId="48B0ABAA" w14:textId="77777777" w:rsidR="001F4E6D" w:rsidRDefault="001F4E6D" w:rsidP="006E12AB">
            <w:pPr>
              <w:pStyle w:val="BodyText"/>
            </w:pPr>
            <w:r w:rsidRPr="00740C3B">
              <w:t>Waste, parings and scrap, of plastics (excl. those of polymers of ethylene, styrene or vinyl chloride)</w:t>
            </w:r>
          </w:p>
        </w:tc>
        <w:tc>
          <w:tcPr>
            <w:tcW w:w="681" w:type="dxa"/>
            <w:tcMar>
              <w:left w:w="57" w:type="dxa"/>
              <w:right w:w="57" w:type="dxa"/>
            </w:tcMar>
            <w:vAlign w:val="center"/>
          </w:tcPr>
          <w:p w14:paraId="3CB66B7B" w14:textId="3E222AA0" w:rsidR="001F4E6D" w:rsidRPr="002F026E" w:rsidRDefault="00170211" w:rsidP="006E12AB">
            <w:pPr>
              <w:pStyle w:val="BodyText"/>
              <w:jc w:val="right"/>
              <w:rPr>
                <w:szCs w:val="20"/>
              </w:rPr>
            </w:pPr>
            <w:r>
              <w:rPr>
                <w:rFonts w:cs="Calibri"/>
                <w:color w:val="000000"/>
                <w:szCs w:val="20"/>
              </w:rPr>
              <w:t>7,7</w:t>
            </w:r>
            <w:r w:rsidR="001F4E6D">
              <w:rPr>
                <w:rFonts w:cs="Calibri"/>
                <w:color w:val="000000"/>
                <w:szCs w:val="20"/>
              </w:rPr>
              <w:t>00</w:t>
            </w:r>
          </w:p>
        </w:tc>
        <w:tc>
          <w:tcPr>
            <w:tcW w:w="1264" w:type="dxa"/>
            <w:tcMar>
              <w:left w:w="57" w:type="dxa"/>
              <w:right w:w="57" w:type="dxa"/>
            </w:tcMar>
            <w:vAlign w:val="center"/>
          </w:tcPr>
          <w:p w14:paraId="3D46158A" w14:textId="77777777" w:rsidR="001F4E6D" w:rsidRDefault="001F4E6D" w:rsidP="006E12AB">
            <w:pPr>
              <w:pStyle w:val="BodyText"/>
              <w:jc w:val="right"/>
            </w:pPr>
            <w:r>
              <w:t xml:space="preserve">83% </w:t>
            </w:r>
            <w:r>
              <w:rPr>
                <w:rStyle w:val="FootnoteReference"/>
              </w:rPr>
              <w:footnoteReference w:id="19"/>
            </w:r>
          </w:p>
        </w:tc>
      </w:tr>
      <w:tr w:rsidR="00362BB3" w14:paraId="258E1401" w14:textId="77777777" w:rsidTr="00947696">
        <w:tc>
          <w:tcPr>
            <w:tcW w:w="987" w:type="dxa"/>
            <w:vMerge w:val="restart"/>
            <w:tcMar>
              <w:left w:w="57" w:type="dxa"/>
              <w:right w:w="57" w:type="dxa"/>
            </w:tcMar>
            <w:vAlign w:val="center"/>
          </w:tcPr>
          <w:p w14:paraId="760E3D53" w14:textId="77777777" w:rsidR="001F4E6D" w:rsidRDefault="001F4E6D" w:rsidP="006E12AB">
            <w:pPr>
              <w:pStyle w:val="BodyText"/>
            </w:pPr>
            <w:r w:rsidRPr="00740C3B">
              <w:t>Whole tyres</w:t>
            </w:r>
            <w:r>
              <w:t xml:space="preserve"> </w:t>
            </w:r>
          </w:p>
        </w:tc>
        <w:tc>
          <w:tcPr>
            <w:tcW w:w="845" w:type="dxa"/>
            <w:vMerge w:val="restart"/>
            <w:tcMar>
              <w:left w:w="57" w:type="dxa"/>
              <w:right w:w="57" w:type="dxa"/>
            </w:tcMar>
            <w:vAlign w:val="center"/>
          </w:tcPr>
          <w:p w14:paraId="1B53808E" w14:textId="77777777" w:rsidR="001F4E6D" w:rsidRPr="00740C3B" w:rsidRDefault="001F4E6D" w:rsidP="006E12AB">
            <w:pPr>
              <w:pStyle w:val="BodyText"/>
            </w:pPr>
            <w:r>
              <w:t>Dec 2021</w:t>
            </w:r>
          </w:p>
        </w:tc>
        <w:tc>
          <w:tcPr>
            <w:tcW w:w="1057" w:type="dxa"/>
            <w:tcMar>
              <w:left w:w="57" w:type="dxa"/>
              <w:right w:w="57" w:type="dxa"/>
            </w:tcMar>
            <w:vAlign w:val="center"/>
          </w:tcPr>
          <w:p w14:paraId="6D779489" w14:textId="77777777" w:rsidR="001F4E6D" w:rsidRDefault="001F4E6D" w:rsidP="006E12AB">
            <w:pPr>
              <w:pStyle w:val="BodyText"/>
            </w:pPr>
            <w:r w:rsidRPr="00740C3B">
              <w:t>40040000</w:t>
            </w:r>
          </w:p>
        </w:tc>
        <w:tc>
          <w:tcPr>
            <w:tcW w:w="4907" w:type="dxa"/>
            <w:gridSpan w:val="2"/>
            <w:tcMar>
              <w:left w:w="57" w:type="dxa"/>
              <w:right w:w="57" w:type="dxa"/>
            </w:tcMar>
            <w:vAlign w:val="center"/>
          </w:tcPr>
          <w:p w14:paraId="1F8A3A84" w14:textId="77777777" w:rsidR="001F4E6D" w:rsidRDefault="001F4E6D" w:rsidP="006E12AB">
            <w:pPr>
              <w:pStyle w:val="BodyText"/>
            </w:pPr>
            <w:r w:rsidRPr="00740C3B">
              <w:t>Waste, parings and scrap of rubber (excl. of hard rubber) and powders and granules obtained therefrom</w:t>
            </w:r>
          </w:p>
        </w:tc>
        <w:tc>
          <w:tcPr>
            <w:tcW w:w="681" w:type="dxa"/>
            <w:tcMar>
              <w:left w:w="57" w:type="dxa"/>
              <w:right w:w="57" w:type="dxa"/>
            </w:tcMar>
            <w:vAlign w:val="center"/>
          </w:tcPr>
          <w:p w14:paraId="14F39F6A" w14:textId="74ACD7A7" w:rsidR="001F4E6D" w:rsidRPr="002F026E" w:rsidRDefault="00170211" w:rsidP="006E12AB">
            <w:pPr>
              <w:pStyle w:val="BodyText"/>
              <w:jc w:val="right"/>
              <w:rPr>
                <w:szCs w:val="20"/>
                <w:highlight w:val="yellow"/>
              </w:rPr>
            </w:pPr>
            <w:r>
              <w:rPr>
                <w:rFonts w:cs="Calibri"/>
                <w:color w:val="000000"/>
                <w:szCs w:val="20"/>
              </w:rPr>
              <w:t>11,0</w:t>
            </w:r>
            <w:r w:rsidR="001F4E6D" w:rsidRPr="002F026E">
              <w:rPr>
                <w:rFonts w:cs="Calibri"/>
                <w:color w:val="000000"/>
                <w:szCs w:val="20"/>
              </w:rPr>
              <w:t>00</w:t>
            </w:r>
          </w:p>
        </w:tc>
        <w:tc>
          <w:tcPr>
            <w:tcW w:w="1264" w:type="dxa"/>
            <w:tcMar>
              <w:left w:w="57" w:type="dxa"/>
              <w:right w:w="57" w:type="dxa"/>
            </w:tcMar>
            <w:vAlign w:val="center"/>
          </w:tcPr>
          <w:p w14:paraId="61376798" w14:textId="06301337" w:rsidR="001F4E6D" w:rsidRPr="00EF1770" w:rsidRDefault="001F4E6D" w:rsidP="006E12AB">
            <w:pPr>
              <w:pStyle w:val="BodyText"/>
              <w:jc w:val="right"/>
            </w:pPr>
            <w:r w:rsidRPr="00EF1770">
              <w:t xml:space="preserve">44% </w:t>
            </w:r>
            <w:r w:rsidR="005966B5" w:rsidRPr="005966B5">
              <w:rPr>
                <w:vertAlign w:val="superscript"/>
              </w:rPr>
              <w:fldChar w:fldCharType="begin"/>
            </w:r>
            <w:r w:rsidR="005966B5" w:rsidRPr="005966B5">
              <w:rPr>
                <w:vertAlign w:val="superscript"/>
              </w:rPr>
              <w:instrText xml:space="preserve"> NOTEREF _Ref65146468 \h </w:instrText>
            </w:r>
            <w:r w:rsidR="005966B5">
              <w:rPr>
                <w:vertAlign w:val="superscript"/>
              </w:rPr>
              <w:instrText xml:space="preserve"> \* MERGEFORMAT </w:instrText>
            </w:r>
            <w:r w:rsidR="005966B5" w:rsidRPr="005966B5">
              <w:rPr>
                <w:vertAlign w:val="superscript"/>
              </w:rPr>
            </w:r>
            <w:r w:rsidR="005966B5" w:rsidRPr="005966B5">
              <w:rPr>
                <w:vertAlign w:val="superscript"/>
              </w:rPr>
              <w:fldChar w:fldCharType="separate"/>
            </w:r>
            <w:r w:rsidR="00295F56">
              <w:rPr>
                <w:vertAlign w:val="superscript"/>
              </w:rPr>
              <w:t>11</w:t>
            </w:r>
            <w:r w:rsidR="005966B5" w:rsidRPr="005966B5">
              <w:rPr>
                <w:vertAlign w:val="superscript"/>
              </w:rPr>
              <w:fldChar w:fldCharType="end"/>
            </w:r>
          </w:p>
        </w:tc>
      </w:tr>
      <w:tr w:rsidR="00362BB3" w14:paraId="474D658F" w14:textId="77777777" w:rsidTr="00947696">
        <w:tc>
          <w:tcPr>
            <w:tcW w:w="987" w:type="dxa"/>
            <w:vMerge/>
            <w:tcMar>
              <w:left w:w="57" w:type="dxa"/>
              <w:right w:w="57" w:type="dxa"/>
            </w:tcMar>
            <w:vAlign w:val="center"/>
          </w:tcPr>
          <w:p w14:paraId="56A21F69" w14:textId="77777777" w:rsidR="001F4E6D" w:rsidRDefault="001F4E6D" w:rsidP="006E12AB">
            <w:pPr>
              <w:pStyle w:val="BodyText"/>
            </w:pPr>
          </w:p>
        </w:tc>
        <w:tc>
          <w:tcPr>
            <w:tcW w:w="845" w:type="dxa"/>
            <w:vMerge/>
            <w:tcMar>
              <w:left w:w="57" w:type="dxa"/>
              <w:right w:w="57" w:type="dxa"/>
            </w:tcMar>
            <w:vAlign w:val="center"/>
          </w:tcPr>
          <w:p w14:paraId="249BF010" w14:textId="77777777" w:rsidR="001F4E6D" w:rsidRPr="00740C3B" w:rsidRDefault="001F4E6D" w:rsidP="006E12AB">
            <w:pPr>
              <w:pStyle w:val="BodyText"/>
            </w:pPr>
          </w:p>
        </w:tc>
        <w:tc>
          <w:tcPr>
            <w:tcW w:w="1057" w:type="dxa"/>
            <w:tcMar>
              <w:left w:w="57" w:type="dxa"/>
              <w:right w:w="57" w:type="dxa"/>
            </w:tcMar>
            <w:vAlign w:val="center"/>
          </w:tcPr>
          <w:p w14:paraId="0D556564" w14:textId="77777777" w:rsidR="001F4E6D" w:rsidRDefault="001F4E6D" w:rsidP="006E12AB">
            <w:pPr>
              <w:pStyle w:val="BodyText"/>
            </w:pPr>
            <w:r w:rsidRPr="00740C3B">
              <w:t>40122000</w:t>
            </w:r>
          </w:p>
        </w:tc>
        <w:tc>
          <w:tcPr>
            <w:tcW w:w="4907" w:type="dxa"/>
            <w:gridSpan w:val="2"/>
            <w:tcMar>
              <w:left w:w="57" w:type="dxa"/>
              <w:right w:w="57" w:type="dxa"/>
            </w:tcMar>
            <w:vAlign w:val="center"/>
          </w:tcPr>
          <w:p w14:paraId="201F5D0F" w14:textId="77777777" w:rsidR="001F4E6D" w:rsidRDefault="001F4E6D" w:rsidP="006E12AB">
            <w:pPr>
              <w:pStyle w:val="BodyText"/>
            </w:pPr>
            <w:r w:rsidRPr="00740C3B">
              <w:t>Used pneumatic rubber tyres, whether or not subject to recutting or regrooving</w:t>
            </w:r>
          </w:p>
        </w:tc>
        <w:tc>
          <w:tcPr>
            <w:tcW w:w="681" w:type="dxa"/>
            <w:tcMar>
              <w:left w:w="57" w:type="dxa"/>
              <w:right w:w="57" w:type="dxa"/>
            </w:tcMar>
            <w:vAlign w:val="center"/>
          </w:tcPr>
          <w:p w14:paraId="6E41D6F9" w14:textId="3A77EF2C" w:rsidR="001F4E6D" w:rsidRPr="002F026E" w:rsidRDefault="001F4E6D" w:rsidP="006E12AB">
            <w:pPr>
              <w:pStyle w:val="BodyText"/>
              <w:jc w:val="right"/>
              <w:rPr>
                <w:szCs w:val="20"/>
                <w:highlight w:val="yellow"/>
              </w:rPr>
            </w:pPr>
            <w:r>
              <w:rPr>
                <w:rFonts w:cs="Calibri"/>
                <w:color w:val="000000"/>
                <w:szCs w:val="20"/>
              </w:rPr>
              <w:t>1,</w:t>
            </w:r>
            <w:r w:rsidR="00170211">
              <w:rPr>
                <w:rFonts w:cs="Calibri"/>
                <w:color w:val="000000"/>
                <w:szCs w:val="20"/>
              </w:rPr>
              <w:t>7</w:t>
            </w:r>
            <w:r>
              <w:rPr>
                <w:rFonts w:cs="Calibri"/>
                <w:color w:val="000000"/>
                <w:szCs w:val="20"/>
              </w:rPr>
              <w:t>00</w:t>
            </w:r>
          </w:p>
        </w:tc>
        <w:tc>
          <w:tcPr>
            <w:tcW w:w="1264" w:type="dxa"/>
            <w:tcMar>
              <w:left w:w="57" w:type="dxa"/>
              <w:right w:w="57" w:type="dxa"/>
            </w:tcMar>
            <w:vAlign w:val="center"/>
          </w:tcPr>
          <w:p w14:paraId="6EE0F615" w14:textId="1459F146" w:rsidR="001F4E6D" w:rsidRPr="00EF1770" w:rsidRDefault="001F4E6D" w:rsidP="006E12AB">
            <w:pPr>
              <w:pStyle w:val="BodyText"/>
              <w:jc w:val="right"/>
            </w:pPr>
            <w:r w:rsidRPr="00EF1770">
              <w:t xml:space="preserve">100% </w:t>
            </w:r>
            <w:r w:rsidR="005966B5" w:rsidRPr="005966B5">
              <w:rPr>
                <w:vertAlign w:val="superscript"/>
              </w:rPr>
              <w:fldChar w:fldCharType="begin"/>
            </w:r>
            <w:r w:rsidR="005966B5" w:rsidRPr="005966B5">
              <w:rPr>
                <w:vertAlign w:val="superscript"/>
              </w:rPr>
              <w:instrText xml:space="preserve"> NOTEREF _Ref65146468 \h </w:instrText>
            </w:r>
            <w:r w:rsidR="005966B5">
              <w:rPr>
                <w:vertAlign w:val="superscript"/>
              </w:rPr>
              <w:instrText xml:space="preserve"> \* MERGEFORMAT </w:instrText>
            </w:r>
            <w:r w:rsidR="005966B5" w:rsidRPr="005966B5">
              <w:rPr>
                <w:vertAlign w:val="superscript"/>
              </w:rPr>
            </w:r>
            <w:r w:rsidR="005966B5" w:rsidRPr="005966B5">
              <w:rPr>
                <w:vertAlign w:val="superscript"/>
              </w:rPr>
              <w:fldChar w:fldCharType="separate"/>
            </w:r>
            <w:r w:rsidR="00295F56">
              <w:rPr>
                <w:vertAlign w:val="superscript"/>
              </w:rPr>
              <w:t>11</w:t>
            </w:r>
            <w:r w:rsidR="005966B5" w:rsidRPr="005966B5">
              <w:rPr>
                <w:vertAlign w:val="superscript"/>
              </w:rPr>
              <w:fldChar w:fldCharType="end"/>
            </w:r>
          </w:p>
        </w:tc>
      </w:tr>
      <w:tr w:rsidR="00362BB3" w14:paraId="3A1722B5" w14:textId="77777777" w:rsidTr="00947696">
        <w:tc>
          <w:tcPr>
            <w:tcW w:w="987" w:type="dxa"/>
            <w:vMerge/>
            <w:tcBorders>
              <w:bottom w:val="single" w:sz="4" w:space="0" w:color="B7B7E2" w:themeColor="accent1" w:themeTint="66"/>
            </w:tcBorders>
            <w:tcMar>
              <w:left w:w="57" w:type="dxa"/>
              <w:right w:w="57" w:type="dxa"/>
            </w:tcMar>
            <w:vAlign w:val="center"/>
          </w:tcPr>
          <w:p w14:paraId="7F3E085F" w14:textId="77777777" w:rsidR="001F4E6D" w:rsidRDefault="001F4E6D" w:rsidP="006E12AB">
            <w:pPr>
              <w:pStyle w:val="BodyText"/>
            </w:pPr>
          </w:p>
        </w:tc>
        <w:tc>
          <w:tcPr>
            <w:tcW w:w="845" w:type="dxa"/>
            <w:vMerge/>
            <w:tcBorders>
              <w:bottom w:val="single" w:sz="4" w:space="0" w:color="B7B7E2" w:themeColor="accent1" w:themeTint="66"/>
            </w:tcBorders>
            <w:tcMar>
              <w:left w:w="57" w:type="dxa"/>
              <w:right w:w="57" w:type="dxa"/>
            </w:tcMar>
            <w:vAlign w:val="center"/>
          </w:tcPr>
          <w:p w14:paraId="09D41429" w14:textId="77777777" w:rsidR="001F4E6D" w:rsidRPr="00740C3B" w:rsidRDefault="001F4E6D" w:rsidP="006E12AB">
            <w:pPr>
              <w:pStyle w:val="BodyText"/>
            </w:pPr>
          </w:p>
        </w:tc>
        <w:tc>
          <w:tcPr>
            <w:tcW w:w="1057" w:type="dxa"/>
            <w:tcBorders>
              <w:bottom w:val="single" w:sz="4" w:space="0" w:color="B7B7E2" w:themeColor="accent1" w:themeTint="66"/>
            </w:tcBorders>
            <w:tcMar>
              <w:left w:w="57" w:type="dxa"/>
              <w:right w:w="57" w:type="dxa"/>
            </w:tcMar>
            <w:vAlign w:val="center"/>
          </w:tcPr>
          <w:p w14:paraId="28160EE3" w14:textId="77777777" w:rsidR="001F4E6D" w:rsidRDefault="001F4E6D" w:rsidP="006E12AB">
            <w:pPr>
              <w:pStyle w:val="BodyText"/>
            </w:pPr>
            <w:r w:rsidRPr="00740C3B">
              <w:t>40129000</w:t>
            </w:r>
          </w:p>
        </w:tc>
        <w:tc>
          <w:tcPr>
            <w:tcW w:w="4907" w:type="dxa"/>
            <w:gridSpan w:val="2"/>
            <w:tcBorders>
              <w:bottom w:val="single" w:sz="4" w:space="0" w:color="B7B7E2" w:themeColor="accent1" w:themeTint="66"/>
            </w:tcBorders>
            <w:tcMar>
              <w:left w:w="57" w:type="dxa"/>
              <w:right w:w="57" w:type="dxa"/>
            </w:tcMar>
            <w:vAlign w:val="center"/>
          </w:tcPr>
          <w:p w14:paraId="7145D176" w14:textId="5B1DA315" w:rsidR="001F4E6D" w:rsidRDefault="001F4E6D" w:rsidP="006E12AB">
            <w:pPr>
              <w:pStyle w:val="BodyText"/>
            </w:pPr>
            <w:r w:rsidRPr="00740C3B">
              <w:t xml:space="preserve">Solid or cushion rubber tyres, rubber tyre treads (incl. </w:t>
            </w:r>
            <w:r w:rsidR="00AE629E">
              <w:t>i</w:t>
            </w:r>
            <w:r w:rsidRPr="00740C3B">
              <w:t>nterchangeable tyre treads) and rubber tyre flaps</w:t>
            </w:r>
          </w:p>
        </w:tc>
        <w:tc>
          <w:tcPr>
            <w:tcW w:w="681" w:type="dxa"/>
            <w:tcBorders>
              <w:bottom w:val="single" w:sz="4" w:space="0" w:color="B7B7E2" w:themeColor="accent1" w:themeTint="66"/>
            </w:tcBorders>
            <w:shd w:val="clear" w:color="auto" w:fill="auto"/>
            <w:tcMar>
              <w:left w:w="57" w:type="dxa"/>
              <w:right w:w="57" w:type="dxa"/>
            </w:tcMar>
            <w:vAlign w:val="center"/>
          </w:tcPr>
          <w:p w14:paraId="1E818226" w14:textId="19103F48" w:rsidR="001F4E6D" w:rsidRPr="002F026E" w:rsidRDefault="00A31687" w:rsidP="006E12AB">
            <w:pPr>
              <w:pStyle w:val="BodyText"/>
              <w:jc w:val="right"/>
              <w:rPr>
                <w:szCs w:val="20"/>
                <w:highlight w:val="yellow"/>
              </w:rPr>
            </w:pPr>
            <w:r>
              <w:rPr>
                <w:szCs w:val="20"/>
              </w:rPr>
              <w:t>1,</w:t>
            </w:r>
            <w:r w:rsidR="00170211">
              <w:rPr>
                <w:szCs w:val="20"/>
              </w:rPr>
              <w:t>1</w:t>
            </w:r>
            <w:r>
              <w:rPr>
                <w:szCs w:val="20"/>
              </w:rPr>
              <w:t>00</w:t>
            </w:r>
          </w:p>
        </w:tc>
        <w:tc>
          <w:tcPr>
            <w:tcW w:w="1264" w:type="dxa"/>
            <w:tcBorders>
              <w:bottom w:val="single" w:sz="4" w:space="0" w:color="B7B7E2" w:themeColor="accent1" w:themeTint="66"/>
            </w:tcBorders>
            <w:tcMar>
              <w:left w:w="57" w:type="dxa"/>
              <w:right w:w="57" w:type="dxa"/>
            </w:tcMar>
            <w:vAlign w:val="center"/>
          </w:tcPr>
          <w:p w14:paraId="696A9D08" w14:textId="15A5EF2E" w:rsidR="001F4E6D" w:rsidRPr="00EF1770" w:rsidRDefault="001F4E6D" w:rsidP="006E12AB">
            <w:pPr>
              <w:pStyle w:val="BodyText"/>
              <w:jc w:val="right"/>
            </w:pPr>
            <w:r w:rsidRPr="00EF1770">
              <w:t xml:space="preserve">6% </w:t>
            </w:r>
            <w:r w:rsidR="005966B5" w:rsidRPr="005966B5">
              <w:rPr>
                <w:vertAlign w:val="superscript"/>
              </w:rPr>
              <w:fldChar w:fldCharType="begin"/>
            </w:r>
            <w:r w:rsidR="005966B5" w:rsidRPr="005966B5">
              <w:rPr>
                <w:vertAlign w:val="superscript"/>
              </w:rPr>
              <w:instrText xml:space="preserve"> NOTEREF _Ref65146468 \h </w:instrText>
            </w:r>
            <w:r w:rsidR="005966B5">
              <w:rPr>
                <w:vertAlign w:val="superscript"/>
              </w:rPr>
              <w:instrText xml:space="preserve"> \* MERGEFORMAT </w:instrText>
            </w:r>
            <w:r w:rsidR="005966B5" w:rsidRPr="005966B5">
              <w:rPr>
                <w:vertAlign w:val="superscript"/>
              </w:rPr>
            </w:r>
            <w:r w:rsidR="005966B5" w:rsidRPr="005966B5">
              <w:rPr>
                <w:vertAlign w:val="superscript"/>
              </w:rPr>
              <w:fldChar w:fldCharType="separate"/>
            </w:r>
            <w:r w:rsidR="00295F56">
              <w:rPr>
                <w:vertAlign w:val="superscript"/>
              </w:rPr>
              <w:t>11</w:t>
            </w:r>
            <w:r w:rsidR="005966B5" w:rsidRPr="005966B5">
              <w:rPr>
                <w:vertAlign w:val="superscript"/>
              </w:rPr>
              <w:fldChar w:fldCharType="end"/>
            </w:r>
          </w:p>
        </w:tc>
      </w:tr>
    </w:tbl>
    <w:p w14:paraId="6674E5BF" w14:textId="2267435A" w:rsidR="002F026E" w:rsidRDefault="002F026E" w:rsidP="00A9344A">
      <w:pPr>
        <w:pStyle w:val="BodyText"/>
        <w:rPr>
          <w:sz w:val="18"/>
          <w:szCs w:val="18"/>
        </w:rPr>
      </w:pPr>
    </w:p>
    <w:p w14:paraId="7FD8A218" w14:textId="77777777" w:rsidR="00ED3EAD" w:rsidRDefault="00ED3EAD" w:rsidP="00ED3EAD">
      <w:pPr>
        <w:pStyle w:val="Heading3-nonumber"/>
      </w:pPr>
      <w:bookmarkStart w:id="23" w:name="_Ref524954387"/>
      <w:r>
        <w:t>Restrictions on waste imports – latest news</w:t>
      </w:r>
    </w:p>
    <w:p w14:paraId="1B814F60" w14:textId="03AECC51" w:rsidR="00727132" w:rsidRDefault="005D1052" w:rsidP="00623F69">
      <w:pPr>
        <w:pStyle w:val="BodyText"/>
        <w:spacing w:after="120"/>
      </w:pPr>
      <w:r>
        <w:t>Indonesia’s head of the Centr</w:t>
      </w:r>
      <w:r w:rsidR="0021661E">
        <w:t>e</w:t>
      </w:r>
      <w:r>
        <w:t xml:space="preserve"> for Green Industry, Standardization and Industrial Service Policy has </w:t>
      </w:r>
      <w:r w:rsidR="0021661E">
        <w:t>announced steps to be taken to boost recycling and move towards a circular economy</w:t>
      </w:r>
      <w:bookmarkStart w:id="24" w:name="_Ref76395966"/>
      <w:r w:rsidR="001977BA">
        <w:rPr>
          <w:rStyle w:val="FootnoteReference"/>
        </w:rPr>
        <w:footnoteReference w:id="20"/>
      </w:r>
      <w:bookmarkEnd w:id="24"/>
      <w:r w:rsidR="0021661E">
        <w:t>. The announcement noted the significance of the recycling industry to Indonesia’s economy and that imports would remain necessary to provide sufficient feedstocks.</w:t>
      </w:r>
      <w:r w:rsidR="00923462">
        <w:t xml:space="preserve"> </w:t>
      </w:r>
      <w:r w:rsidR="00727132">
        <w:t xml:space="preserve">Thailand’s impending ban on plastic waste imports </w:t>
      </w:r>
      <w:r w:rsidR="009C2954">
        <w:t>appears to have</w:t>
      </w:r>
      <w:r w:rsidR="00727132">
        <w:t xml:space="preserve"> been pushed back</w:t>
      </w:r>
      <w:bookmarkStart w:id="25" w:name="_Ref76396887"/>
      <w:r w:rsidR="00727132">
        <w:rPr>
          <w:rStyle w:val="FootnoteReference"/>
        </w:rPr>
        <w:footnoteReference w:id="21"/>
      </w:r>
      <w:bookmarkEnd w:id="25"/>
      <w:r w:rsidR="009C2954">
        <w:t>.</w:t>
      </w:r>
    </w:p>
    <w:p w14:paraId="50AC1C7E" w14:textId="651DBA76" w:rsidR="00252E43" w:rsidRDefault="00252E43" w:rsidP="00623F69">
      <w:pPr>
        <w:pStyle w:val="BodyText"/>
        <w:spacing w:after="120"/>
      </w:pPr>
      <w:r>
        <w:t>In Malaysia</w:t>
      </w:r>
      <w:r w:rsidR="00623F69">
        <w:t>,</w:t>
      </w:r>
      <w:r>
        <w:t xml:space="preserve"> negotiations between the metal industry and government </w:t>
      </w:r>
      <w:r w:rsidR="00623F69">
        <w:t xml:space="preserve">over </w:t>
      </w:r>
      <w:r w:rsidR="00923462">
        <w:t>the</w:t>
      </w:r>
      <w:r>
        <w:t xml:space="preserve"> proposed restrictions on scrap metal</w:t>
      </w:r>
      <w:r w:rsidR="00623F69">
        <w:t xml:space="preserve"> continue</w:t>
      </w:r>
      <w:r>
        <w:rPr>
          <w:rStyle w:val="FootnoteReference"/>
        </w:rPr>
        <w:footnoteReference w:id="22"/>
      </w:r>
      <w:r w:rsidR="00923462">
        <w:t>.</w:t>
      </w:r>
      <w:r w:rsidR="00923462" w:rsidRPr="00923462">
        <w:t xml:space="preserve"> </w:t>
      </w:r>
      <w:r w:rsidR="00923462">
        <w:t xml:space="preserve">The draft restrictions </w:t>
      </w:r>
      <w:r w:rsidR="0026379A">
        <w:t>cover</w:t>
      </w:r>
      <w:r w:rsidR="00923462">
        <w:t xml:space="preserve"> minimum metal content, contamination </w:t>
      </w:r>
      <w:r w:rsidR="0026379A">
        <w:t>limits</w:t>
      </w:r>
      <w:r w:rsidR="00923462">
        <w:t>, as well as pre</w:t>
      </w:r>
      <w:r w:rsidR="00623F69">
        <w:t>-</w:t>
      </w:r>
      <w:r w:rsidR="00923462">
        <w:t xml:space="preserve"> and post</w:t>
      </w:r>
      <w:r w:rsidR="00623F69">
        <w:t>-</w:t>
      </w:r>
      <w:r w:rsidR="00923462">
        <w:t>shipment inspections. A</w:t>
      </w:r>
      <w:r w:rsidR="00623F69">
        <w:t>n industry</w:t>
      </w:r>
      <w:r w:rsidR="00923462">
        <w:t xml:space="preserve"> representative </w:t>
      </w:r>
      <w:r w:rsidR="00623F69">
        <w:t>claimed</w:t>
      </w:r>
      <w:r w:rsidR="00923462">
        <w:t xml:space="preserve"> these </w:t>
      </w:r>
      <w:r w:rsidR="0026379A">
        <w:t>exceed</w:t>
      </w:r>
      <w:r w:rsidR="00923462">
        <w:t xml:space="preserve"> the Basel Convention requirements on hazardous waste. Exporters are concerned that the restrictions could set a precedent leading to global restrictions on scrap metal trade.</w:t>
      </w:r>
    </w:p>
    <w:p w14:paraId="37C6FB1B" w14:textId="3F815DA4" w:rsidR="004748FA" w:rsidRDefault="00140160" w:rsidP="00623F69">
      <w:pPr>
        <w:pStyle w:val="BodyText"/>
        <w:spacing w:after="120"/>
      </w:pPr>
      <w:r>
        <w:t>China’s</w:t>
      </w:r>
      <w:r w:rsidR="00EA61D6">
        <w:t xml:space="preserve"> ban on solid waste </w:t>
      </w:r>
      <w:r>
        <w:t>imports</w:t>
      </w:r>
      <w:r w:rsidR="00EA61D6">
        <w:t xml:space="preserve"> came into force in January</w:t>
      </w:r>
      <w:r w:rsidR="0026379A">
        <w:t>. N</w:t>
      </w:r>
      <w:r w:rsidR="00EA61D6">
        <w:t>ew definitions of certain reprocessed or scrap materials</w:t>
      </w:r>
      <w:r w:rsidR="0026379A">
        <w:t xml:space="preserve"> have been</w:t>
      </w:r>
      <w:r w:rsidR="00EA61D6">
        <w:t xml:space="preserve"> settled</w:t>
      </w:r>
      <w:r w:rsidR="00EA61D6">
        <w:rPr>
          <w:rStyle w:val="FootnoteReference"/>
        </w:rPr>
        <w:footnoteReference w:id="23"/>
      </w:r>
      <w:r w:rsidR="0026379A">
        <w:t xml:space="preserve">, including </w:t>
      </w:r>
      <w:r>
        <w:t>ferrous and non-ferrous metals</w:t>
      </w:r>
      <w:r w:rsidR="0026379A">
        <w:t xml:space="preserve"> and </w:t>
      </w:r>
      <w:r>
        <w:t xml:space="preserve">recycled pulp. </w:t>
      </w:r>
      <w:r w:rsidR="0026379A">
        <w:t>I</w:t>
      </w:r>
      <w:r>
        <w:t xml:space="preserve">mports of high-quality reprocessed materials </w:t>
      </w:r>
      <w:r w:rsidR="0026379A">
        <w:t xml:space="preserve">are </w:t>
      </w:r>
      <w:r>
        <w:t>noted as important to China</w:t>
      </w:r>
      <w:r w:rsidR="0026379A">
        <w:t>’s</w:t>
      </w:r>
      <w:r>
        <w:t xml:space="preserve"> zero carbon goals. </w:t>
      </w:r>
    </w:p>
    <w:p w14:paraId="5BE535C7" w14:textId="235998A2" w:rsidR="004748FA" w:rsidRPr="00ED3EAD" w:rsidRDefault="004748FA" w:rsidP="00623F69">
      <w:pPr>
        <w:pStyle w:val="BodyText"/>
        <w:spacing w:after="120"/>
        <w:sectPr w:rsidR="004748FA" w:rsidRPr="00ED3EAD" w:rsidSect="00623F69">
          <w:pgSz w:w="11906" w:h="16838" w:code="9"/>
          <w:pgMar w:top="1134" w:right="1134" w:bottom="907" w:left="1247" w:header="709" w:footer="0" w:gutter="0"/>
          <w:cols w:space="708"/>
          <w:docGrid w:linePitch="360"/>
        </w:sectPr>
      </w:pPr>
    </w:p>
    <w:p w14:paraId="3B935543" w14:textId="1F494F9D" w:rsidR="0073263E" w:rsidRDefault="0073263E" w:rsidP="0073263E">
      <w:pPr>
        <w:pStyle w:val="Heading3-nonumber"/>
      </w:pPr>
      <w:bookmarkStart w:id="26" w:name="_Ref35786358"/>
      <w:bookmarkStart w:id="27" w:name="_Hlk34407122"/>
      <w:bookmarkEnd w:id="23"/>
      <w:r>
        <w:lastRenderedPageBreak/>
        <w:t>Restrictions on waste import – overview</w:t>
      </w:r>
    </w:p>
    <w:p w14:paraId="0E432782" w14:textId="77777777" w:rsidR="00295F56" w:rsidRDefault="0073263E">
      <w:r>
        <w:t xml:space="preserve">The current status of import restrictions </w:t>
      </w:r>
      <w:r w:rsidR="00123283">
        <w:t>in</w:t>
      </w:r>
      <w:r>
        <w:t xml:space="preserve"> Australia’s top 10 waste and recovered materials destinations is summarised in </w:t>
      </w:r>
      <w:r>
        <w:fldChar w:fldCharType="begin"/>
      </w:r>
      <w:r>
        <w:instrText xml:space="preserve"> REF _Ref61865621 \h </w:instrText>
      </w:r>
      <w:r>
        <w:fldChar w:fldCharType="separate"/>
      </w:r>
      <w:r w:rsidR="00295F56">
        <w:t xml:space="preserve">Table </w:t>
      </w:r>
      <w:r w:rsidR="00295F56">
        <w:rPr>
          <w:noProof/>
        </w:rPr>
        <w:t>4</w:t>
      </w:r>
      <w:r>
        <w:fldChar w:fldCharType="end"/>
      </w:r>
      <w:r>
        <w:t xml:space="preserve">, while </w:t>
      </w:r>
      <w:r w:rsidR="009B55CF">
        <w:fldChar w:fldCharType="begin"/>
      </w:r>
      <w:r w:rsidR="009B55CF">
        <w:instrText xml:space="preserve"> REF _Ref66627684 \h </w:instrText>
      </w:r>
      <w:r w:rsidR="009B55CF">
        <w:fldChar w:fldCharType="separate"/>
      </w:r>
    </w:p>
    <w:p w14:paraId="1E3ABB97" w14:textId="1C4AFEE7" w:rsidR="0073263E" w:rsidRDefault="00295F56" w:rsidP="00CE47D6">
      <w:pPr>
        <w:spacing w:after="120"/>
      </w:pPr>
      <w:r>
        <w:t xml:space="preserve">Table </w:t>
      </w:r>
      <w:r>
        <w:rPr>
          <w:noProof/>
        </w:rPr>
        <w:t>5</w:t>
      </w:r>
      <w:r w:rsidR="009B55CF">
        <w:fldChar w:fldCharType="end"/>
      </w:r>
      <w:r w:rsidR="009B55CF">
        <w:t xml:space="preserve"> </w:t>
      </w:r>
      <w:r w:rsidR="0073263E">
        <w:t>provides details of the import restriction policies, their dates and amount of waste potentially impacted by the bans.</w:t>
      </w:r>
    </w:p>
    <w:p w14:paraId="4E3B57F0" w14:textId="65C3075F" w:rsidR="0073263E" w:rsidRDefault="0073263E" w:rsidP="0073263E">
      <w:pPr>
        <w:pStyle w:val="Caption"/>
        <w:keepNext/>
      </w:pPr>
      <w:bookmarkStart w:id="28" w:name="_Ref61865621"/>
      <w:r>
        <w:t xml:space="preserve">Table </w:t>
      </w:r>
      <w:fldSimple w:instr=" SEQ Table \* ARABIC ">
        <w:r w:rsidR="00295F56">
          <w:rPr>
            <w:noProof/>
          </w:rPr>
          <w:t>4</w:t>
        </w:r>
      </w:fldSimple>
      <w:bookmarkEnd w:id="28"/>
      <w:r>
        <w:tab/>
        <w:t xml:space="preserve">Summary of import restrictions by material and top 10 </w:t>
      </w:r>
      <w:r w:rsidR="00AB1228">
        <w:t>destinations</w:t>
      </w:r>
    </w:p>
    <w:tbl>
      <w:tblPr>
        <w:tblStyle w:val="TableGrid"/>
        <w:tblW w:w="14737" w:type="dxa"/>
        <w:tblBorders>
          <w:top w:val="single" w:sz="4" w:space="0" w:color="B7B7E2"/>
          <w:left w:val="single" w:sz="4" w:space="0" w:color="B7B7E2"/>
          <w:bottom w:val="single" w:sz="4" w:space="0" w:color="B7B7E2"/>
          <w:right w:val="single" w:sz="4" w:space="0" w:color="B7B7E2"/>
          <w:insideH w:val="single" w:sz="4" w:space="0" w:color="B7B7E2"/>
          <w:insideV w:val="single" w:sz="4" w:space="0" w:color="B7B7E2"/>
        </w:tblBorders>
        <w:tblCellMar>
          <w:left w:w="28" w:type="dxa"/>
          <w:right w:w="28" w:type="dxa"/>
        </w:tblCellMar>
        <w:tblLook w:val="04A0" w:firstRow="1" w:lastRow="0" w:firstColumn="1" w:lastColumn="0" w:noHBand="0" w:noVBand="1"/>
      </w:tblPr>
      <w:tblGrid>
        <w:gridCol w:w="1587"/>
        <w:gridCol w:w="1077"/>
        <w:gridCol w:w="1077"/>
        <w:gridCol w:w="1077"/>
        <w:gridCol w:w="1077"/>
        <w:gridCol w:w="1077"/>
        <w:gridCol w:w="1077"/>
        <w:gridCol w:w="1077"/>
        <w:gridCol w:w="142"/>
        <w:gridCol w:w="1075"/>
        <w:gridCol w:w="4394"/>
      </w:tblGrid>
      <w:tr w:rsidR="0096673F" w:rsidRPr="00C918A7" w14:paraId="47412639" w14:textId="77777777" w:rsidTr="006E12AB">
        <w:trPr>
          <w:trHeight w:val="535"/>
        </w:trPr>
        <w:tc>
          <w:tcPr>
            <w:tcW w:w="1587" w:type="dxa"/>
            <w:tcBorders>
              <w:right w:val="nil"/>
            </w:tcBorders>
            <w:shd w:val="clear" w:color="auto" w:fill="9494D4" w:themeFill="accent1" w:themeFillTint="99"/>
          </w:tcPr>
          <w:p w14:paraId="55B9729B" w14:textId="77777777" w:rsidR="0096673F" w:rsidRPr="00C918A7" w:rsidRDefault="0096673F" w:rsidP="006E12AB">
            <w:pPr>
              <w:rPr>
                <w:b/>
                <w:bCs/>
                <w:color w:val="FFFFFF" w:themeColor="background1"/>
                <w:sz w:val="20"/>
                <w:szCs w:val="20"/>
              </w:rPr>
            </w:pPr>
          </w:p>
        </w:tc>
        <w:tc>
          <w:tcPr>
            <w:tcW w:w="1077" w:type="dxa"/>
            <w:tcBorders>
              <w:left w:val="nil"/>
              <w:right w:val="nil"/>
            </w:tcBorders>
            <w:shd w:val="clear" w:color="auto" w:fill="9494D4" w:themeFill="accent1" w:themeFillTint="99"/>
            <w:vAlign w:val="center"/>
          </w:tcPr>
          <w:p w14:paraId="466E95AD"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Glass</w:t>
            </w:r>
          </w:p>
        </w:tc>
        <w:tc>
          <w:tcPr>
            <w:tcW w:w="1077" w:type="dxa"/>
            <w:tcBorders>
              <w:left w:val="nil"/>
              <w:right w:val="nil"/>
            </w:tcBorders>
            <w:shd w:val="clear" w:color="auto" w:fill="9494D4" w:themeFill="accent1" w:themeFillTint="99"/>
            <w:vAlign w:val="center"/>
          </w:tcPr>
          <w:p w14:paraId="1B70E0DF"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Haz</w:t>
            </w:r>
            <w:r>
              <w:rPr>
                <w:b/>
                <w:bCs/>
                <w:color w:val="FFFFFF" w:themeColor="background1"/>
                <w:sz w:val="20"/>
                <w:szCs w:val="20"/>
              </w:rPr>
              <w:t>.</w:t>
            </w:r>
            <w:r w:rsidRPr="00C918A7">
              <w:rPr>
                <w:b/>
                <w:bCs/>
                <w:color w:val="FFFFFF" w:themeColor="background1"/>
                <w:sz w:val="20"/>
                <w:szCs w:val="20"/>
              </w:rPr>
              <w:t xml:space="preserve"> waste (excl. tyres)</w:t>
            </w:r>
          </w:p>
        </w:tc>
        <w:tc>
          <w:tcPr>
            <w:tcW w:w="1077" w:type="dxa"/>
            <w:tcBorders>
              <w:left w:val="nil"/>
              <w:right w:val="nil"/>
            </w:tcBorders>
            <w:shd w:val="clear" w:color="auto" w:fill="9494D4" w:themeFill="accent1" w:themeFillTint="99"/>
            <w:vAlign w:val="center"/>
          </w:tcPr>
          <w:p w14:paraId="546F8861"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Metals</w:t>
            </w:r>
          </w:p>
        </w:tc>
        <w:tc>
          <w:tcPr>
            <w:tcW w:w="1077" w:type="dxa"/>
            <w:tcBorders>
              <w:left w:val="nil"/>
              <w:right w:val="nil"/>
            </w:tcBorders>
            <w:shd w:val="clear" w:color="auto" w:fill="9494D4" w:themeFill="accent1" w:themeFillTint="99"/>
            <w:vAlign w:val="center"/>
          </w:tcPr>
          <w:p w14:paraId="55CFC203"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Paper &amp; cardboard</w:t>
            </w:r>
          </w:p>
        </w:tc>
        <w:tc>
          <w:tcPr>
            <w:tcW w:w="1077" w:type="dxa"/>
            <w:tcBorders>
              <w:left w:val="nil"/>
              <w:right w:val="nil"/>
            </w:tcBorders>
            <w:shd w:val="clear" w:color="auto" w:fill="9494D4" w:themeFill="accent1" w:themeFillTint="99"/>
            <w:vAlign w:val="center"/>
          </w:tcPr>
          <w:p w14:paraId="1E52BF97"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 xml:space="preserve">Plastics </w:t>
            </w:r>
          </w:p>
        </w:tc>
        <w:tc>
          <w:tcPr>
            <w:tcW w:w="1077" w:type="dxa"/>
            <w:tcBorders>
              <w:left w:val="nil"/>
              <w:right w:val="nil"/>
            </w:tcBorders>
            <w:shd w:val="clear" w:color="auto" w:fill="9494D4" w:themeFill="accent1" w:themeFillTint="99"/>
            <w:vAlign w:val="center"/>
          </w:tcPr>
          <w:p w14:paraId="678CB6CE"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Tyres</w:t>
            </w:r>
          </w:p>
        </w:tc>
        <w:tc>
          <w:tcPr>
            <w:tcW w:w="1077" w:type="dxa"/>
            <w:tcBorders>
              <w:left w:val="nil"/>
            </w:tcBorders>
            <w:shd w:val="clear" w:color="auto" w:fill="9494D4" w:themeFill="accent1" w:themeFillTint="99"/>
            <w:vAlign w:val="center"/>
          </w:tcPr>
          <w:p w14:paraId="1C4DEA75" w14:textId="77777777" w:rsidR="0096673F" w:rsidRPr="00C918A7" w:rsidRDefault="0096673F" w:rsidP="006E12AB">
            <w:pPr>
              <w:rPr>
                <w:b/>
                <w:bCs/>
                <w:color w:val="FFFFFF" w:themeColor="background1"/>
                <w:sz w:val="20"/>
                <w:szCs w:val="20"/>
              </w:rPr>
            </w:pPr>
            <w:r w:rsidRPr="00C918A7">
              <w:rPr>
                <w:b/>
                <w:bCs/>
                <w:color w:val="FFFFFF" w:themeColor="background1"/>
                <w:sz w:val="20"/>
                <w:szCs w:val="20"/>
              </w:rPr>
              <w:t>Textiles</w:t>
            </w:r>
          </w:p>
        </w:tc>
        <w:tc>
          <w:tcPr>
            <w:tcW w:w="142" w:type="dxa"/>
            <w:tcBorders>
              <w:top w:val="nil"/>
              <w:bottom w:val="nil"/>
              <w:right w:val="nil"/>
            </w:tcBorders>
            <w:shd w:val="clear" w:color="auto" w:fill="auto"/>
          </w:tcPr>
          <w:p w14:paraId="74285A60" w14:textId="77777777" w:rsidR="0096673F" w:rsidRPr="00C918A7" w:rsidRDefault="0096673F" w:rsidP="006E12AB">
            <w:pPr>
              <w:rPr>
                <w:b/>
                <w:bCs/>
                <w:color w:val="FFFFFF" w:themeColor="background1"/>
                <w:sz w:val="20"/>
                <w:szCs w:val="20"/>
              </w:rPr>
            </w:pPr>
          </w:p>
        </w:tc>
        <w:tc>
          <w:tcPr>
            <w:tcW w:w="1075" w:type="dxa"/>
            <w:tcBorders>
              <w:top w:val="nil"/>
              <w:left w:val="nil"/>
              <w:bottom w:val="nil"/>
              <w:right w:val="nil"/>
            </w:tcBorders>
            <w:shd w:val="clear" w:color="auto" w:fill="auto"/>
          </w:tcPr>
          <w:p w14:paraId="4B2006D7" w14:textId="77777777" w:rsidR="0096673F" w:rsidRPr="00C918A7" w:rsidRDefault="0096673F" w:rsidP="006E12AB">
            <w:pPr>
              <w:rPr>
                <w:b/>
                <w:bCs/>
                <w:color w:val="FFFFFF" w:themeColor="background1"/>
                <w:sz w:val="20"/>
                <w:szCs w:val="20"/>
              </w:rPr>
            </w:pPr>
          </w:p>
        </w:tc>
        <w:tc>
          <w:tcPr>
            <w:tcW w:w="4394" w:type="dxa"/>
            <w:tcBorders>
              <w:top w:val="nil"/>
              <w:left w:val="nil"/>
              <w:bottom w:val="nil"/>
              <w:right w:val="nil"/>
            </w:tcBorders>
            <w:shd w:val="clear" w:color="auto" w:fill="auto"/>
          </w:tcPr>
          <w:p w14:paraId="26B34A96" w14:textId="77777777" w:rsidR="0096673F" w:rsidRPr="0009205F" w:rsidRDefault="0096673F" w:rsidP="006E12AB">
            <w:pPr>
              <w:rPr>
                <w:color w:val="000000" w:themeColor="text1"/>
                <w:sz w:val="20"/>
                <w:szCs w:val="20"/>
              </w:rPr>
            </w:pPr>
          </w:p>
        </w:tc>
      </w:tr>
      <w:tr w:rsidR="0096673F" w:rsidRPr="00C918A7" w14:paraId="79AC7E92" w14:textId="77777777" w:rsidTr="006E12AB">
        <w:tc>
          <w:tcPr>
            <w:tcW w:w="1587" w:type="dxa"/>
          </w:tcPr>
          <w:p w14:paraId="2964285C" w14:textId="77777777" w:rsidR="0096673F" w:rsidRPr="00C918A7" w:rsidRDefault="0096673F" w:rsidP="006E12AB">
            <w:pPr>
              <w:rPr>
                <w:sz w:val="20"/>
                <w:szCs w:val="20"/>
              </w:rPr>
            </w:pPr>
            <w:r w:rsidRPr="00C918A7">
              <w:rPr>
                <w:sz w:val="20"/>
                <w:szCs w:val="20"/>
              </w:rPr>
              <w:t>Indonesia</w:t>
            </w:r>
          </w:p>
        </w:tc>
        <w:tc>
          <w:tcPr>
            <w:tcW w:w="1077" w:type="dxa"/>
            <w:shd w:val="clear" w:color="auto" w:fill="FF0000"/>
          </w:tcPr>
          <w:p w14:paraId="026D0820" w14:textId="77777777" w:rsidR="0096673F" w:rsidRPr="00096777" w:rsidRDefault="0096673F" w:rsidP="006E12AB">
            <w:pPr>
              <w:jc w:val="center"/>
              <w:rPr>
                <w:b/>
                <w:bCs/>
                <w:color w:val="FFFFFF" w:themeColor="background1"/>
                <w:sz w:val="20"/>
                <w:szCs w:val="20"/>
              </w:rPr>
            </w:pPr>
            <w:r w:rsidRPr="00096777">
              <w:rPr>
                <w:b/>
                <w:bCs/>
                <w:color w:val="FFFFFF" w:themeColor="background1"/>
                <w:sz w:val="20"/>
                <w:szCs w:val="20"/>
              </w:rPr>
              <w:t>Restricted</w:t>
            </w:r>
          </w:p>
        </w:tc>
        <w:tc>
          <w:tcPr>
            <w:tcW w:w="1077" w:type="dxa"/>
            <w:shd w:val="clear" w:color="auto" w:fill="FF0000"/>
          </w:tcPr>
          <w:p w14:paraId="2BDD57AB"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6578FCC2"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6D8593D0"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38847DA3"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4DD49F6B"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70F4B777"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772F4A23" w14:textId="77777777" w:rsidR="0096673F" w:rsidRPr="00C918A7" w:rsidRDefault="0096673F" w:rsidP="006E12AB">
            <w:pPr>
              <w:rPr>
                <w:sz w:val="20"/>
                <w:szCs w:val="20"/>
              </w:rPr>
            </w:pPr>
          </w:p>
        </w:tc>
        <w:tc>
          <w:tcPr>
            <w:tcW w:w="1075" w:type="dxa"/>
            <w:tcBorders>
              <w:top w:val="nil"/>
              <w:left w:val="nil"/>
              <w:right w:val="nil"/>
            </w:tcBorders>
          </w:tcPr>
          <w:p w14:paraId="6C3C0EEF" w14:textId="77777777" w:rsidR="0096673F" w:rsidRPr="00C918A7" w:rsidRDefault="0096673F" w:rsidP="006E12AB">
            <w:pPr>
              <w:rPr>
                <w:b/>
                <w:bCs/>
                <w:sz w:val="20"/>
                <w:szCs w:val="20"/>
              </w:rPr>
            </w:pPr>
            <w:r>
              <w:rPr>
                <w:b/>
                <w:bCs/>
                <w:sz w:val="20"/>
                <w:szCs w:val="20"/>
              </w:rPr>
              <w:t>Key</w:t>
            </w:r>
          </w:p>
        </w:tc>
        <w:tc>
          <w:tcPr>
            <w:tcW w:w="4394" w:type="dxa"/>
            <w:tcBorders>
              <w:top w:val="nil"/>
              <w:left w:val="nil"/>
              <w:right w:val="nil"/>
            </w:tcBorders>
            <w:shd w:val="clear" w:color="auto" w:fill="auto"/>
          </w:tcPr>
          <w:p w14:paraId="5715C828" w14:textId="77777777" w:rsidR="0096673F" w:rsidRPr="0009205F" w:rsidRDefault="0096673F" w:rsidP="006E12AB">
            <w:pPr>
              <w:rPr>
                <w:color w:val="000000" w:themeColor="text1"/>
                <w:sz w:val="20"/>
                <w:szCs w:val="20"/>
              </w:rPr>
            </w:pPr>
          </w:p>
        </w:tc>
      </w:tr>
      <w:tr w:rsidR="0096673F" w:rsidRPr="00C918A7" w14:paraId="149C66C5" w14:textId="77777777" w:rsidTr="00940BD6">
        <w:tc>
          <w:tcPr>
            <w:tcW w:w="1587" w:type="dxa"/>
          </w:tcPr>
          <w:p w14:paraId="69809149" w14:textId="77777777" w:rsidR="0096673F" w:rsidRPr="00C918A7" w:rsidRDefault="0096673F" w:rsidP="006E12AB">
            <w:pPr>
              <w:rPr>
                <w:sz w:val="20"/>
                <w:szCs w:val="20"/>
              </w:rPr>
            </w:pPr>
            <w:r w:rsidRPr="00C918A7">
              <w:rPr>
                <w:sz w:val="20"/>
                <w:szCs w:val="20"/>
              </w:rPr>
              <w:t>India</w:t>
            </w:r>
          </w:p>
        </w:tc>
        <w:tc>
          <w:tcPr>
            <w:tcW w:w="1077" w:type="dxa"/>
          </w:tcPr>
          <w:p w14:paraId="04528D3E" w14:textId="77777777" w:rsidR="0096673F" w:rsidRPr="00C918A7" w:rsidRDefault="0096673F" w:rsidP="006E12AB">
            <w:pPr>
              <w:jc w:val="center"/>
              <w:rPr>
                <w:sz w:val="20"/>
                <w:szCs w:val="20"/>
              </w:rPr>
            </w:pPr>
          </w:p>
        </w:tc>
        <w:tc>
          <w:tcPr>
            <w:tcW w:w="1077" w:type="dxa"/>
          </w:tcPr>
          <w:p w14:paraId="6E013054" w14:textId="77777777" w:rsidR="0096673F" w:rsidRPr="00C918A7" w:rsidRDefault="0096673F" w:rsidP="006E12AB">
            <w:pPr>
              <w:jc w:val="center"/>
              <w:rPr>
                <w:sz w:val="20"/>
                <w:szCs w:val="20"/>
              </w:rPr>
            </w:pPr>
          </w:p>
        </w:tc>
        <w:tc>
          <w:tcPr>
            <w:tcW w:w="1077" w:type="dxa"/>
            <w:shd w:val="clear" w:color="auto" w:fill="FFFF00"/>
          </w:tcPr>
          <w:p w14:paraId="3EA7F82F" w14:textId="5477F71D" w:rsidR="0096673F" w:rsidRPr="00C918A7" w:rsidRDefault="00940BD6" w:rsidP="006E12AB">
            <w:pPr>
              <w:jc w:val="center"/>
              <w:rPr>
                <w:sz w:val="20"/>
                <w:szCs w:val="20"/>
              </w:rPr>
            </w:pPr>
            <w:r w:rsidRPr="00940BD6">
              <w:rPr>
                <w:color w:val="000000" w:themeColor="text1"/>
                <w:sz w:val="20"/>
                <w:szCs w:val="20"/>
                <w:highlight w:val="yellow"/>
              </w:rPr>
              <w:t>Considering</w:t>
            </w:r>
          </w:p>
        </w:tc>
        <w:tc>
          <w:tcPr>
            <w:tcW w:w="1077" w:type="dxa"/>
          </w:tcPr>
          <w:p w14:paraId="4CE8EBAE" w14:textId="77777777" w:rsidR="0096673F" w:rsidRPr="00C918A7" w:rsidRDefault="0096673F" w:rsidP="006E12AB">
            <w:pPr>
              <w:jc w:val="center"/>
              <w:rPr>
                <w:sz w:val="20"/>
                <w:szCs w:val="20"/>
              </w:rPr>
            </w:pPr>
          </w:p>
        </w:tc>
        <w:tc>
          <w:tcPr>
            <w:tcW w:w="1077" w:type="dxa"/>
            <w:shd w:val="clear" w:color="auto" w:fill="FF0000"/>
          </w:tcPr>
          <w:p w14:paraId="1EA64C6D"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FF00"/>
          </w:tcPr>
          <w:p w14:paraId="6CCEBFBF" w14:textId="77777777" w:rsidR="0096673F" w:rsidRPr="00C918A7" w:rsidRDefault="0096673F" w:rsidP="006E12AB">
            <w:pPr>
              <w:jc w:val="center"/>
              <w:rPr>
                <w:sz w:val="20"/>
                <w:szCs w:val="20"/>
              </w:rPr>
            </w:pPr>
            <w:r>
              <w:rPr>
                <w:sz w:val="20"/>
                <w:szCs w:val="20"/>
              </w:rPr>
              <w:t>Considering</w:t>
            </w:r>
          </w:p>
        </w:tc>
        <w:tc>
          <w:tcPr>
            <w:tcW w:w="1077" w:type="dxa"/>
          </w:tcPr>
          <w:p w14:paraId="529EED89" w14:textId="77777777" w:rsidR="0096673F" w:rsidRPr="00C918A7" w:rsidRDefault="0096673F" w:rsidP="006E12AB">
            <w:pPr>
              <w:rPr>
                <w:sz w:val="20"/>
                <w:szCs w:val="20"/>
              </w:rPr>
            </w:pPr>
          </w:p>
        </w:tc>
        <w:tc>
          <w:tcPr>
            <w:tcW w:w="142" w:type="dxa"/>
            <w:tcBorders>
              <w:top w:val="nil"/>
              <w:bottom w:val="nil"/>
            </w:tcBorders>
            <w:shd w:val="clear" w:color="auto" w:fill="auto"/>
          </w:tcPr>
          <w:p w14:paraId="360B7105" w14:textId="77777777" w:rsidR="0096673F" w:rsidRPr="00C918A7" w:rsidRDefault="0096673F" w:rsidP="006E12AB">
            <w:pPr>
              <w:rPr>
                <w:sz w:val="20"/>
                <w:szCs w:val="20"/>
              </w:rPr>
            </w:pPr>
          </w:p>
        </w:tc>
        <w:tc>
          <w:tcPr>
            <w:tcW w:w="1075" w:type="dxa"/>
            <w:shd w:val="clear" w:color="auto" w:fill="FF0000"/>
          </w:tcPr>
          <w:p w14:paraId="6FFB94E5" w14:textId="77777777" w:rsidR="0096673F" w:rsidRPr="0009205F" w:rsidRDefault="0096673F" w:rsidP="006E12AB">
            <w:pPr>
              <w:rPr>
                <w:b/>
                <w:bCs/>
                <w:sz w:val="20"/>
                <w:szCs w:val="20"/>
              </w:rPr>
            </w:pPr>
            <w:r w:rsidRPr="0009205F">
              <w:rPr>
                <w:b/>
                <w:bCs/>
                <w:color w:val="FFFFFF" w:themeColor="background1"/>
                <w:sz w:val="20"/>
                <w:szCs w:val="20"/>
              </w:rPr>
              <w:t>Restrict</w:t>
            </w:r>
            <w:r>
              <w:rPr>
                <w:b/>
                <w:bCs/>
                <w:color w:val="FFFFFF" w:themeColor="background1"/>
                <w:sz w:val="20"/>
                <w:szCs w:val="20"/>
              </w:rPr>
              <w:t>ed</w:t>
            </w:r>
          </w:p>
        </w:tc>
        <w:tc>
          <w:tcPr>
            <w:tcW w:w="4394" w:type="dxa"/>
            <w:shd w:val="clear" w:color="auto" w:fill="auto"/>
          </w:tcPr>
          <w:p w14:paraId="218C0B5B" w14:textId="77777777" w:rsidR="0096673F" w:rsidRPr="0009205F" w:rsidRDefault="0096673F" w:rsidP="006E12AB">
            <w:pPr>
              <w:rPr>
                <w:color w:val="000000" w:themeColor="text1"/>
                <w:sz w:val="20"/>
                <w:szCs w:val="20"/>
              </w:rPr>
            </w:pPr>
            <w:r w:rsidRPr="0009205F">
              <w:rPr>
                <w:color w:val="000000" w:themeColor="text1"/>
                <w:sz w:val="20"/>
                <w:szCs w:val="20"/>
              </w:rPr>
              <w:t>Restrictions are in place</w:t>
            </w:r>
          </w:p>
        </w:tc>
      </w:tr>
      <w:tr w:rsidR="0096673F" w:rsidRPr="00C918A7" w14:paraId="354108C2" w14:textId="77777777" w:rsidTr="00CB52C2">
        <w:tc>
          <w:tcPr>
            <w:tcW w:w="1587" w:type="dxa"/>
          </w:tcPr>
          <w:p w14:paraId="4F1F5CB2" w14:textId="77777777" w:rsidR="0096673F" w:rsidRPr="00C918A7" w:rsidRDefault="0096673F" w:rsidP="006E12AB">
            <w:pPr>
              <w:rPr>
                <w:sz w:val="20"/>
                <w:szCs w:val="20"/>
              </w:rPr>
            </w:pPr>
            <w:r w:rsidRPr="00C918A7">
              <w:rPr>
                <w:sz w:val="20"/>
                <w:szCs w:val="20"/>
              </w:rPr>
              <w:t>Bangladesh</w:t>
            </w:r>
          </w:p>
        </w:tc>
        <w:tc>
          <w:tcPr>
            <w:tcW w:w="1077" w:type="dxa"/>
          </w:tcPr>
          <w:p w14:paraId="0133FD4C" w14:textId="77777777" w:rsidR="0096673F" w:rsidRPr="00C918A7" w:rsidRDefault="0096673F" w:rsidP="006E12AB">
            <w:pPr>
              <w:jc w:val="center"/>
              <w:rPr>
                <w:sz w:val="20"/>
                <w:szCs w:val="20"/>
              </w:rPr>
            </w:pPr>
          </w:p>
        </w:tc>
        <w:tc>
          <w:tcPr>
            <w:tcW w:w="1077" w:type="dxa"/>
          </w:tcPr>
          <w:p w14:paraId="4288FDEA" w14:textId="77777777" w:rsidR="0096673F" w:rsidRPr="00C918A7" w:rsidRDefault="0096673F" w:rsidP="006E12AB">
            <w:pPr>
              <w:jc w:val="center"/>
              <w:rPr>
                <w:sz w:val="20"/>
                <w:szCs w:val="20"/>
              </w:rPr>
            </w:pPr>
          </w:p>
        </w:tc>
        <w:tc>
          <w:tcPr>
            <w:tcW w:w="1077" w:type="dxa"/>
          </w:tcPr>
          <w:p w14:paraId="1C81C16B" w14:textId="77777777" w:rsidR="0096673F" w:rsidRPr="00C918A7" w:rsidRDefault="0096673F" w:rsidP="006E12AB">
            <w:pPr>
              <w:jc w:val="center"/>
              <w:rPr>
                <w:sz w:val="20"/>
                <w:szCs w:val="20"/>
              </w:rPr>
            </w:pPr>
          </w:p>
        </w:tc>
        <w:tc>
          <w:tcPr>
            <w:tcW w:w="1077" w:type="dxa"/>
          </w:tcPr>
          <w:p w14:paraId="38E5E8C8" w14:textId="77777777" w:rsidR="0096673F" w:rsidRPr="00C918A7" w:rsidRDefault="0096673F" w:rsidP="006E12AB">
            <w:pPr>
              <w:jc w:val="center"/>
              <w:rPr>
                <w:sz w:val="20"/>
                <w:szCs w:val="20"/>
              </w:rPr>
            </w:pPr>
          </w:p>
        </w:tc>
        <w:tc>
          <w:tcPr>
            <w:tcW w:w="1077" w:type="dxa"/>
            <w:shd w:val="clear" w:color="auto" w:fill="FF0000"/>
          </w:tcPr>
          <w:p w14:paraId="6720225C" w14:textId="61987A56" w:rsidR="0096673F" w:rsidRPr="00C918A7" w:rsidRDefault="00CB52C2" w:rsidP="006E12AB">
            <w:pPr>
              <w:jc w:val="center"/>
              <w:rPr>
                <w:sz w:val="20"/>
                <w:szCs w:val="20"/>
              </w:rPr>
            </w:pPr>
            <w:r w:rsidRPr="00096777">
              <w:rPr>
                <w:b/>
                <w:bCs/>
                <w:color w:val="FFFFFF" w:themeColor="background1"/>
                <w:sz w:val="20"/>
                <w:szCs w:val="20"/>
              </w:rPr>
              <w:t>Restricted</w:t>
            </w:r>
          </w:p>
        </w:tc>
        <w:tc>
          <w:tcPr>
            <w:tcW w:w="1077" w:type="dxa"/>
          </w:tcPr>
          <w:p w14:paraId="56D31E3A" w14:textId="77777777" w:rsidR="0096673F" w:rsidRPr="00C918A7" w:rsidRDefault="0096673F" w:rsidP="006E12AB">
            <w:pPr>
              <w:jc w:val="center"/>
              <w:rPr>
                <w:sz w:val="20"/>
                <w:szCs w:val="20"/>
              </w:rPr>
            </w:pPr>
          </w:p>
        </w:tc>
        <w:tc>
          <w:tcPr>
            <w:tcW w:w="1077" w:type="dxa"/>
          </w:tcPr>
          <w:p w14:paraId="7C3B8C1B" w14:textId="77777777" w:rsidR="0096673F" w:rsidRPr="00C918A7" w:rsidRDefault="0096673F" w:rsidP="006E12AB">
            <w:pPr>
              <w:rPr>
                <w:sz w:val="20"/>
                <w:szCs w:val="20"/>
              </w:rPr>
            </w:pPr>
          </w:p>
        </w:tc>
        <w:tc>
          <w:tcPr>
            <w:tcW w:w="142" w:type="dxa"/>
            <w:tcBorders>
              <w:top w:val="nil"/>
              <w:bottom w:val="nil"/>
            </w:tcBorders>
            <w:shd w:val="clear" w:color="auto" w:fill="auto"/>
          </w:tcPr>
          <w:p w14:paraId="137ADD60" w14:textId="77777777" w:rsidR="0096673F" w:rsidRPr="00C918A7" w:rsidRDefault="0096673F" w:rsidP="006E12AB">
            <w:pPr>
              <w:rPr>
                <w:sz w:val="20"/>
                <w:szCs w:val="20"/>
              </w:rPr>
            </w:pPr>
          </w:p>
        </w:tc>
        <w:tc>
          <w:tcPr>
            <w:tcW w:w="1075" w:type="dxa"/>
            <w:shd w:val="clear" w:color="auto" w:fill="FFEBCA" w:themeFill="accent4" w:themeFillTint="33"/>
          </w:tcPr>
          <w:p w14:paraId="6B8B5F33" w14:textId="77777777" w:rsidR="0096673F" w:rsidRPr="00C918A7" w:rsidRDefault="0096673F" w:rsidP="006E12AB">
            <w:pPr>
              <w:rPr>
                <w:sz w:val="20"/>
                <w:szCs w:val="20"/>
              </w:rPr>
            </w:pPr>
            <w:r>
              <w:rPr>
                <w:sz w:val="20"/>
                <w:szCs w:val="20"/>
              </w:rPr>
              <w:t>A</w:t>
            </w:r>
            <w:r w:rsidRPr="00C918A7">
              <w:rPr>
                <w:sz w:val="20"/>
                <w:szCs w:val="20"/>
              </w:rPr>
              <w:t>nnounced</w:t>
            </w:r>
          </w:p>
        </w:tc>
        <w:tc>
          <w:tcPr>
            <w:tcW w:w="4394" w:type="dxa"/>
            <w:shd w:val="clear" w:color="auto" w:fill="auto"/>
          </w:tcPr>
          <w:p w14:paraId="5CD011A0" w14:textId="77777777" w:rsidR="0096673F" w:rsidRPr="0009205F" w:rsidRDefault="0096673F" w:rsidP="006E12AB">
            <w:pPr>
              <w:rPr>
                <w:color w:val="000000" w:themeColor="text1"/>
                <w:sz w:val="20"/>
                <w:szCs w:val="20"/>
              </w:rPr>
            </w:pPr>
            <w:r w:rsidRPr="0009205F">
              <w:rPr>
                <w:color w:val="000000" w:themeColor="text1"/>
                <w:sz w:val="20"/>
                <w:szCs w:val="20"/>
              </w:rPr>
              <w:t>Restrictions announced but not yet implemented</w:t>
            </w:r>
          </w:p>
        </w:tc>
      </w:tr>
      <w:tr w:rsidR="0096673F" w:rsidRPr="00C918A7" w14:paraId="5E96CCB5" w14:textId="77777777" w:rsidTr="006E12AB">
        <w:tc>
          <w:tcPr>
            <w:tcW w:w="1587" w:type="dxa"/>
          </w:tcPr>
          <w:p w14:paraId="1AF9C7F4" w14:textId="77777777" w:rsidR="0096673F" w:rsidRPr="00C918A7" w:rsidRDefault="0096673F" w:rsidP="006E12AB">
            <w:pPr>
              <w:rPr>
                <w:sz w:val="20"/>
                <w:szCs w:val="20"/>
              </w:rPr>
            </w:pPr>
            <w:r w:rsidRPr="00C918A7">
              <w:rPr>
                <w:sz w:val="20"/>
                <w:szCs w:val="20"/>
              </w:rPr>
              <w:t>Vietnam</w:t>
            </w:r>
          </w:p>
        </w:tc>
        <w:tc>
          <w:tcPr>
            <w:tcW w:w="1077" w:type="dxa"/>
          </w:tcPr>
          <w:p w14:paraId="7B78AE6F" w14:textId="77777777" w:rsidR="0096673F" w:rsidRPr="00C918A7" w:rsidRDefault="0096673F" w:rsidP="006E12AB">
            <w:pPr>
              <w:jc w:val="center"/>
              <w:rPr>
                <w:sz w:val="20"/>
                <w:szCs w:val="20"/>
              </w:rPr>
            </w:pPr>
          </w:p>
        </w:tc>
        <w:tc>
          <w:tcPr>
            <w:tcW w:w="1077" w:type="dxa"/>
          </w:tcPr>
          <w:p w14:paraId="5FC8CD83" w14:textId="77777777" w:rsidR="0096673F" w:rsidRPr="00C918A7" w:rsidRDefault="0096673F" w:rsidP="006E12AB">
            <w:pPr>
              <w:jc w:val="center"/>
              <w:rPr>
                <w:sz w:val="20"/>
                <w:szCs w:val="20"/>
              </w:rPr>
            </w:pPr>
          </w:p>
        </w:tc>
        <w:tc>
          <w:tcPr>
            <w:tcW w:w="1077" w:type="dxa"/>
            <w:shd w:val="clear" w:color="auto" w:fill="FF0000"/>
          </w:tcPr>
          <w:p w14:paraId="3580F7BA"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2FAC6BF2"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04B5E06F"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506FBAAB" w14:textId="77777777" w:rsidR="0096673F" w:rsidRPr="00C918A7" w:rsidRDefault="0096673F" w:rsidP="006E12AB">
            <w:pPr>
              <w:jc w:val="center"/>
              <w:rPr>
                <w:sz w:val="20"/>
                <w:szCs w:val="20"/>
              </w:rPr>
            </w:pPr>
          </w:p>
        </w:tc>
        <w:tc>
          <w:tcPr>
            <w:tcW w:w="1077" w:type="dxa"/>
          </w:tcPr>
          <w:p w14:paraId="695922BC" w14:textId="77777777" w:rsidR="0096673F" w:rsidRPr="00C918A7" w:rsidRDefault="0096673F" w:rsidP="006E12AB">
            <w:pPr>
              <w:rPr>
                <w:sz w:val="20"/>
                <w:szCs w:val="20"/>
              </w:rPr>
            </w:pPr>
          </w:p>
        </w:tc>
        <w:tc>
          <w:tcPr>
            <w:tcW w:w="142" w:type="dxa"/>
            <w:tcBorders>
              <w:top w:val="nil"/>
              <w:bottom w:val="nil"/>
            </w:tcBorders>
            <w:shd w:val="clear" w:color="auto" w:fill="auto"/>
          </w:tcPr>
          <w:p w14:paraId="1B9686BA" w14:textId="77777777" w:rsidR="0096673F" w:rsidRPr="00C918A7" w:rsidRDefault="0096673F" w:rsidP="006E12AB">
            <w:pPr>
              <w:rPr>
                <w:sz w:val="20"/>
                <w:szCs w:val="20"/>
              </w:rPr>
            </w:pPr>
          </w:p>
        </w:tc>
        <w:tc>
          <w:tcPr>
            <w:tcW w:w="1075" w:type="dxa"/>
            <w:tcBorders>
              <w:bottom w:val="single" w:sz="4" w:space="0" w:color="B7B7E2"/>
            </w:tcBorders>
            <w:shd w:val="clear" w:color="auto" w:fill="FFFF00"/>
          </w:tcPr>
          <w:p w14:paraId="78BB4DC8" w14:textId="77777777" w:rsidR="0096673F" w:rsidRPr="0009205F" w:rsidRDefault="0096673F" w:rsidP="006E12AB">
            <w:pPr>
              <w:rPr>
                <w:color w:val="000000" w:themeColor="text1"/>
                <w:sz w:val="20"/>
                <w:szCs w:val="20"/>
              </w:rPr>
            </w:pPr>
            <w:r w:rsidRPr="0009205F">
              <w:rPr>
                <w:color w:val="000000" w:themeColor="text1"/>
                <w:sz w:val="20"/>
                <w:szCs w:val="20"/>
              </w:rPr>
              <w:t>Considering</w:t>
            </w:r>
          </w:p>
        </w:tc>
        <w:tc>
          <w:tcPr>
            <w:tcW w:w="4394" w:type="dxa"/>
            <w:tcBorders>
              <w:bottom w:val="single" w:sz="4" w:space="0" w:color="B7B7E2"/>
            </w:tcBorders>
            <w:shd w:val="clear" w:color="auto" w:fill="auto"/>
          </w:tcPr>
          <w:p w14:paraId="44A3E50C" w14:textId="77777777" w:rsidR="0096673F" w:rsidRPr="0009205F" w:rsidRDefault="0096673F" w:rsidP="006E12AB">
            <w:pPr>
              <w:rPr>
                <w:color w:val="000000" w:themeColor="text1"/>
                <w:sz w:val="20"/>
                <w:szCs w:val="20"/>
              </w:rPr>
            </w:pPr>
            <w:r w:rsidRPr="0009205F">
              <w:rPr>
                <w:color w:val="000000" w:themeColor="text1"/>
                <w:sz w:val="20"/>
                <w:szCs w:val="20"/>
              </w:rPr>
              <w:t>Restrictions are under consideration</w:t>
            </w:r>
          </w:p>
        </w:tc>
      </w:tr>
      <w:tr w:rsidR="0096673F" w:rsidRPr="00C918A7" w14:paraId="72F9484D" w14:textId="77777777" w:rsidTr="006E12AB">
        <w:tc>
          <w:tcPr>
            <w:tcW w:w="1587" w:type="dxa"/>
          </w:tcPr>
          <w:p w14:paraId="5A38234E" w14:textId="77777777" w:rsidR="0096673F" w:rsidRPr="00C918A7" w:rsidRDefault="0096673F" w:rsidP="006E12AB">
            <w:pPr>
              <w:rPr>
                <w:sz w:val="20"/>
                <w:szCs w:val="20"/>
              </w:rPr>
            </w:pPr>
            <w:r w:rsidRPr="00C918A7">
              <w:rPr>
                <w:sz w:val="20"/>
                <w:szCs w:val="20"/>
              </w:rPr>
              <w:t>China</w:t>
            </w:r>
          </w:p>
        </w:tc>
        <w:tc>
          <w:tcPr>
            <w:tcW w:w="1077" w:type="dxa"/>
          </w:tcPr>
          <w:p w14:paraId="36AF423A" w14:textId="77777777" w:rsidR="0096673F" w:rsidRPr="00C918A7" w:rsidRDefault="0096673F" w:rsidP="006E12AB">
            <w:pPr>
              <w:jc w:val="center"/>
              <w:rPr>
                <w:sz w:val="20"/>
                <w:szCs w:val="20"/>
              </w:rPr>
            </w:pPr>
          </w:p>
        </w:tc>
        <w:tc>
          <w:tcPr>
            <w:tcW w:w="1077" w:type="dxa"/>
          </w:tcPr>
          <w:p w14:paraId="7C8C6B35" w14:textId="77777777" w:rsidR="0096673F" w:rsidRPr="00C918A7" w:rsidRDefault="0096673F" w:rsidP="006E12AB">
            <w:pPr>
              <w:jc w:val="center"/>
              <w:rPr>
                <w:sz w:val="20"/>
                <w:szCs w:val="20"/>
              </w:rPr>
            </w:pPr>
          </w:p>
        </w:tc>
        <w:tc>
          <w:tcPr>
            <w:tcW w:w="1077" w:type="dxa"/>
            <w:shd w:val="clear" w:color="auto" w:fill="FF0000"/>
          </w:tcPr>
          <w:p w14:paraId="31F9BCAD"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54C80C64"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1990467A"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4EEC6A3F" w14:textId="77777777" w:rsidR="0096673F" w:rsidRPr="00C918A7" w:rsidRDefault="0096673F" w:rsidP="006E12AB">
            <w:pPr>
              <w:jc w:val="center"/>
              <w:rPr>
                <w:sz w:val="20"/>
                <w:szCs w:val="20"/>
              </w:rPr>
            </w:pPr>
          </w:p>
        </w:tc>
        <w:tc>
          <w:tcPr>
            <w:tcW w:w="1077" w:type="dxa"/>
          </w:tcPr>
          <w:p w14:paraId="5EB4C801"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5869B563" w14:textId="77777777" w:rsidR="0096673F" w:rsidRPr="00C918A7" w:rsidRDefault="0096673F" w:rsidP="006E12AB">
            <w:pPr>
              <w:rPr>
                <w:sz w:val="20"/>
                <w:szCs w:val="20"/>
              </w:rPr>
            </w:pPr>
          </w:p>
        </w:tc>
        <w:tc>
          <w:tcPr>
            <w:tcW w:w="1075" w:type="dxa"/>
            <w:tcBorders>
              <w:left w:val="nil"/>
              <w:bottom w:val="nil"/>
              <w:right w:val="nil"/>
            </w:tcBorders>
          </w:tcPr>
          <w:p w14:paraId="6A608DCD" w14:textId="77777777" w:rsidR="0096673F" w:rsidRPr="00C918A7" w:rsidRDefault="0096673F" w:rsidP="006E12AB">
            <w:pPr>
              <w:rPr>
                <w:sz w:val="20"/>
                <w:szCs w:val="20"/>
              </w:rPr>
            </w:pPr>
          </w:p>
        </w:tc>
        <w:tc>
          <w:tcPr>
            <w:tcW w:w="4394" w:type="dxa"/>
            <w:tcBorders>
              <w:left w:val="nil"/>
              <w:bottom w:val="nil"/>
              <w:right w:val="nil"/>
            </w:tcBorders>
            <w:shd w:val="clear" w:color="auto" w:fill="auto"/>
          </w:tcPr>
          <w:p w14:paraId="152CCE76" w14:textId="77777777" w:rsidR="0096673F" w:rsidRPr="0009205F" w:rsidRDefault="0096673F" w:rsidP="006E12AB">
            <w:pPr>
              <w:rPr>
                <w:color w:val="000000" w:themeColor="text1"/>
                <w:sz w:val="20"/>
                <w:szCs w:val="20"/>
              </w:rPr>
            </w:pPr>
          </w:p>
        </w:tc>
      </w:tr>
      <w:tr w:rsidR="0096673F" w:rsidRPr="00C918A7" w14:paraId="3739CB21" w14:textId="77777777" w:rsidTr="006E12AB">
        <w:tc>
          <w:tcPr>
            <w:tcW w:w="1587" w:type="dxa"/>
          </w:tcPr>
          <w:p w14:paraId="60579E18" w14:textId="77777777" w:rsidR="0096673F" w:rsidRPr="00C918A7" w:rsidRDefault="0096673F" w:rsidP="006E12AB">
            <w:pPr>
              <w:rPr>
                <w:sz w:val="20"/>
                <w:szCs w:val="20"/>
              </w:rPr>
            </w:pPr>
            <w:r w:rsidRPr="00C918A7">
              <w:rPr>
                <w:sz w:val="20"/>
                <w:szCs w:val="20"/>
              </w:rPr>
              <w:t>Malaysia</w:t>
            </w:r>
          </w:p>
        </w:tc>
        <w:tc>
          <w:tcPr>
            <w:tcW w:w="1077" w:type="dxa"/>
          </w:tcPr>
          <w:p w14:paraId="1C58DCC2" w14:textId="77777777" w:rsidR="0096673F" w:rsidRPr="00C918A7" w:rsidRDefault="0096673F" w:rsidP="006E12AB">
            <w:pPr>
              <w:jc w:val="center"/>
              <w:rPr>
                <w:sz w:val="20"/>
                <w:szCs w:val="20"/>
              </w:rPr>
            </w:pPr>
          </w:p>
        </w:tc>
        <w:tc>
          <w:tcPr>
            <w:tcW w:w="1077" w:type="dxa"/>
          </w:tcPr>
          <w:p w14:paraId="1819B062" w14:textId="77777777" w:rsidR="0096673F" w:rsidRPr="00C918A7" w:rsidRDefault="0096673F" w:rsidP="006E12AB">
            <w:pPr>
              <w:jc w:val="center"/>
              <w:rPr>
                <w:sz w:val="20"/>
                <w:szCs w:val="20"/>
              </w:rPr>
            </w:pPr>
          </w:p>
        </w:tc>
        <w:tc>
          <w:tcPr>
            <w:tcW w:w="1077" w:type="dxa"/>
          </w:tcPr>
          <w:p w14:paraId="2C905208" w14:textId="0F1AF6E6" w:rsidR="0096673F" w:rsidRPr="00C918A7" w:rsidRDefault="001E68E7" w:rsidP="006E12AB">
            <w:pPr>
              <w:jc w:val="center"/>
              <w:rPr>
                <w:sz w:val="20"/>
                <w:szCs w:val="20"/>
              </w:rPr>
            </w:pPr>
            <w:r w:rsidRPr="00940BD6">
              <w:rPr>
                <w:color w:val="000000" w:themeColor="text1"/>
                <w:sz w:val="20"/>
                <w:szCs w:val="20"/>
                <w:highlight w:val="yellow"/>
              </w:rPr>
              <w:t>Considering</w:t>
            </w:r>
          </w:p>
        </w:tc>
        <w:tc>
          <w:tcPr>
            <w:tcW w:w="1077" w:type="dxa"/>
          </w:tcPr>
          <w:p w14:paraId="37A7B9C0" w14:textId="77777777" w:rsidR="0096673F" w:rsidRPr="00C918A7" w:rsidRDefault="0096673F" w:rsidP="006E12AB">
            <w:pPr>
              <w:jc w:val="center"/>
              <w:rPr>
                <w:sz w:val="20"/>
                <w:szCs w:val="20"/>
              </w:rPr>
            </w:pPr>
          </w:p>
        </w:tc>
        <w:tc>
          <w:tcPr>
            <w:tcW w:w="1077" w:type="dxa"/>
            <w:shd w:val="clear" w:color="auto" w:fill="FF0000"/>
          </w:tcPr>
          <w:p w14:paraId="388DC11C"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31361827" w14:textId="77777777" w:rsidR="0096673F" w:rsidRPr="00C918A7" w:rsidRDefault="0096673F" w:rsidP="006E12AB">
            <w:pPr>
              <w:jc w:val="center"/>
              <w:rPr>
                <w:sz w:val="20"/>
                <w:szCs w:val="20"/>
              </w:rPr>
            </w:pPr>
          </w:p>
        </w:tc>
        <w:tc>
          <w:tcPr>
            <w:tcW w:w="1077" w:type="dxa"/>
          </w:tcPr>
          <w:p w14:paraId="034966DD"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31FBE5D5" w14:textId="77777777" w:rsidR="0096673F" w:rsidRPr="00C918A7" w:rsidRDefault="0096673F" w:rsidP="006E12AB">
            <w:pPr>
              <w:rPr>
                <w:sz w:val="20"/>
                <w:szCs w:val="20"/>
              </w:rPr>
            </w:pPr>
          </w:p>
        </w:tc>
        <w:tc>
          <w:tcPr>
            <w:tcW w:w="1075" w:type="dxa"/>
            <w:tcBorders>
              <w:top w:val="nil"/>
              <w:left w:val="nil"/>
              <w:bottom w:val="nil"/>
              <w:right w:val="nil"/>
            </w:tcBorders>
          </w:tcPr>
          <w:p w14:paraId="27ACE30A"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2E8ECC21" w14:textId="77777777" w:rsidR="0096673F" w:rsidRPr="0009205F" w:rsidRDefault="0096673F" w:rsidP="006E12AB">
            <w:pPr>
              <w:rPr>
                <w:color w:val="000000" w:themeColor="text1"/>
                <w:sz w:val="20"/>
                <w:szCs w:val="20"/>
              </w:rPr>
            </w:pPr>
          </w:p>
        </w:tc>
      </w:tr>
      <w:tr w:rsidR="0096673F" w:rsidRPr="00C918A7" w14:paraId="59C0F386" w14:textId="77777777" w:rsidTr="006E12AB">
        <w:tc>
          <w:tcPr>
            <w:tcW w:w="1587" w:type="dxa"/>
          </w:tcPr>
          <w:p w14:paraId="3F329338" w14:textId="77777777" w:rsidR="0096673F" w:rsidRPr="00C918A7" w:rsidRDefault="0096673F" w:rsidP="006E12AB">
            <w:pPr>
              <w:rPr>
                <w:sz w:val="20"/>
                <w:szCs w:val="20"/>
              </w:rPr>
            </w:pPr>
            <w:r w:rsidRPr="00C918A7">
              <w:rPr>
                <w:sz w:val="20"/>
                <w:szCs w:val="20"/>
              </w:rPr>
              <w:t>Thailand</w:t>
            </w:r>
          </w:p>
        </w:tc>
        <w:tc>
          <w:tcPr>
            <w:tcW w:w="1077" w:type="dxa"/>
          </w:tcPr>
          <w:p w14:paraId="1246AA35" w14:textId="77777777" w:rsidR="0096673F" w:rsidRPr="00C918A7" w:rsidRDefault="0096673F" w:rsidP="006E12AB">
            <w:pPr>
              <w:jc w:val="center"/>
              <w:rPr>
                <w:sz w:val="20"/>
                <w:szCs w:val="20"/>
              </w:rPr>
            </w:pPr>
          </w:p>
        </w:tc>
        <w:tc>
          <w:tcPr>
            <w:tcW w:w="1077" w:type="dxa"/>
          </w:tcPr>
          <w:p w14:paraId="3BFC6515" w14:textId="77777777" w:rsidR="0096673F" w:rsidRPr="00C918A7" w:rsidRDefault="0096673F" w:rsidP="006E12AB">
            <w:pPr>
              <w:jc w:val="center"/>
              <w:rPr>
                <w:sz w:val="20"/>
                <w:szCs w:val="20"/>
              </w:rPr>
            </w:pPr>
          </w:p>
        </w:tc>
        <w:tc>
          <w:tcPr>
            <w:tcW w:w="1077" w:type="dxa"/>
          </w:tcPr>
          <w:p w14:paraId="5CBEA873" w14:textId="77777777" w:rsidR="0096673F" w:rsidRPr="00C918A7" w:rsidRDefault="0096673F" w:rsidP="006E12AB">
            <w:pPr>
              <w:jc w:val="center"/>
              <w:rPr>
                <w:sz w:val="20"/>
                <w:szCs w:val="20"/>
              </w:rPr>
            </w:pPr>
          </w:p>
        </w:tc>
        <w:tc>
          <w:tcPr>
            <w:tcW w:w="1077" w:type="dxa"/>
          </w:tcPr>
          <w:p w14:paraId="19512B1B" w14:textId="77777777" w:rsidR="0096673F" w:rsidRPr="00C918A7" w:rsidRDefault="0096673F" w:rsidP="006E12AB">
            <w:pPr>
              <w:jc w:val="center"/>
              <w:rPr>
                <w:sz w:val="20"/>
                <w:szCs w:val="20"/>
              </w:rPr>
            </w:pPr>
          </w:p>
        </w:tc>
        <w:tc>
          <w:tcPr>
            <w:tcW w:w="1077" w:type="dxa"/>
            <w:shd w:val="clear" w:color="auto" w:fill="FF0000"/>
          </w:tcPr>
          <w:p w14:paraId="59EF70CA"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51C6E83F" w14:textId="77777777" w:rsidR="0096673F" w:rsidRPr="00C918A7" w:rsidRDefault="0096673F" w:rsidP="006E12AB">
            <w:pPr>
              <w:jc w:val="center"/>
              <w:rPr>
                <w:sz w:val="20"/>
                <w:szCs w:val="20"/>
              </w:rPr>
            </w:pPr>
          </w:p>
        </w:tc>
        <w:tc>
          <w:tcPr>
            <w:tcW w:w="1077" w:type="dxa"/>
          </w:tcPr>
          <w:p w14:paraId="56C8A42F"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6A4F7D1B" w14:textId="77777777" w:rsidR="0096673F" w:rsidRPr="00C918A7" w:rsidRDefault="0096673F" w:rsidP="006E12AB">
            <w:pPr>
              <w:rPr>
                <w:sz w:val="20"/>
                <w:szCs w:val="20"/>
              </w:rPr>
            </w:pPr>
          </w:p>
        </w:tc>
        <w:tc>
          <w:tcPr>
            <w:tcW w:w="1075" w:type="dxa"/>
            <w:tcBorders>
              <w:top w:val="nil"/>
              <w:left w:val="nil"/>
              <w:bottom w:val="nil"/>
              <w:right w:val="nil"/>
            </w:tcBorders>
          </w:tcPr>
          <w:p w14:paraId="067F7371"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627C687A" w14:textId="77777777" w:rsidR="0096673F" w:rsidRPr="0009205F" w:rsidRDefault="0096673F" w:rsidP="006E12AB">
            <w:pPr>
              <w:rPr>
                <w:color w:val="000000" w:themeColor="text1"/>
                <w:sz w:val="20"/>
                <w:szCs w:val="20"/>
              </w:rPr>
            </w:pPr>
          </w:p>
        </w:tc>
      </w:tr>
      <w:tr w:rsidR="0096673F" w:rsidRPr="00C918A7" w14:paraId="07A3EAAF" w14:textId="77777777" w:rsidTr="006E12AB">
        <w:tc>
          <w:tcPr>
            <w:tcW w:w="1587" w:type="dxa"/>
          </w:tcPr>
          <w:p w14:paraId="5A4B4866" w14:textId="77777777" w:rsidR="0096673F" w:rsidRPr="00C918A7" w:rsidRDefault="0096673F" w:rsidP="006E12AB">
            <w:pPr>
              <w:rPr>
                <w:sz w:val="20"/>
                <w:szCs w:val="20"/>
              </w:rPr>
            </w:pPr>
            <w:r w:rsidRPr="00C918A7">
              <w:rPr>
                <w:sz w:val="20"/>
                <w:szCs w:val="20"/>
              </w:rPr>
              <w:t>Taiwan</w:t>
            </w:r>
          </w:p>
        </w:tc>
        <w:tc>
          <w:tcPr>
            <w:tcW w:w="1077" w:type="dxa"/>
          </w:tcPr>
          <w:p w14:paraId="15256067" w14:textId="77777777" w:rsidR="0096673F" w:rsidRPr="00C918A7" w:rsidRDefault="0096673F" w:rsidP="006E12AB">
            <w:pPr>
              <w:jc w:val="center"/>
              <w:rPr>
                <w:sz w:val="20"/>
                <w:szCs w:val="20"/>
              </w:rPr>
            </w:pPr>
          </w:p>
        </w:tc>
        <w:tc>
          <w:tcPr>
            <w:tcW w:w="1077" w:type="dxa"/>
          </w:tcPr>
          <w:p w14:paraId="55EFFFBF" w14:textId="77777777" w:rsidR="0096673F" w:rsidRPr="00C918A7" w:rsidRDefault="0096673F" w:rsidP="006E12AB">
            <w:pPr>
              <w:jc w:val="center"/>
              <w:rPr>
                <w:sz w:val="20"/>
                <w:szCs w:val="20"/>
              </w:rPr>
            </w:pPr>
          </w:p>
        </w:tc>
        <w:tc>
          <w:tcPr>
            <w:tcW w:w="1077" w:type="dxa"/>
          </w:tcPr>
          <w:p w14:paraId="7333224B" w14:textId="77777777" w:rsidR="0096673F" w:rsidRPr="00C918A7" w:rsidRDefault="0096673F" w:rsidP="006E12AB">
            <w:pPr>
              <w:jc w:val="center"/>
              <w:rPr>
                <w:sz w:val="20"/>
                <w:szCs w:val="20"/>
              </w:rPr>
            </w:pPr>
          </w:p>
        </w:tc>
        <w:tc>
          <w:tcPr>
            <w:tcW w:w="1077" w:type="dxa"/>
            <w:shd w:val="clear" w:color="auto" w:fill="FF0000"/>
          </w:tcPr>
          <w:p w14:paraId="0BB78445"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1A5A09A2"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0B305908" w14:textId="77777777" w:rsidR="0096673F" w:rsidRPr="00C918A7" w:rsidRDefault="0096673F" w:rsidP="006E12AB">
            <w:pPr>
              <w:jc w:val="center"/>
              <w:rPr>
                <w:sz w:val="20"/>
                <w:szCs w:val="20"/>
              </w:rPr>
            </w:pPr>
          </w:p>
        </w:tc>
        <w:tc>
          <w:tcPr>
            <w:tcW w:w="1077" w:type="dxa"/>
          </w:tcPr>
          <w:p w14:paraId="58D43ED4"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617B2A53" w14:textId="77777777" w:rsidR="0096673F" w:rsidRPr="00C918A7" w:rsidRDefault="0096673F" w:rsidP="006E12AB">
            <w:pPr>
              <w:rPr>
                <w:sz w:val="20"/>
                <w:szCs w:val="20"/>
              </w:rPr>
            </w:pPr>
          </w:p>
        </w:tc>
        <w:tc>
          <w:tcPr>
            <w:tcW w:w="1075" w:type="dxa"/>
            <w:tcBorders>
              <w:top w:val="nil"/>
              <w:left w:val="nil"/>
              <w:bottom w:val="nil"/>
              <w:right w:val="nil"/>
            </w:tcBorders>
          </w:tcPr>
          <w:p w14:paraId="4D138DCA"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02335DD8" w14:textId="77777777" w:rsidR="0096673F" w:rsidRPr="0009205F" w:rsidRDefault="0096673F" w:rsidP="006E12AB">
            <w:pPr>
              <w:rPr>
                <w:color w:val="000000" w:themeColor="text1"/>
                <w:sz w:val="20"/>
                <w:szCs w:val="20"/>
              </w:rPr>
            </w:pPr>
          </w:p>
        </w:tc>
      </w:tr>
      <w:tr w:rsidR="0096673F" w:rsidRPr="00C918A7" w14:paraId="585F4E5C" w14:textId="77777777" w:rsidTr="006E12AB">
        <w:tc>
          <w:tcPr>
            <w:tcW w:w="1587" w:type="dxa"/>
          </w:tcPr>
          <w:p w14:paraId="366EEC6E" w14:textId="488B19E2" w:rsidR="0096673F" w:rsidRPr="00C918A7" w:rsidRDefault="00102B40" w:rsidP="006E12AB">
            <w:pPr>
              <w:rPr>
                <w:sz w:val="20"/>
                <w:szCs w:val="20"/>
              </w:rPr>
            </w:pPr>
            <w:r>
              <w:rPr>
                <w:sz w:val="20"/>
                <w:szCs w:val="20"/>
              </w:rPr>
              <w:t>South Korea</w:t>
            </w:r>
          </w:p>
        </w:tc>
        <w:tc>
          <w:tcPr>
            <w:tcW w:w="1077" w:type="dxa"/>
          </w:tcPr>
          <w:p w14:paraId="587112EA" w14:textId="77777777" w:rsidR="0096673F" w:rsidRPr="00C918A7" w:rsidRDefault="0096673F" w:rsidP="006E12AB">
            <w:pPr>
              <w:jc w:val="center"/>
              <w:rPr>
                <w:sz w:val="20"/>
                <w:szCs w:val="20"/>
              </w:rPr>
            </w:pPr>
          </w:p>
        </w:tc>
        <w:tc>
          <w:tcPr>
            <w:tcW w:w="1077" w:type="dxa"/>
          </w:tcPr>
          <w:p w14:paraId="04EF7932" w14:textId="77777777" w:rsidR="0096673F" w:rsidRPr="00C918A7" w:rsidRDefault="0096673F" w:rsidP="006E12AB">
            <w:pPr>
              <w:jc w:val="center"/>
              <w:rPr>
                <w:sz w:val="20"/>
                <w:szCs w:val="20"/>
              </w:rPr>
            </w:pPr>
          </w:p>
        </w:tc>
        <w:tc>
          <w:tcPr>
            <w:tcW w:w="1077" w:type="dxa"/>
          </w:tcPr>
          <w:p w14:paraId="72093300" w14:textId="77777777" w:rsidR="0096673F" w:rsidRPr="00C918A7" w:rsidRDefault="0096673F" w:rsidP="006E12AB">
            <w:pPr>
              <w:jc w:val="center"/>
              <w:rPr>
                <w:sz w:val="20"/>
                <w:szCs w:val="20"/>
              </w:rPr>
            </w:pPr>
          </w:p>
        </w:tc>
        <w:tc>
          <w:tcPr>
            <w:tcW w:w="1077" w:type="dxa"/>
            <w:shd w:val="clear" w:color="auto" w:fill="FF0000"/>
          </w:tcPr>
          <w:p w14:paraId="65F67DE9"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0000"/>
          </w:tcPr>
          <w:p w14:paraId="3C4937AD"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shd w:val="clear" w:color="auto" w:fill="FFEBCA" w:themeFill="accent4" w:themeFillTint="33"/>
          </w:tcPr>
          <w:p w14:paraId="5FE9AE21" w14:textId="77777777" w:rsidR="0096673F" w:rsidRPr="00C918A7" w:rsidRDefault="0096673F" w:rsidP="006E12AB">
            <w:pPr>
              <w:jc w:val="center"/>
              <w:rPr>
                <w:sz w:val="20"/>
                <w:szCs w:val="20"/>
              </w:rPr>
            </w:pPr>
            <w:r>
              <w:rPr>
                <w:sz w:val="20"/>
                <w:szCs w:val="20"/>
              </w:rPr>
              <w:t>Announced</w:t>
            </w:r>
          </w:p>
        </w:tc>
        <w:tc>
          <w:tcPr>
            <w:tcW w:w="1077" w:type="dxa"/>
          </w:tcPr>
          <w:p w14:paraId="22CA105E"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3CE29A99" w14:textId="77777777" w:rsidR="0096673F" w:rsidRPr="00C918A7" w:rsidRDefault="0096673F" w:rsidP="006E12AB">
            <w:pPr>
              <w:rPr>
                <w:sz w:val="20"/>
                <w:szCs w:val="20"/>
              </w:rPr>
            </w:pPr>
          </w:p>
        </w:tc>
        <w:tc>
          <w:tcPr>
            <w:tcW w:w="1075" w:type="dxa"/>
            <w:tcBorders>
              <w:top w:val="nil"/>
              <w:left w:val="nil"/>
              <w:bottom w:val="nil"/>
              <w:right w:val="nil"/>
            </w:tcBorders>
          </w:tcPr>
          <w:p w14:paraId="5C51BF1D"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471DAC14" w14:textId="77777777" w:rsidR="0096673F" w:rsidRPr="0009205F" w:rsidRDefault="0096673F" w:rsidP="006E12AB">
            <w:pPr>
              <w:rPr>
                <w:color w:val="000000" w:themeColor="text1"/>
                <w:sz w:val="20"/>
                <w:szCs w:val="20"/>
              </w:rPr>
            </w:pPr>
          </w:p>
        </w:tc>
      </w:tr>
      <w:tr w:rsidR="0096673F" w:rsidRPr="00C918A7" w14:paraId="43D59AC3" w14:textId="77777777" w:rsidTr="006E12AB">
        <w:tc>
          <w:tcPr>
            <w:tcW w:w="1587" w:type="dxa"/>
          </w:tcPr>
          <w:p w14:paraId="5B4E0A1E" w14:textId="77777777" w:rsidR="0096673F" w:rsidRPr="00C918A7" w:rsidRDefault="0096673F" w:rsidP="006E12AB">
            <w:pPr>
              <w:rPr>
                <w:sz w:val="20"/>
                <w:szCs w:val="20"/>
              </w:rPr>
            </w:pPr>
            <w:r w:rsidRPr="00C918A7">
              <w:rPr>
                <w:sz w:val="20"/>
                <w:szCs w:val="20"/>
              </w:rPr>
              <w:t>Pakistan</w:t>
            </w:r>
          </w:p>
        </w:tc>
        <w:tc>
          <w:tcPr>
            <w:tcW w:w="1077" w:type="dxa"/>
          </w:tcPr>
          <w:p w14:paraId="5BE713E9" w14:textId="77777777" w:rsidR="0096673F" w:rsidRPr="00C918A7" w:rsidRDefault="0096673F" w:rsidP="006E12AB">
            <w:pPr>
              <w:jc w:val="center"/>
              <w:rPr>
                <w:sz w:val="20"/>
                <w:szCs w:val="20"/>
              </w:rPr>
            </w:pPr>
          </w:p>
        </w:tc>
        <w:tc>
          <w:tcPr>
            <w:tcW w:w="1077" w:type="dxa"/>
          </w:tcPr>
          <w:p w14:paraId="4AF3CAE1" w14:textId="77777777" w:rsidR="0096673F" w:rsidRPr="00C918A7" w:rsidRDefault="0096673F" w:rsidP="006E12AB">
            <w:pPr>
              <w:jc w:val="center"/>
              <w:rPr>
                <w:sz w:val="20"/>
                <w:szCs w:val="20"/>
              </w:rPr>
            </w:pPr>
          </w:p>
        </w:tc>
        <w:tc>
          <w:tcPr>
            <w:tcW w:w="1077" w:type="dxa"/>
          </w:tcPr>
          <w:p w14:paraId="05BAEF89" w14:textId="77777777" w:rsidR="0096673F" w:rsidRPr="00C918A7" w:rsidRDefault="0096673F" w:rsidP="006E12AB">
            <w:pPr>
              <w:jc w:val="center"/>
              <w:rPr>
                <w:sz w:val="20"/>
                <w:szCs w:val="20"/>
              </w:rPr>
            </w:pPr>
          </w:p>
        </w:tc>
        <w:tc>
          <w:tcPr>
            <w:tcW w:w="1077" w:type="dxa"/>
          </w:tcPr>
          <w:p w14:paraId="6F840D6B" w14:textId="77777777" w:rsidR="0096673F" w:rsidRPr="00C918A7" w:rsidRDefault="0096673F" w:rsidP="006E12AB">
            <w:pPr>
              <w:jc w:val="center"/>
              <w:rPr>
                <w:sz w:val="20"/>
                <w:szCs w:val="20"/>
              </w:rPr>
            </w:pPr>
          </w:p>
        </w:tc>
        <w:tc>
          <w:tcPr>
            <w:tcW w:w="1077" w:type="dxa"/>
          </w:tcPr>
          <w:p w14:paraId="3803B9FB" w14:textId="77777777" w:rsidR="0096673F" w:rsidRPr="00C918A7" w:rsidRDefault="0096673F" w:rsidP="006E12AB">
            <w:pPr>
              <w:jc w:val="center"/>
              <w:rPr>
                <w:sz w:val="20"/>
                <w:szCs w:val="20"/>
              </w:rPr>
            </w:pPr>
          </w:p>
        </w:tc>
        <w:tc>
          <w:tcPr>
            <w:tcW w:w="1077" w:type="dxa"/>
            <w:shd w:val="clear" w:color="auto" w:fill="FF0000"/>
          </w:tcPr>
          <w:p w14:paraId="0202B29F" w14:textId="77777777" w:rsidR="0096673F" w:rsidRPr="00C918A7" w:rsidRDefault="0096673F" w:rsidP="006E12AB">
            <w:pPr>
              <w:jc w:val="center"/>
              <w:rPr>
                <w:sz w:val="20"/>
                <w:szCs w:val="20"/>
              </w:rPr>
            </w:pPr>
            <w:r w:rsidRPr="00096777">
              <w:rPr>
                <w:b/>
                <w:bCs/>
                <w:color w:val="FFFFFF" w:themeColor="background1"/>
                <w:sz w:val="20"/>
                <w:szCs w:val="20"/>
              </w:rPr>
              <w:t>Restricted</w:t>
            </w:r>
          </w:p>
        </w:tc>
        <w:tc>
          <w:tcPr>
            <w:tcW w:w="1077" w:type="dxa"/>
          </w:tcPr>
          <w:p w14:paraId="3C8B2879" w14:textId="77777777" w:rsidR="0096673F" w:rsidRPr="00C918A7" w:rsidRDefault="0096673F" w:rsidP="006E12AB">
            <w:pPr>
              <w:rPr>
                <w:sz w:val="20"/>
                <w:szCs w:val="20"/>
              </w:rPr>
            </w:pPr>
          </w:p>
        </w:tc>
        <w:tc>
          <w:tcPr>
            <w:tcW w:w="142" w:type="dxa"/>
            <w:tcBorders>
              <w:top w:val="nil"/>
              <w:bottom w:val="nil"/>
              <w:right w:val="nil"/>
            </w:tcBorders>
            <w:shd w:val="clear" w:color="auto" w:fill="auto"/>
          </w:tcPr>
          <w:p w14:paraId="419C71F7" w14:textId="77777777" w:rsidR="0096673F" w:rsidRPr="00C918A7" w:rsidRDefault="0096673F" w:rsidP="006E12AB">
            <w:pPr>
              <w:rPr>
                <w:sz w:val="20"/>
                <w:szCs w:val="20"/>
              </w:rPr>
            </w:pPr>
          </w:p>
        </w:tc>
        <w:tc>
          <w:tcPr>
            <w:tcW w:w="1075" w:type="dxa"/>
            <w:tcBorders>
              <w:top w:val="nil"/>
              <w:left w:val="nil"/>
              <w:bottom w:val="nil"/>
              <w:right w:val="nil"/>
            </w:tcBorders>
          </w:tcPr>
          <w:p w14:paraId="29CCF091" w14:textId="77777777" w:rsidR="0096673F" w:rsidRPr="00C918A7" w:rsidRDefault="0096673F" w:rsidP="006E12AB">
            <w:pPr>
              <w:rPr>
                <w:sz w:val="20"/>
                <w:szCs w:val="20"/>
              </w:rPr>
            </w:pPr>
          </w:p>
        </w:tc>
        <w:tc>
          <w:tcPr>
            <w:tcW w:w="4394" w:type="dxa"/>
            <w:tcBorders>
              <w:top w:val="nil"/>
              <w:left w:val="nil"/>
              <w:bottom w:val="nil"/>
              <w:right w:val="nil"/>
            </w:tcBorders>
            <w:shd w:val="clear" w:color="auto" w:fill="auto"/>
          </w:tcPr>
          <w:p w14:paraId="3635AA5E" w14:textId="77777777" w:rsidR="0096673F" w:rsidRPr="0009205F" w:rsidRDefault="0096673F" w:rsidP="006E12AB">
            <w:pPr>
              <w:rPr>
                <w:color w:val="000000" w:themeColor="text1"/>
                <w:sz w:val="20"/>
                <w:szCs w:val="20"/>
              </w:rPr>
            </w:pPr>
          </w:p>
        </w:tc>
      </w:tr>
    </w:tbl>
    <w:p w14:paraId="7FC374F5" w14:textId="77777777" w:rsidR="00ED3EAD" w:rsidRDefault="00ED3EAD">
      <w:bookmarkStart w:id="29" w:name="_Hlk71298052"/>
      <w:bookmarkStart w:id="30" w:name="_Ref66627684"/>
    </w:p>
    <w:bookmarkEnd w:id="29"/>
    <w:p w14:paraId="5D253B1E" w14:textId="63BCCF78" w:rsidR="003A3BCA" w:rsidRPr="003A3BCA" w:rsidRDefault="001D0670" w:rsidP="001D0670">
      <w:pPr>
        <w:pStyle w:val="Caption"/>
        <w:rPr>
          <w:i w:val="0"/>
          <w:iCs w:val="0"/>
        </w:rPr>
      </w:pPr>
      <w:r>
        <w:t xml:space="preserve">Table </w:t>
      </w:r>
      <w:fldSimple w:instr=" SEQ Table \* ARABIC ">
        <w:r w:rsidR="00295F56">
          <w:rPr>
            <w:noProof/>
          </w:rPr>
          <w:t>5</w:t>
        </w:r>
      </w:fldSimple>
      <w:bookmarkEnd w:id="26"/>
      <w:bookmarkEnd w:id="30"/>
      <w:r>
        <w:tab/>
      </w:r>
      <w:r w:rsidRPr="003A3BCA">
        <w:t>Status of waste import restrictions</w:t>
      </w:r>
    </w:p>
    <w:tbl>
      <w:tblPr>
        <w:tblStyle w:val="BE-table2"/>
        <w:tblW w:w="14742" w:type="dxa"/>
        <w:tblInd w:w="-5" w:type="dxa"/>
        <w:tblLayout w:type="fixed"/>
        <w:tblLook w:val="04A0" w:firstRow="1" w:lastRow="0" w:firstColumn="1" w:lastColumn="0" w:noHBand="0" w:noVBand="1"/>
      </w:tblPr>
      <w:tblGrid>
        <w:gridCol w:w="993"/>
        <w:gridCol w:w="7087"/>
        <w:gridCol w:w="1418"/>
        <w:gridCol w:w="992"/>
        <w:gridCol w:w="1134"/>
        <w:gridCol w:w="709"/>
        <w:gridCol w:w="2409"/>
      </w:tblGrid>
      <w:tr w:rsidR="003A3BCA" w:rsidRPr="003A3BCA" w14:paraId="186C2882" w14:textId="77777777" w:rsidTr="0073263E">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993" w:type="dxa"/>
            <w:vMerge w:val="restart"/>
            <w:tcBorders>
              <w:bottom w:val="nil"/>
              <w:right w:val="nil"/>
            </w:tcBorders>
            <w:shd w:val="clear" w:color="auto" w:fill="9494D4" w:themeFill="accent1" w:themeFillTint="99"/>
            <w:tcMar>
              <w:left w:w="57" w:type="dxa"/>
              <w:right w:w="57" w:type="dxa"/>
            </w:tcMar>
            <w:vAlign w:val="bottom"/>
          </w:tcPr>
          <w:p w14:paraId="7859C6D6" w14:textId="7D084725" w:rsidR="003A3BCA" w:rsidRPr="00AE34EA" w:rsidRDefault="00AB1228" w:rsidP="003A3BCA">
            <w:pPr>
              <w:spacing w:beforeLines="0" w:before="0" w:afterLines="0" w:after="0"/>
              <w:rPr>
                <w:sz w:val="18"/>
                <w:szCs w:val="18"/>
              </w:rPr>
            </w:pPr>
            <w:r>
              <w:rPr>
                <w:sz w:val="18"/>
                <w:szCs w:val="18"/>
              </w:rPr>
              <w:t>Destination</w:t>
            </w:r>
          </w:p>
        </w:tc>
        <w:tc>
          <w:tcPr>
            <w:tcW w:w="7087" w:type="dxa"/>
            <w:vMerge w:val="restart"/>
            <w:tcBorders>
              <w:left w:val="nil"/>
              <w:bottom w:val="nil"/>
              <w:right w:val="nil"/>
            </w:tcBorders>
            <w:shd w:val="clear" w:color="auto" w:fill="9494D4" w:themeFill="accent1" w:themeFillTint="99"/>
            <w:tcMar>
              <w:left w:w="57" w:type="dxa"/>
              <w:right w:w="57" w:type="dxa"/>
            </w:tcMar>
            <w:vAlign w:val="bottom"/>
          </w:tcPr>
          <w:p w14:paraId="272DF0E3" w14:textId="77777777" w:rsidR="003A3BCA" w:rsidRPr="00A22E44"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A22E44">
              <w:t>Scope of restrictions</w:t>
            </w:r>
          </w:p>
        </w:tc>
        <w:tc>
          <w:tcPr>
            <w:tcW w:w="1418" w:type="dxa"/>
            <w:vMerge w:val="restart"/>
            <w:tcBorders>
              <w:left w:val="nil"/>
              <w:bottom w:val="nil"/>
              <w:right w:val="nil"/>
            </w:tcBorders>
            <w:shd w:val="clear" w:color="auto" w:fill="9494D4" w:themeFill="accent1" w:themeFillTint="99"/>
            <w:tcMar>
              <w:left w:w="57" w:type="dxa"/>
              <w:right w:w="57" w:type="dxa"/>
            </w:tcMar>
            <w:vAlign w:val="bottom"/>
          </w:tcPr>
          <w:p w14:paraId="287EF2BB"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Announced &amp; implemented</w:t>
            </w:r>
          </w:p>
        </w:tc>
        <w:tc>
          <w:tcPr>
            <w:tcW w:w="2835" w:type="dxa"/>
            <w:gridSpan w:val="3"/>
            <w:tcBorders>
              <w:left w:val="nil"/>
              <w:bottom w:val="nil"/>
              <w:right w:val="nil"/>
            </w:tcBorders>
            <w:shd w:val="clear" w:color="auto" w:fill="9494D4" w:themeFill="accent1" w:themeFillTint="99"/>
            <w:tcMar>
              <w:left w:w="57" w:type="dxa"/>
              <w:right w:w="57" w:type="dxa"/>
            </w:tcMar>
            <w:vAlign w:val="bottom"/>
          </w:tcPr>
          <w:p w14:paraId="2932C79A"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Associated exports (tonnes)</w:t>
            </w:r>
          </w:p>
        </w:tc>
        <w:tc>
          <w:tcPr>
            <w:tcW w:w="2409" w:type="dxa"/>
            <w:vMerge w:val="restart"/>
            <w:tcBorders>
              <w:left w:val="nil"/>
              <w:bottom w:val="nil"/>
            </w:tcBorders>
            <w:shd w:val="clear" w:color="auto" w:fill="9494D4" w:themeFill="accent1" w:themeFillTint="99"/>
            <w:tcMar>
              <w:left w:w="57" w:type="dxa"/>
              <w:right w:w="57" w:type="dxa"/>
            </w:tcMar>
            <w:vAlign w:val="bottom"/>
          </w:tcPr>
          <w:p w14:paraId="1C20265B" w14:textId="77777777" w:rsidR="003A3BCA" w:rsidRPr="00AE34E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Impact and uncertainties</w:t>
            </w:r>
          </w:p>
        </w:tc>
      </w:tr>
      <w:tr w:rsidR="003A3BCA" w:rsidRPr="003A3BCA" w14:paraId="5EC3A99C" w14:textId="77777777" w:rsidTr="0073263E">
        <w:tc>
          <w:tcPr>
            <w:cnfStyle w:val="001000000000" w:firstRow="0" w:lastRow="0" w:firstColumn="1" w:lastColumn="0" w:oddVBand="0" w:evenVBand="0" w:oddHBand="0" w:evenHBand="0" w:firstRowFirstColumn="0" w:firstRowLastColumn="0" w:lastRowFirstColumn="0" w:lastRowLastColumn="0"/>
            <w:tcW w:w="993" w:type="dxa"/>
            <w:vMerge/>
            <w:tcBorders>
              <w:top w:val="nil"/>
              <w:right w:val="nil"/>
            </w:tcBorders>
            <w:shd w:val="clear" w:color="auto" w:fill="9494D4" w:themeFill="accent1" w:themeFillTint="99"/>
            <w:tcMar>
              <w:left w:w="57" w:type="dxa"/>
              <w:right w:w="57" w:type="dxa"/>
            </w:tcMar>
          </w:tcPr>
          <w:p w14:paraId="085AC697" w14:textId="77777777" w:rsidR="003A3BCA" w:rsidRPr="00AE34EA" w:rsidRDefault="003A3BCA" w:rsidP="003A3BCA">
            <w:pPr>
              <w:spacing w:before="0" w:after="0"/>
              <w:rPr>
                <w:b/>
                <w:color w:val="FFFFFF" w:themeColor="background1"/>
                <w:sz w:val="18"/>
                <w:szCs w:val="18"/>
              </w:rPr>
            </w:pPr>
          </w:p>
        </w:tc>
        <w:tc>
          <w:tcPr>
            <w:tcW w:w="7087" w:type="dxa"/>
            <w:vMerge/>
            <w:tcBorders>
              <w:top w:val="nil"/>
              <w:left w:val="nil"/>
              <w:right w:val="nil"/>
            </w:tcBorders>
            <w:shd w:val="clear" w:color="auto" w:fill="9494D4" w:themeFill="accent1" w:themeFillTint="99"/>
            <w:tcMar>
              <w:left w:w="57" w:type="dxa"/>
              <w:right w:w="57" w:type="dxa"/>
            </w:tcMar>
          </w:tcPr>
          <w:p w14:paraId="1D814DA6" w14:textId="77777777" w:rsidR="003A3BCA" w:rsidRPr="00A22E44"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1418" w:type="dxa"/>
            <w:vMerge/>
            <w:tcBorders>
              <w:top w:val="nil"/>
              <w:left w:val="nil"/>
              <w:right w:val="nil"/>
            </w:tcBorders>
            <w:shd w:val="clear" w:color="auto" w:fill="9494D4" w:themeFill="accent1" w:themeFillTint="99"/>
            <w:tcMar>
              <w:left w:w="57" w:type="dxa"/>
              <w:right w:w="57" w:type="dxa"/>
            </w:tcMar>
          </w:tcPr>
          <w:p w14:paraId="048C9507"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c>
          <w:tcPr>
            <w:tcW w:w="992" w:type="dxa"/>
            <w:tcBorders>
              <w:top w:val="nil"/>
              <w:left w:val="nil"/>
              <w:right w:val="nil"/>
            </w:tcBorders>
            <w:shd w:val="clear" w:color="auto" w:fill="9494D4" w:themeFill="accent1" w:themeFillTint="99"/>
            <w:tcMar>
              <w:left w:w="57" w:type="dxa"/>
              <w:right w:w="57" w:type="dxa"/>
            </w:tcMar>
          </w:tcPr>
          <w:p w14:paraId="203DD81B"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AE34EA">
              <w:rPr>
                <w:b/>
                <w:color w:val="FFFFFF" w:themeColor="background1"/>
                <w:sz w:val="18"/>
                <w:szCs w:val="18"/>
              </w:rPr>
              <w:t>Types</w:t>
            </w:r>
          </w:p>
        </w:tc>
        <w:tc>
          <w:tcPr>
            <w:tcW w:w="1134" w:type="dxa"/>
            <w:tcBorders>
              <w:top w:val="nil"/>
              <w:left w:val="nil"/>
              <w:right w:val="nil"/>
            </w:tcBorders>
            <w:shd w:val="clear" w:color="auto" w:fill="9494D4" w:themeFill="accent1" w:themeFillTint="99"/>
            <w:tcMar>
              <w:left w:w="57" w:type="dxa"/>
              <w:right w:w="57" w:type="dxa"/>
            </w:tcMar>
          </w:tcPr>
          <w:p w14:paraId="7F983DE0" w14:textId="50962710"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AE34EA">
              <w:rPr>
                <w:b/>
                <w:color w:val="FFFFFF" w:themeColor="background1"/>
                <w:sz w:val="18"/>
                <w:szCs w:val="18"/>
              </w:rPr>
              <w:t>201</w:t>
            </w:r>
            <w:r w:rsidR="00ED0ADD">
              <w:rPr>
                <w:b/>
                <w:color w:val="FFFFFF" w:themeColor="background1"/>
                <w:sz w:val="18"/>
                <w:szCs w:val="18"/>
              </w:rPr>
              <w:t>9</w:t>
            </w:r>
            <w:r w:rsidRPr="00AE34EA">
              <w:rPr>
                <w:b/>
                <w:color w:val="FFFFFF" w:themeColor="background1"/>
                <w:sz w:val="18"/>
                <w:szCs w:val="18"/>
              </w:rPr>
              <w:t>-</w:t>
            </w:r>
            <w:r w:rsidR="00ED0ADD">
              <w:rPr>
                <w:b/>
                <w:color w:val="FFFFFF" w:themeColor="background1"/>
                <w:sz w:val="18"/>
                <w:szCs w:val="18"/>
              </w:rPr>
              <w:t>20</w:t>
            </w:r>
          </w:p>
        </w:tc>
        <w:tc>
          <w:tcPr>
            <w:tcW w:w="709" w:type="dxa"/>
            <w:tcBorders>
              <w:top w:val="nil"/>
              <w:left w:val="nil"/>
              <w:right w:val="nil"/>
            </w:tcBorders>
            <w:shd w:val="clear" w:color="auto" w:fill="9494D4" w:themeFill="accent1" w:themeFillTint="99"/>
            <w:tcMar>
              <w:left w:w="57" w:type="dxa"/>
              <w:right w:w="57" w:type="dxa"/>
            </w:tcMar>
          </w:tcPr>
          <w:p w14:paraId="0E8AB1D0" w14:textId="5B479CA0" w:rsidR="003A3BCA" w:rsidRPr="00AE34EA" w:rsidRDefault="00E47662"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Pr>
                <w:b/>
                <w:color w:val="FFFFFF" w:themeColor="background1"/>
                <w:sz w:val="18"/>
                <w:szCs w:val="18"/>
              </w:rPr>
              <w:t>May</w:t>
            </w:r>
            <w:r w:rsidR="00CD188D">
              <w:rPr>
                <w:b/>
                <w:color w:val="FFFFFF" w:themeColor="background1"/>
                <w:sz w:val="18"/>
                <w:szCs w:val="18"/>
              </w:rPr>
              <w:t xml:space="preserve"> 21</w:t>
            </w:r>
          </w:p>
        </w:tc>
        <w:tc>
          <w:tcPr>
            <w:tcW w:w="2409" w:type="dxa"/>
            <w:vMerge/>
            <w:tcBorders>
              <w:top w:val="nil"/>
              <w:left w:val="nil"/>
            </w:tcBorders>
            <w:shd w:val="clear" w:color="auto" w:fill="9494D4" w:themeFill="accent1" w:themeFillTint="99"/>
            <w:tcMar>
              <w:left w:w="57" w:type="dxa"/>
              <w:right w:w="57" w:type="dxa"/>
            </w:tcMar>
          </w:tcPr>
          <w:p w14:paraId="79D440B7" w14:textId="77777777" w:rsidR="003A3BCA" w:rsidRPr="00AE34E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r>
      <w:tr w:rsidR="00D77C8D" w:rsidRPr="003A3BCA" w14:paraId="168BE163"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0913CBFE" w14:textId="28E76379" w:rsidR="00D77C8D" w:rsidRPr="00AE34EA" w:rsidRDefault="00D77C8D" w:rsidP="003A3BCA">
            <w:pPr>
              <w:spacing w:before="40" w:after="40"/>
              <w:rPr>
                <w:sz w:val="18"/>
                <w:szCs w:val="18"/>
              </w:rPr>
            </w:pPr>
            <w:r w:rsidRPr="00AE34EA">
              <w:rPr>
                <w:sz w:val="18"/>
                <w:szCs w:val="18"/>
              </w:rPr>
              <w:t>Indonesia</w:t>
            </w:r>
          </w:p>
        </w:tc>
        <w:tc>
          <w:tcPr>
            <w:tcW w:w="7087" w:type="dxa"/>
            <w:tcMar>
              <w:left w:w="57" w:type="dxa"/>
              <w:right w:w="57" w:type="dxa"/>
            </w:tcMar>
          </w:tcPr>
          <w:p w14:paraId="57858CA3" w14:textId="17D96DF2" w:rsidR="00D77C8D" w:rsidRPr="00A22E44" w:rsidRDefault="0096673F" w:rsidP="00773955">
            <w:pPr>
              <w:cnfStyle w:val="000000000000" w:firstRow="0" w:lastRow="0" w:firstColumn="0" w:lastColumn="0" w:oddVBand="0" w:evenVBand="0" w:oddHBand="0" w:evenHBand="0" w:firstRowFirstColumn="0" w:firstRowLastColumn="0" w:lastRowFirstColumn="0" w:lastRowLastColumn="0"/>
            </w:pPr>
            <w:r w:rsidRPr="00A22E44">
              <w:t>On 27 May 2020 the Indonesian Government published a decree on the implementation of import of non-hazardous and toxic material waste</w:t>
            </w:r>
            <w:r w:rsidRPr="00A22E44">
              <w:rPr>
                <w:vertAlign w:val="superscript"/>
              </w:rPr>
              <w:footnoteReference w:id="24"/>
            </w:r>
            <w:r w:rsidRPr="00A22E44">
              <w:t>.</w:t>
            </w:r>
            <w:r w:rsidR="004E5B2E">
              <w:t xml:space="preserve"> </w:t>
            </w:r>
            <w:r w:rsidRPr="00A22E44">
              <w:t xml:space="preserve">This limits contamination of imported scrap </w:t>
            </w:r>
            <w:r w:rsidR="00736AA3">
              <w:t>plastics</w:t>
            </w:r>
            <w:r w:rsidR="00736AA3" w:rsidRPr="00A22E44">
              <w:t xml:space="preserve"> and</w:t>
            </w:r>
            <w:r w:rsidRPr="00A22E44">
              <w:t xml:space="preserve"> paper to 2%</w:t>
            </w:r>
            <w:r w:rsidR="0021661E">
              <w:t>.</w:t>
            </w:r>
            <w:r w:rsidRPr="00A22E44">
              <w:t xml:space="preserve"> </w:t>
            </w:r>
            <w:r w:rsidR="0021661E">
              <w:t xml:space="preserve">The decree </w:t>
            </w:r>
            <w:r w:rsidRPr="00A22E44">
              <w:t>announce</w:t>
            </w:r>
            <w:r w:rsidR="0021661E">
              <w:t>d</w:t>
            </w:r>
            <w:r w:rsidRPr="00A22E44">
              <w:t xml:space="preserve"> the formation of a task force to develop a road map accelerating the availability of domestic raw materials. </w:t>
            </w:r>
            <w:r w:rsidR="0021661E">
              <w:t xml:space="preserve">However, recently the head of the Centre for Green Industry, Standardization and </w:t>
            </w:r>
            <w:r w:rsidR="00923462">
              <w:t>Industrial Service Policy noted the importance of the recycling industry to Indonesia’s economy and the necessity for imports to provide sufficient feedstocks</w:t>
            </w:r>
            <w:r w:rsidR="00923462" w:rsidRPr="00923462">
              <w:rPr>
                <w:vertAlign w:val="superscript"/>
              </w:rPr>
              <w:fldChar w:fldCharType="begin"/>
            </w:r>
            <w:r w:rsidR="00923462" w:rsidRPr="00923462">
              <w:rPr>
                <w:vertAlign w:val="superscript"/>
              </w:rPr>
              <w:instrText xml:space="preserve"> NOTEREF _Ref76395966 \h </w:instrText>
            </w:r>
            <w:r w:rsidR="00923462">
              <w:rPr>
                <w:vertAlign w:val="superscript"/>
              </w:rPr>
              <w:instrText xml:space="preserve"> \* MERGEFORMAT </w:instrText>
            </w:r>
            <w:r w:rsidR="00923462" w:rsidRPr="00923462">
              <w:rPr>
                <w:vertAlign w:val="superscript"/>
              </w:rPr>
            </w:r>
            <w:r w:rsidR="00923462" w:rsidRPr="00923462">
              <w:rPr>
                <w:vertAlign w:val="superscript"/>
              </w:rPr>
              <w:fldChar w:fldCharType="separate"/>
            </w:r>
            <w:r w:rsidR="00295F56">
              <w:rPr>
                <w:vertAlign w:val="superscript"/>
              </w:rPr>
              <w:t>20</w:t>
            </w:r>
            <w:r w:rsidR="00923462" w:rsidRPr="00923462">
              <w:rPr>
                <w:vertAlign w:val="superscript"/>
              </w:rPr>
              <w:fldChar w:fldCharType="end"/>
            </w:r>
            <w:r w:rsidR="00923462">
              <w:t xml:space="preserve">. </w:t>
            </w:r>
          </w:p>
        </w:tc>
        <w:tc>
          <w:tcPr>
            <w:tcW w:w="1418" w:type="dxa"/>
            <w:tcMar>
              <w:left w:w="57" w:type="dxa"/>
              <w:right w:w="57" w:type="dxa"/>
            </w:tcMar>
          </w:tcPr>
          <w:p w14:paraId="0794239A"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Apr-19</w:t>
            </w:r>
          </w:p>
          <w:p w14:paraId="3971405A" w14:textId="5926859D"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Nov-19</w:t>
            </w:r>
          </w:p>
        </w:tc>
        <w:tc>
          <w:tcPr>
            <w:tcW w:w="992" w:type="dxa"/>
            <w:tcMar>
              <w:left w:w="57" w:type="dxa"/>
              <w:right w:w="57" w:type="dxa"/>
            </w:tcMar>
          </w:tcPr>
          <w:p w14:paraId="48BE8F31" w14:textId="35E0BA7E"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Plastics, Paper and cardboard, metals, glass, hazardous waste, tyres, other. </w:t>
            </w:r>
          </w:p>
        </w:tc>
        <w:tc>
          <w:tcPr>
            <w:tcW w:w="1134" w:type="dxa"/>
            <w:tcMar>
              <w:left w:w="57" w:type="dxa"/>
              <w:right w:w="57" w:type="dxa"/>
            </w:tcMar>
          </w:tcPr>
          <w:p w14:paraId="5868A780" w14:textId="6B3A8D2D" w:rsidR="00A10C8B" w:rsidRDefault="003F5305"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62</w:t>
            </w:r>
            <w:r w:rsidR="00050CA2">
              <w:rPr>
                <w:sz w:val="18"/>
                <w:szCs w:val="18"/>
              </w:rPr>
              <w:t>7</w:t>
            </w:r>
            <w:r w:rsidR="00D77C8D" w:rsidRPr="00AE34EA">
              <w:rPr>
                <w:sz w:val="18"/>
                <w:szCs w:val="18"/>
              </w:rPr>
              <w:t>,</w:t>
            </w:r>
            <w:r w:rsidR="009E20F2">
              <w:rPr>
                <w:sz w:val="18"/>
                <w:szCs w:val="18"/>
              </w:rPr>
              <w:t>0</w:t>
            </w:r>
            <w:r w:rsidR="00D77C8D" w:rsidRPr="00AE34EA">
              <w:rPr>
                <w:sz w:val="18"/>
                <w:szCs w:val="18"/>
              </w:rPr>
              <w:t>00</w:t>
            </w:r>
          </w:p>
          <w:p w14:paraId="656381BC"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95F412E" w14:textId="3BE440E7" w:rsidR="00D77C8D" w:rsidRPr="00AE34EA" w:rsidRDefault="00D77C8D"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52</w:t>
            </w:r>
            <w:r w:rsidRPr="00AE34EA">
              <w:rPr>
                <w:sz w:val="18"/>
                <w:szCs w:val="18"/>
              </w:rPr>
              <w:t>,</w:t>
            </w:r>
            <w:r w:rsidR="009E20F2">
              <w:rPr>
                <w:sz w:val="18"/>
                <w:szCs w:val="18"/>
              </w:rPr>
              <w:t>0</w:t>
            </w:r>
            <w:r w:rsidRPr="00AE34EA">
              <w:rPr>
                <w:sz w:val="18"/>
                <w:szCs w:val="18"/>
              </w:rPr>
              <w:t>00</w:t>
            </w:r>
            <w:r w:rsidR="00A10C8B">
              <w:rPr>
                <w:sz w:val="18"/>
                <w:szCs w:val="18"/>
              </w:rPr>
              <w:t xml:space="preserve"> per</w:t>
            </w:r>
          </w:p>
          <w:p w14:paraId="5188241D" w14:textId="2654272D"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month)</w:t>
            </w:r>
          </w:p>
        </w:tc>
        <w:tc>
          <w:tcPr>
            <w:tcW w:w="709" w:type="dxa"/>
            <w:tcMar>
              <w:left w:w="57" w:type="dxa"/>
              <w:right w:w="57" w:type="dxa"/>
            </w:tcMar>
          </w:tcPr>
          <w:p w14:paraId="6EDE5A27" w14:textId="0C743475" w:rsidR="00D77C8D" w:rsidRPr="00AE34EA" w:rsidRDefault="00E47662"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122</w:t>
            </w:r>
            <w:r w:rsidR="00D77C8D" w:rsidRPr="00AE34EA">
              <w:rPr>
                <w:sz w:val="18"/>
                <w:szCs w:val="18"/>
              </w:rPr>
              <w:t>,000</w:t>
            </w:r>
          </w:p>
        </w:tc>
        <w:tc>
          <w:tcPr>
            <w:tcW w:w="2409" w:type="dxa"/>
            <w:tcMar>
              <w:left w:w="57" w:type="dxa"/>
              <w:right w:w="57" w:type="dxa"/>
            </w:tcMar>
          </w:tcPr>
          <w:p w14:paraId="63358067" w14:textId="27BBCE92" w:rsidR="00D77C8D" w:rsidRPr="00AE34EA" w:rsidRDefault="00713C60"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13C60">
              <w:rPr>
                <w:sz w:val="18"/>
                <w:szCs w:val="18"/>
              </w:rPr>
              <w:t>Imports reduced from 61,000 per month in 2018-19 to 52,000 in 2019-20</w:t>
            </w:r>
            <w:r w:rsidR="00D77C8D" w:rsidRPr="00AE34EA">
              <w:rPr>
                <w:sz w:val="18"/>
                <w:szCs w:val="18"/>
              </w:rPr>
              <w:t xml:space="preserve">. </w:t>
            </w:r>
          </w:p>
        </w:tc>
      </w:tr>
      <w:tr w:rsidR="00D77C8D" w:rsidRPr="003A3BCA" w14:paraId="2FDEC4D2"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42ED5E22" w14:textId="2D745B51" w:rsidR="00D77C8D" w:rsidRPr="00AE34EA" w:rsidRDefault="00D77C8D" w:rsidP="003A3BCA">
            <w:pPr>
              <w:spacing w:before="40" w:after="40"/>
              <w:rPr>
                <w:sz w:val="18"/>
                <w:szCs w:val="18"/>
              </w:rPr>
            </w:pPr>
            <w:r w:rsidRPr="00AE34EA">
              <w:rPr>
                <w:sz w:val="18"/>
                <w:szCs w:val="18"/>
              </w:rPr>
              <w:t>India</w:t>
            </w:r>
          </w:p>
        </w:tc>
        <w:tc>
          <w:tcPr>
            <w:tcW w:w="7087" w:type="dxa"/>
            <w:tcMar>
              <w:left w:w="57" w:type="dxa"/>
              <w:right w:w="57" w:type="dxa"/>
            </w:tcMar>
          </w:tcPr>
          <w:p w14:paraId="27410B88" w14:textId="0C43F5D9" w:rsidR="00D77C8D" w:rsidRPr="00A22E44" w:rsidRDefault="00A1506D" w:rsidP="005A68A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In 2016 India banned the import of scrap plastics with an exemption for special economic zones (SEZ) and export-oriented units (EOU). In A</w:t>
            </w:r>
            <w:r w:rsidR="00D77C8D" w:rsidRPr="00A22E44">
              <w:rPr>
                <w:color w:val="000000" w:themeColor="text1"/>
              </w:rPr>
              <w:t>ugust 2019</w:t>
            </w:r>
            <w:r w:rsidR="00D77C8D" w:rsidRPr="00A22E44">
              <w:rPr>
                <w:color w:val="000000" w:themeColor="text1"/>
                <w:vertAlign w:val="superscript"/>
              </w:rPr>
              <w:footnoteReference w:id="25"/>
            </w:r>
            <w:r w:rsidR="00D77C8D" w:rsidRPr="00A22E44">
              <w:rPr>
                <w:color w:val="000000" w:themeColor="text1"/>
              </w:rPr>
              <w:t xml:space="preserve"> </w:t>
            </w:r>
            <w:r>
              <w:rPr>
                <w:color w:val="000000" w:themeColor="text1"/>
              </w:rPr>
              <w:t xml:space="preserve">the ban was expanded to cover these zones, </w:t>
            </w:r>
            <w:r w:rsidR="0026379A">
              <w:rPr>
                <w:color w:val="000000" w:themeColor="text1"/>
              </w:rPr>
              <w:t>but</w:t>
            </w:r>
            <w:r>
              <w:rPr>
                <w:color w:val="000000" w:themeColor="text1"/>
              </w:rPr>
              <w:t xml:space="preserve"> on 27 January 2021 this expansion was revoked </w:t>
            </w:r>
            <w:r>
              <w:rPr>
                <w:color w:val="000000" w:themeColor="text1"/>
              </w:rPr>
              <w:lastRenderedPageBreak/>
              <w:t>meaning waste plastics can again be imported to these areas</w:t>
            </w:r>
            <w:r w:rsidR="00D77C8D" w:rsidRPr="00A22E44">
              <w:rPr>
                <w:color w:val="000000" w:themeColor="text1"/>
              </w:rPr>
              <w:t xml:space="preserve">. </w:t>
            </w:r>
            <w:r w:rsidR="009B2435" w:rsidRPr="00A22E44">
              <w:rPr>
                <w:color w:val="000000" w:themeColor="text1"/>
              </w:rPr>
              <w:t>The ban e</w:t>
            </w:r>
            <w:r w:rsidR="00D77C8D" w:rsidRPr="00A22E44">
              <w:rPr>
                <w:color w:val="000000" w:themeColor="text1"/>
              </w:rPr>
              <w:t xml:space="preserve">xcludes electrical/electronic assemblies or components that are defective which can be imported within a year of export. </w:t>
            </w:r>
            <w:r w:rsidR="00B91CBA" w:rsidRPr="00B91CBA">
              <w:rPr>
                <w:color w:val="000000" w:themeColor="text1"/>
              </w:rPr>
              <w:t xml:space="preserve">India also has a contamination limit of 1% for recovered paper, which it enforces by randomly inspecting </w:t>
            </w:r>
            <w:r w:rsidR="00B91CBA">
              <w:rPr>
                <w:color w:val="000000" w:themeColor="text1"/>
              </w:rPr>
              <w:t>five</w:t>
            </w:r>
            <w:r w:rsidR="00B91CBA" w:rsidRPr="00B91CBA">
              <w:rPr>
                <w:color w:val="000000" w:themeColor="text1"/>
              </w:rPr>
              <w:t xml:space="preserve"> mixed paper bales per container</w:t>
            </w:r>
            <w:r w:rsidR="00B91CBA" w:rsidRPr="00B91CBA">
              <w:rPr>
                <w:color w:val="000000" w:themeColor="text1"/>
                <w:vertAlign w:val="superscript"/>
              </w:rPr>
              <w:t xml:space="preserve"> </w:t>
            </w:r>
            <w:r w:rsidR="00D77C8D" w:rsidRPr="00A22E44">
              <w:rPr>
                <w:color w:val="000000" w:themeColor="text1"/>
                <w:vertAlign w:val="superscript"/>
              </w:rPr>
              <w:footnoteReference w:id="26"/>
            </w:r>
            <w:r w:rsidR="00D77C8D" w:rsidRPr="00A22E44">
              <w:rPr>
                <w:color w:val="000000" w:themeColor="text1"/>
              </w:rPr>
              <w:t>.</w:t>
            </w:r>
            <w:r w:rsidR="009A2E01">
              <w:rPr>
                <w:color w:val="000000" w:themeColor="text1"/>
              </w:rPr>
              <w:t xml:space="preserve"> India has proposed a new policy </w:t>
            </w:r>
            <w:r w:rsidR="00940BD6">
              <w:rPr>
                <w:color w:val="000000" w:themeColor="text1"/>
              </w:rPr>
              <w:t>seeking to increase local scrap metal processing and reducing reliance on imports</w:t>
            </w:r>
            <w:r w:rsidR="00940BD6">
              <w:rPr>
                <w:rStyle w:val="FootnoteReference"/>
                <w:color w:val="000000" w:themeColor="text1"/>
              </w:rPr>
              <w:footnoteReference w:id="27"/>
            </w:r>
            <w:r w:rsidR="009A2E01">
              <w:rPr>
                <w:color w:val="000000" w:themeColor="text1"/>
              </w:rPr>
              <w:t xml:space="preserve">. </w:t>
            </w:r>
          </w:p>
        </w:tc>
        <w:tc>
          <w:tcPr>
            <w:tcW w:w="1418" w:type="dxa"/>
            <w:tcMar>
              <w:left w:w="57" w:type="dxa"/>
              <w:right w:w="57" w:type="dxa"/>
            </w:tcMar>
          </w:tcPr>
          <w:p w14:paraId="35615229"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lastRenderedPageBreak/>
              <w:t>Ann.: Mar-19</w:t>
            </w:r>
          </w:p>
          <w:p w14:paraId="60D28A2E" w14:textId="77777777" w:rsidR="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w:t>
            </w:r>
            <w:r w:rsidR="00561557">
              <w:rPr>
                <w:sz w:val="18"/>
                <w:szCs w:val="18"/>
              </w:rPr>
              <w:t xml:space="preserve"> </w:t>
            </w:r>
            <w:r w:rsidR="00050CA2">
              <w:rPr>
                <w:sz w:val="18"/>
                <w:szCs w:val="18"/>
              </w:rPr>
              <w:t>Mar-19 to Aug-19</w:t>
            </w:r>
          </w:p>
          <w:p w14:paraId="05641755" w14:textId="6984D545" w:rsidR="00A1506D" w:rsidRPr="00AE34EA" w:rsidRDefault="00A1506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Lifted: Jan-21</w:t>
            </w:r>
          </w:p>
        </w:tc>
        <w:tc>
          <w:tcPr>
            <w:tcW w:w="992" w:type="dxa"/>
            <w:tcMar>
              <w:left w:w="57" w:type="dxa"/>
              <w:right w:w="57" w:type="dxa"/>
            </w:tcMar>
          </w:tcPr>
          <w:p w14:paraId="6BDFD0D2" w14:textId="67A8FF34"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lastRenderedPageBreak/>
              <w:t>Plastic</w:t>
            </w:r>
            <w:r w:rsidR="00A10C8B">
              <w:rPr>
                <w:sz w:val="18"/>
                <w:szCs w:val="18"/>
              </w:rPr>
              <w:t>s</w:t>
            </w:r>
          </w:p>
        </w:tc>
        <w:tc>
          <w:tcPr>
            <w:tcW w:w="1134" w:type="dxa"/>
            <w:tcMar>
              <w:left w:w="57" w:type="dxa"/>
              <w:right w:w="57" w:type="dxa"/>
            </w:tcMar>
          </w:tcPr>
          <w:p w14:paraId="16BDBAFE" w14:textId="2232EF9F" w:rsidR="00A10C8B" w:rsidRDefault="003F5305"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60</w:t>
            </w:r>
            <w:r w:rsidR="00D77C8D" w:rsidRPr="00AE34EA">
              <w:rPr>
                <w:sz w:val="18"/>
                <w:szCs w:val="18"/>
              </w:rPr>
              <w:t xml:space="preserve"> </w:t>
            </w:r>
          </w:p>
          <w:p w14:paraId="396B7C5F"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45B0A4B" w14:textId="4CA1BB07"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5</w:t>
            </w:r>
            <w:r w:rsidR="00A10C8B">
              <w:rPr>
                <w:sz w:val="18"/>
                <w:szCs w:val="18"/>
              </w:rPr>
              <w:t xml:space="preserve"> per </w:t>
            </w:r>
            <w:r w:rsidRPr="00AE34EA">
              <w:rPr>
                <w:sz w:val="18"/>
                <w:szCs w:val="18"/>
              </w:rPr>
              <w:t>month)</w:t>
            </w:r>
          </w:p>
        </w:tc>
        <w:tc>
          <w:tcPr>
            <w:tcW w:w="709" w:type="dxa"/>
            <w:tcMar>
              <w:left w:w="57" w:type="dxa"/>
              <w:right w:w="57" w:type="dxa"/>
            </w:tcMar>
          </w:tcPr>
          <w:p w14:paraId="33A6986B" w14:textId="4DCA864A" w:rsidR="00D77C8D" w:rsidRPr="00AE34EA" w:rsidRDefault="007D6AF8"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r w:rsidR="00E47662">
              <w:rPr>
                <w:sz w:val="18"/>
                <w:szCs w:val="18"/>
              </w:rPr>
              <w:t>4</w:t>
            </w:r>
            <w:r>
              <w:rPr>
                <w:sz w:val="18"/>
                <w:szCs w:val="18"/>
              </w:rPr>
              <w:t>0</w:t>
            </w:r>
          </w:p>
        </w:tc>
        <w:tc>
          <w:tcPr>
            <w:tcW w:w="2409" w:type="dxa"/>
            <w:tcMar>
              <w:left w:w="57" w:type="dxa"/>
              <w:right w:w="57" w:type="dxa"/>
            </w:tcMar>
          </w:tcPr>
          <w:p w14:paraId="19320B0E" w14:textId="11EEDD8C" w:rsidR="00D77C8D" w:rsidRPr="00AE34EA" w:rsidRDefault="00050C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Plastics imports reduced from 60 to 5 tonnes per month from 2018-19 to 2019-20.</w:t>
            </w:r>
            <w:r w:rsidR="00D77C8D" w:rsidRPr="00AE34EA">
              <w:rPr>
                <w:sz w:val="18"/>
                <w:szCs w:val="18"/>
              </w:rPr>
              <w:t xml:space="preserve"> </w:t>
            </w:r>
          </w:p>
        </w:tc>
      </w:tr>
      <w:tr w:rsidR="00B91CBA" w:rsidRPr="003A3BCA" w14:paraId="38AB1366" w14:textId="77777777" w:rsidTr="0070040B">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A3FF68D" w14:textId="77777777" w:rsidR="00B91CBA" w:rsidRPr="00AE34EA" w:rsidRDefault="00B91CBA" w:rsidP="00B91CBA">
            <w:pPr>
              <w:spacing w:before="40" w:after="40"/>
              <w:rPr>
                <w:sz w:val="18"/>
                <w:szCs w:val="18"/>
              </w:rPr>
            </w:pPr>
            <w:r>
              <w:rPr>
                <w:sz w:val="18"/>
                <w:szCs w:val="18"/>
              </w:rPr>
              <w:t>Bangladesh</w:t>
            </w:r>
          </w:p>
        </w:tc>
        <w:tc>
          <w:tcPr>
            <w:tcW w:w="7087" w:type="dxa"/>
            <w:tcMar>
              <w:left w:w="57" w:type="dxa"/>
              <w:right w:w="57" w:type="dxa"/>
            </w:tcMar>
          </w:tcPr>
          <w:p w14:paraId="72E251CA" w14:textId="6B1EB7D0" w:rsidR="00B91CBA" w:rsidRPr="00A22E44" w:rsidRDefault="00B91CBA" w:rsidP="00B91CBA">
            <w:pPr>
              <w:cnfStyle w:val="000000000000" w:firstRow="0" w:lastRow="0" w:firstColumn="0" w:lastColumn="0" w:oddVBand="0" w:evenVBand="0" w:oddHBand="0" w:evenHBand="0" w:firstRowFirstColumn="0" w:firstRowLastColumn="0" w:lastRowFirstColumn="0" w:lastRowLastColumn="0"/>
              <w:rPr>
                <w:color w:val="000000" w:themeColor="text1"/>
              </w:rPr>
            </w:pPr>
            <w:r w:rsidRPr="00B57979">
              <w:rPr>
                <w:color w:val="000000" w:themeColor="text1"/>
              </w:rPr>
              <w:t>The Bangladesh Ministry of Commerce Import Policy Order 2015-2018 includes details of waste import regulations</w:t>
            </w:r>
            <w:r w:rsidRPr="00B57979">
              <w:rPr>
                <w:rStyle w:val="FootnoteReference"/>
                <w:color w:val="000000" w:themeColor="text1"/>
              </w:rPr>
              <w:footnoteReference w:id="28"/>
            </w:r>
            <w:r w:rsidRPr="00B57979">
              <w:rPr>
                <w:color w:val="000000" w:themeColor="text1"/>
              </w:rPr>
              <w:t>. Metals and glass are allowed for bona fide industrial units, paper and cardboard is unrestricted and textiles are allowed with some restrictions. The regulations also mention exemptions for other waste types that would fall under the waste groups hazardous and ‘other’.</w:t>
            </w:r>
          </w:p>
        </w:tc>
        <w:tc>
          <w:tcPr>
            <w:tcW w:w="1418" w:type="dxa"/>
            <w:tcMar>
              <w:left w:w="57" w:type="dxa"/>
              <w:right w:w="57" w:type="dxa"/>
            </w:tcMar>
          </w:tcPr>
          <w:p w14:paraId="6F68B907" w14:textId="29B2D0C9" w:rsidR="00B91CBA" w:rsidRPr="00AE34EA"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Imp: Feb-16</w:t>
            </w:r>
          </w:p>
        </w:tc>
        <w:tc>
          <w:tcPr>
            <w:tcW w:w="992" w:type="dxa"/>
            <w:tcMar>
              <w:left w:w="57" w:type="dxa"/>
              <w:right w:w="57" w:type="dxa"/>
            </w:tcMar>
          </w:tcPr>
          <w:p w14:paraId="1F8F2B1F" w14:textId="632C37CE" w:rsidR="00B91CBA" w:rsidRPr="00AE34EA"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Plastics</w:t>
            </w:r>
          </w:p>
        </w:tc>
        <w:tc>
          <w:tcPr>
            <w:tcW w:w="1134" w:type="dxa"/>
            <w:tcMar>
              <w:left w:w="57" w:type="dxa"/>
              <w:right w:w="57" w:type="dxa"/>
            </w:tcMar>
          </w:tcPr>
          <w:p w14:paraId="5275F530" w14:textId="77777777" w:rsidR="00B91CBA" w:rsidRPr="00AE34EA"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Mar>
              <w:left w:w="57" w:type="dxa"/>
              <w:right w:w="57" w:type="dxa"/>
            </w:tcMar>
          </w:tcPr>
          <w:p w14:paraId="124C23BB" w14:textId="77777777" w:rsidR="00B91CBA" w:rsidRPr="00AE34EA" w:rsidDel="00825E99"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2409" w:type="dxa"/>
            <w:tcMar>
              <w:left w:w="57" w:type="dxa"/>
              <w:right w:w="57" w:type="dxa"/>
            </w:tcMar>
          </w:tcPr>
          <w:p w14:paraId="0E0388FD" w14:textId="2FDBE79C" w:rsidR="00B91CBA" w:rsidRPr="00AE34EA" w:rsidRDefault="00B91CBA" w:rsidP="00B91CB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None</w:t>
            </w:r>
            <w:r w:rsidR="00BA0B57">
              <w:rPr>
                <w:sz w:val="18"/>
                <w:szCs w:val="18"/>
              </w:rPr>
              <w:t>.</w:t>
            </w:r>
          </w:p>
        </w:tc>
      </w:tr>
      <w:tr w:rsidR="00D77C8D" w:rsidRPr="003A3BCA" w14:paraId="72F67345"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69B9482" w14:textId="22C0C2E6" w:rsidR="00D77C8D" w:rsidRPr="00AE34EA" w:rsidRDefault="00D77C8D" w:rsidP="003A3BCA">
            <w:pPr>
              <w:spacing w:before="40" w:after="40"/>
              <w:rPr>
                <w:sz w:val="18"/>
                <w:szCs w:val="18"/>
              </w:rPr>
            </w:pPr>
            <w:r w:rsidRPr="00AE34EA">
              <w:rPr>
                <w:sz w:val="18"/>
                <w:szCs w:val="18"/>
              </w:rPr>
              <w:t>Vietnam</w:t>
            </w:r>
          </w:p>
        </w:tc>
        <w:tc>
          <w:tcPr>
            <w:tcW w:w="7087" w:type="dxa"/>
            <w:tcMar>
              <w:left w:w="57" w:type="dxa"/>
              <w:right w:w="57" w:type="dxa"/>
            </w:tcMar>
          </w:tcPr>
          <w:p w14:paraId="399D0D9A" w14:textId="0848FF54" w:rsidR="00D77C8D" w:rsidRPr="00A22E44" w:rsidRDefault="00050CA2">
            <w:pPr>
              <w:cnfStyle w:val="000000000000" w:firstRow="0" w:lastRow="0" w:firstColumn="0" w:lastColumn="0" w:oddVBand="0" w:evenVBand="0" w:oddHBand="0" w:evenHBand="0" w:firstRowFirstColumn="0" w:firstRowLastColumn="0" w:lastRowFirstColumn="0" w:lastRowLastColumn="0"/>
            </w:pPr>
            <w:r w:rsidRPr="00050CA2">
              <w:t>On 24 September 2020 Vietnam published</w:t>
            </w:r>
            <w:r w:rsidRPr="00050CA2">
              <w:rPr>
                <w:vertAlign w:val="superscript"/>
              </w:rPr>
              <w:footnoteReference w:id="29"/>
            </w:r>
            <w:r w:rsidRPr="00050CA2">
              <w:t xml:space="preserve"> ‘</w:t>
            </w:r>
            <w:r w:rsidRPr="00F93B6D">
              <w:rPr>
                <w:i/>
                <w:iCs/>
              </w:rPr>
              <w:t>Promulgation of the list of waste permitted for import as production materials</w:t>
            </w:r>
            <w:r w:rsidRPr="00050CA2">
              <w:t xml:space="preserve">’, overriding previous regulations. Unsorted scrap paper imports and granulated slag from iron </w:t>
            </w:r>
            <w:r w:rsidR="00793C89">
              <w:t>and</w:t>
            </w:r>
            <w:r w:rsidRPr="00050CA2">
              <w:t xml:space="preserve"> steel </w:t>
            </w:r>
            <w:r w:rsidR="00793C89" w:rsidRPr="00050CA2">
              <w:t xml:space="preserve">manufacture </w:t>
            </w:r>
            <w:r w:rsidRPr="00050CA2">
              <w:t xml:space="preserve">are to be banned by the end of 2021. </w:t>
            </w:r>
            <w:r w:rsidR="00615A7C" w:rsidRPr="00615A7C">
              <w:t xml:space="preserve">This builds on a range of </w:t>
            </w:r>
            <w:r w:rsidR="00793C89">
              <w:t xml:space="preserve">2018 </w:t>
            </w:r>
            <w:r w:rsidR="00615A7C" w:rsidRPr="00615A7C">
              <w:t xml:space="preserve">restrictions that allow waste imports only if shipments meet environmental standards and </w:t>
            </w:r>
            <w:r w:rsidR="00793C89">
              <w:t xml:space="preserve">processing </w:t>
            </w:r>
            <w:r w:rsidR="00615A7C" w:rsidRPr="00615A7C">
              <w:t xml:space="preserve">capacity </w:t>
            </w:r>
            <w:r w:rsidR="00793C89">
              <w:t>is demonstrated</w:t>
            </w:r>
            <w:r w:rsidR="00615A7C" w:rsidRPr="00615A7C">
              <w:t>. The</w:t>
            </w:r>
            <w:r w:rsidR="009B0191">
              <w:t xml:space="preserve"> earlier restrictions</w:t>
            </w:r>
            <w:r w:rsidR="00615A7C" w:rsidRPr="00615A7C">
              <w:t xml:space="preserve"> covered scrap </w:t>
            </w:r>
            <w:r w:rsidR="00793C89">
              <w:t>metals</w:t>
            </w:r>
            <w:r w:rsidR="00615A7C" w:rsidRPr="00615A7C">
              <w:t>, plastic, paper, glass, and blast furnace slag dust</w:t>
            </w:r>
            <w:bookmarkStart w:id="31" w:name="_Hlk71287294"/>
            <w:r w:rsidR="00615A7C" w:rsidRPr="00615A7C">
              <w:rPr>
                <w:vertAlign w:val="superscript"/>
              </w:rPr>
              <w:footnoteReference w:id="30"/>
            </w:r>
            <w:r w:rsidR="00615A7C" w:rsidRPr="00615A7C">
              <w:t xml:space="preserve">. </w:t>
            </w:r>
            <w:bookmarkEnd w:id="31"/>
            <w:r w:rsidR="00615A7C" w:rsidRPr="00615A7C">
              <w:t>Under new national standard QCVN 32: 2019/BTNMT, import of e-waste plastics (</w:t>
            </w:r>
            <w:r w:rsidR="00736AA3" w:rsidRPr="00615A7C">
              <w:t>e.g.</w:t>
            </w:r>
            <w:r w:rsidR="00703AD0">
              <w:t xml:space="preserve"> </w:t>
            </w:r>
            <w:r w:rsidR="00615A7C" w:rsidRPr="00615A7C">
              <w:t>TVs and computers) would be forbidden</w:t>
            </w:r>
            <w:r w:rsidR="00615A7C" w:rsidRPr="00615A7C">
              <w:rPr>
                <w:vertAlign w:val="superscript"/>
              </w:rPr>
              <w:footnoteReference w:id="31"/>
            </w:r>
            <w:r w:rsidR="00615A7C" w:rsidRPr="00615A7C">
              <w:t>. Scrap metal waste needs to be 99% metal to be allowed in</w:t>
            </w:r>
            <w:r w:rsidR="00615A7C" w:rsidRPr="00615A7C">
              <w:rPr>
                <w:vertAlign w:val="superscript"/>
              </w:rPr>
              <w:footnoteReference w:id="32"/>
            </w:r>
            <w:r w:rsidR="00615A7C" w:rsidRPr="00615A7C">
              <w:t>.</w:t>
            </w:r>
          </w:p>
        </w:tc>
        <w:tc>
          <w:tcPr>
            <w:tcW w:w="1418" w:type="dxa"/>
            <w:tcMar>
              <w:left w:w="57" w:type="dxa"/>
              <w:right w:w="57" w:type="dxa"/>
            </w:tcMar>
          </w:tcPr>
          <w:p w14:paraId="5360B724" w14:textId="77777777" w:rsidR="00050CA2" w:rsidRPr="00050CA2" w:rsidRDefault="00050CA2" w:rsidP="00050CA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Ann. in Sep-20.</w:t>
            </w:r>
          </w:p>
          <w:p w14:paraId="591FA6A2" w14:textId="405ED0EC" w:rsidR="00D77C8D" w:rsidRPr="00AE34EA" w:rsidRDefault="00050CA2" w:rsidP="00050CA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Mixed metal waste restricted from Oct 2018</w:t>
            </w:r>
            <w:r w:rsidR="00D77C8D" w:rsidRPr="00AE34EA">
              <w:rPr>
                <w:sz w:val="18"/>
                <w:szCs w:val="18"/>
              </w:rPr>
              <w:t>.</w:t>
            </w:r>
          </w:p>
        </w:tc>
        <w:tc>
          <w:tcPr>
            <w:tcW w:w="992" w:type="dxa"/>
            <w:tcMar>
              <w:left w:w="57" w:type="dxa"/>
              <w:right w:w="57" w:type="dxa"/>
            </w:tcMar>
          </w:tcPr>
          <w:p w14:paraId="2E487EF4" w14:textId="035AE047"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 paper, metals</w:t>
            </w:r>
          </w:p>
        </w:tc>
        <w:tc>
          <w:tcPr>
            <w:tcW w:w="1134" w:type="dxa"/>
            <w:tcMar>
              <w:left w:w="57" w:type="dxa"/>
              <w:right w:w="57" w:type="dxa"/>
            </w:tcMar>
          </w:tcPr>
          <w:p w14:paraId="7923175A" w14:textId="0CE63479" w:rsidR="00A10C8B" w:rsidRDefault="003F5305"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420</w:t>
            </w:r>
            <w:r w:rsidR="00D77C8D" w:rsidRPr="00AE34EA">
              <w:rPr>
                <w:sz w:val="18"/>
                <w:szCs w:val="18"/>
              </w:rPr>
              <w:t>,</w:t>
            </w:r>
            <w:r w:rsidR="00A053D4">
              <w:rPr>
                <w:sz w:val="18"/>
                <w:szCs w:val="18"/>
              </w:rPr>
              <w:t>0</w:t>
            </w:r>
            <w:r w:rsidR="00D77C8D" w:rsidRPr="00AE34EA">
              <w:rPr>
                <w:sz w:val="18"/>
                <w:szCs w:val="18"/>
              </w:rPr>
              <w:t xml:space="preserve">00 </w:t>
            </w:r>
          </w:p>
          <w:p w14:paraId="51987E33"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2E3B11E9" w14:textId="26575A69" w:rsidR="00D77C8D" w:rsidRPr="00AE34EA" w:rsidRDefault="00D77C8D"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35</w:t>
            </w:r>
            <w:r w:rsidRPr="00AE34EA">
              <w:rPr>
                <w:sz w:val="18"/>
                <w:szCs w:val="18"/>
              </w:rPr>
              <w:t>,</w:t>
            </w:r>
            <w:r w:rsidR="003F5305">
              <w:rPr>
                <w:sz w:val="18"/>
                <w:szCs w:val="18"/>
              </w:rPr>
              <w:t>0</w:t>
            </w:r>
            <w:r w:rsidRPr="00AE34EA">
              <w:rPr>
                <w:sz w:val="18"/>
                <w:szCs w:val="18"/>
              </w:rPr>
              <w:t>00</w:t>
            </w:r>
            <w:r w:rsidR="00A10C8B">
              <w:rPr>
                <w:sz w:val="18"/>
                <w:szCs w:val="18"/>
              </w:rPr>
              <w:t xml:space="preserve"> per month</w:t>
            </w:r>
            <w:r w:rsidRPr="00AE34EA">
              <w:rPr>
                <w:sz w:val="18"/>
                <w:szCs w:val="18"/>
              </w:rPr>
              <w:t>)</w:t>
            </w:r>
          </w:p>
        </w:tc>
        <w:tc>
          <w:tcPr>
            <w:tcW w:w="709" w:type="dxa"/>
            <w:tcMar>
              <w:left w:w="57" w:type="dxa"/>
              <w:right w:w="57" w:type="dxa"/>
            </w:tcMar>
          </w:tcPr>
          <w:p w14:paraId="2B2AE51F" w14:textId="13327378" w:rsidR="00D77C8D" w:rsidRPr="00AE34EA" w:rsidRDefault="007D6AF8"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r w:rsidR="00E47662">
              <w:rPr>
                <w:sz w:val="18"/>
                <w:szCs w:val="18"/>
              </w:rPr>
              <w:t>8</w:t>
            </w:r>
            <w:r w:rsidR="00D77C8D" w:rsidRPr="00AE34EA">
              <w:rPr>
                <w:sz w:val="18"/>
                <w:szCs w:val="18"/>
              </w:rPr>
              <w:t>,000</w:t>
            </w:r>
          </w:p>
        </w:tc>
        <w:tc>
          <w:tcPr>
            <w:tcW w:w="2409" w:type="dxa"/>
            <w:tcMar>
              <w:left w:w="57" w:type="dxa"/>
              <w:right w:w="57" w:type="dxa"/>
            </w:tcMar>
          </w:tcPr>
          <w:p w14:paraId="27A4A90F" w14:textId="62E4D015" w:rsidR="00D77C8D" w:rsidRPr="00AE34EA" w:rsidRDefault="00050C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Imports reduced from 61,000 to 35,000 tonnes per month between 2018-19 and 2019-20</w:t>
            </w:r>
            <w:r w:rsidR="00D77C8D" w:rsidRPr="00AE34EA">
              <w:rPr>
                <w:sz w:val="18"/>
                <w:szCs w:val="18"/>
              </w:rPr>
              <w:t>.</w:t>
            </w:r>
          </w:p>
        </w:tc>
      </w:tr>
      <w:tr w:rsidR="00D77C8D" w:rsidRPr="003A3BCA" w14:paraId="670435BE"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4023ACF9" w14:textId="2B330130" w:rsidR="00D77C8D" w:rsidRPr="00AE34EA" w:rsidDel="00D77C8D" w:rsidRDefault="00D77C8D" w:rsidP="003A3BCA">
            <w:pPr>
              <w:spacing w:before="40" w:after="40"/>
              <w:rPr>
                <w:sz w:val="18"/>
                <w:szCs w:val="18"/>
              </w:rPr>
            </w:pPr>
            <w:bookmarkStart w:id="32" w:name="_Hlk33267643"/>
            <w:r w:rsidRPr="00AE34EA">
              <w:rPr>
                <w:sz w:val="18"/>
                <w:szCs w:val="18"/>
              </w:rPr>
              <w:t>Malaysia</w:t>
            </w:r>
          </w:p>
        </w:tc>
        <w:tc>
          <w:tcPr>
            <w:tcW w:w="7087" w:type="dxa"/>
            <w:tcMar>
              <w:left w:w="57" w:type="dxa"/>
              <w:right w:w="57" w:type="dxa"/>
            </w:tcMar>
          </w:tcPr>
          <w:p w14:paraId="33AF96B6" w14:textId="2090A9FC" w:rsidR="001E68E7" w:rsidRPr="001E68E7" w:rsidDel="00D77C8D" w:rsidRDefault="00B54026" w:rsidP="003A3BCA">
            <w:pPr>
              <w:cnfStyle w:val="000000000000" w:firstRow="0" w:lastRow="0" w:firstColumn="0" w:lastColumn="0" w:oddVBand="0" w:evenVBand="0" w:oddHBand="0" w:evenHBand="0" w:firstRowFirstColumn="0" w:firstRowLastColumn="0" w:lastRowFirstColumn="0" w:lastRowLastColumn="0"/>
              <w:rPr>
                <w:color w:val="000000" w:themeColor="text1"/>
              </w:rPr>
            </w:pPr>
            <w:r w:rsidRPr="00B54026">
              <w:rPr>
                <w:color w:val="000000" w:themeColor="text1"/>
              </w:rPr>
              <w:t xml:space="preserve">Malaysia </w:t>
            </w:r>
            <w:r w:rsidR="00DB1A33">
              <w:rPr>
                <w:color w:val="000000" w:themeColor="text1"/>
              </w:rPr>
              <w:t>has been cracking down</w:t>
            </w:r>
            <w:r w:rsidRPr="00B54026">
              <w:rPr>
                <w:color w:val="000000" w:themeColor="text1"/>
              </w:rPr>
              <w:t xml:space="preserve"> on </w:t>
            </w:r>
            <w:r w:rsidR="00267D5A">
              <w:rPr>
                <w:color w:val="000000" w:themeColor="text1"/>
              </w:rPr>
              <w:t xml:space="preserve">plastic </w:t>
            </w:r>
            <w:r w:rsidRPr="00B54026">
              <w:rPr>
                <w:color w:val="000000" w:themeColor="text1"/>
              </w:rPr>
              <w:t>waste imports</w:t>
            </w:r>
            <w:r w:rsidR="00DB1A33">
              <w:rPr>
                <w:color w:val="000000" w:themeColor="text1"/>
              </w:rPr>
              <w:t xml:space="preserve"> this year</w:t>
            </w:r>
            <w:r w:rsidRPr="00B54026">
              <w:rPr>
                <w:color w:val="000000" w:themeColor="text1"/>
              </w:rPr>
              <w:t xml:space="preserve"> with renewed support from the Basel Convention amendment on plastic</w:t>
            </w:r>
            <w:r w:rsidR="00267D5A">
              <w:rPr>
                <w:color w:val="000000" w:themeColor="text1"/>
              </w:rPr>
              <w:t>s</w:t>
            </w:r>
            <w:r w:rsidRPr="00B54026">
              <w:rPr>
                <w:color w:val="000000" w:themeColor="text1"/>
              </w:rPr>
              <w:t xml:space="preserve"> waste, which came into force in January 2021.</w:t>
            </w:r>
            <w:r w:rsidR="008E3D42">
              <w:rPr>
                <w:rStyle w:val="FootnoteReference"/>
                <w:color w:val="000000" w:themeColor="text1"/>
              </w:rPr>
              <w:footnoteReference w:id="33"/>
            </w:r>
            <w:r w:rsidRPr="00B54026">
              <w:rPr>
                <w:color w:val="000000" w:themeColor="text1"/>
              </w:rPr>
              <w:t xml:space="preserve">. The Basel Action Network encouraged the Malaysian government to similarly inspect all shipments of </w:t>
            </w:r>
            <w:r w:rsidR="00110011">
              <w:rPr>
                <w:color w:val="000000" w:themeColor="text1"/>
              </w:rPr>
              <w:t xml:space="preserve">waste </w:t>
            </w:r>
            <w:r w:rsidRPr="00B54026">
              <w:rPr>
                <w:color w:val="000000" w:themeColor="text1"/>
              </w:rPr>
              <w:t xml:space="preserve">plastics </w:t>
            </w:r>
            <w:r w:rsidR="00110011">
              <w:rPr>
                <w:color w:val="000000" w:themeColor="text1"/>
              </w:rPr>
              <w:t xml:space="preserve">entering </w:t>
            </w:r>
            <w:r w:rsidRPr="00B54026">
              <w:rPr>
                <w:color w:val="000000" w:themeColor="text1"/>
              </w:rPr>
              <w:t>the country to ensure continued compliance</w:t>
            </w:r>
            <w:r w:rsidRPr="00B54026">
              <w:rPr>
                <w:color w:val="000000" w:themeColor="text1"/>
                <w:vertAlign w:val="superscript"/>
              </w:rPr>
              <w:footnoteReference w:id="34"/>
            </w:r>
            <w:r w:rsidRPr="00B54026">
              <w:rPr>
                <w:color w:val="000000" w:themeColor="text1"/>
              </w:rPr>
              <w:t>.</w:t>
            </w:r>
            <w:r w:rsidR="001E68E7">
              <w:rPr>
                <w:color w:val="000000" w:themeColor="text1"/>
              </w:rPr>
              <w:t xml:space="preserve"> Proposed import restrictions on metals are still under negotiation</w:t>
            </w:r>
            <w:r w:rsidR="00123283">
              <w:rPr>
                <w:rStyle w:val="FootnoteReference"/>
                <w:color w:val="000000" w:themeColor="text1"/>
              </w:rPr>
              <w:footnoteReference w:id="35"/>
            </w:r>
            <w:r w:rsidR="001E68E7">
              <w:rPr>
                <w:color w:val="000000" w:themeColor="text1"/>
              </w:rPr>
              <w:t>.</w:t>
            </w:r>
          </w:p>
        </w:tc>
        <w:tc>
          <w:tcPr>
            <w:tcW w:w="1418" w:type="dxa"/>
            <w:tcMar>
              <w:left w:w="57" w:type="dxa"/>
              <w:right w:w="57" w:type="dxa"/>
            </w:tcMar>
          </w:tcPr>
          <w:p w14:paraId="31F8A6B0"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Jul-18.</w:t>
            </w:r>
          </w:p>
          <w:p w14:paraId="2B1F7F16" w14:textId="77777777" w:rsidR="00D77C8D" w:rsidRPr="00AE34E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72359E2E" w14:textId="77777777" w:rsidR="00D77C8D" w:rsidRPr="00AE34EA"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0E02314B" w14:textId="2EA4808F" w:rsidR="00D77C8D" w:rsidRPr="00AE34EA" w:rsidDel="00D77C8D" w:rsidRDefault="00267D5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Plastics</w:t>
            </w:r>
            <w:r w:rsidR="00050CA2">
              <w:rPr>
                <w:sz w:val="18"/>
                <w:szCs w:val="18"/>
              </w:rPr>
              <w:t>, metals</w:t>
            </w:r>
          </w:p>
        </w:tc>
        <w:tc>
          <w:tcPr>
            <w:tcW w:w="1134" w:type="dxa"/>
            <w:tcMar>
              <w:left w:w="57" w:type="dxa"/>
              <w:right w:w="57" w:type="dxa"/>
            </w:tcMar>
          </w:tcPr>
          <w:p w14:paraId="4233199B" w14:textId="6645E2B7" w:rsidR="00A10C8B" w:rsidRDefault="003F5305"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r w:rsidR="009E20F2">
              <w:rPr>
                <w:sz w:val="18"/>
                <w:szCs w:val="18"/>
              </w:rPr>
              <w:t>9</w:t>
            </w:r>
            <w:r>
              <w:rPr>
                <w:sz w:val="18"/>
                <w:szCs w:val="18"/>
              </w:rPr>
              <w:t>,</w:t>
            </w:r>
            <w:r w:rsidR="009E20F2">
              <w:rPr>
                <w:sz w:val="18"/>
                <w:szCs w:val="18"/>
              </w:rPr>
              <w:t>0</w:t>
            </w:r>
            <w:r w:rsidR="00D77C8D" w:rsidRPr="00AE34EA">
              <w:rPr>
                <w:sz w:val="18"/>
                <w:szCs w:val="18"/>
              </w:rPr>
              <w:t xml:space="preserve">00 </w:t>
            </w:r>
          </w:p>
          <w:p w14:paraId="7D1C977C"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529B0FD" w14:textId="541A5473" w:rsidR="00D77C8D" w:rsidRPr="00AE34EA" w:rsidDel="00D77C8D" w:rsidRDefault="00D77C8D"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(4,</w:t>
            </w:r>
            <w:r w:rsidR="003F5305">
              <w:rPr>
                <w:sz w:val="18"/>
                <w:szCs w:val="18"/>
              </w:rPr>
              <w:t>1</w:t>
            </w:r>
            <w:r w:rsidRPr="00AE34EA">
              <w:rPr>
                <w:sz w:val="18"/>
                <w:szCs w:val="18"/>
              </w:rPr>
              <w:t>00</w:t>
            </w:r>
            <w:r w:rsidR="00A10C8B">
              <w:rPr>
                <w:sz w:val="18"/>
                <w:szCs w:val="18"/>
              </w:rPr>
              <w:t xml:space="preserve"> per month</w:t>
            </w:r>
            <w:r w:rsidRPr="00AE34EA">
              <w:rPr>
                <w:sz w:val="18"/>
                <w:szCs w:val="18"/>
              </w:rPr>
              <w:t>)</w:t>
            </w:r>
          </w:p>
        </w:tc>
        <w:tc>
          <w:tcPr>
            <w:tcW w:w="709" w:type="dxa"/>
            <w:tcMar>
              <w:left w:w="57" w:type="dxa"/>
              <w:right w:w="57" w:type="dxa"/>
            </w:tcMar>
          </w:tcPr>
          <w:p w14:paraId="2B7789DE" w14:textId="31A60D59" w:rsidR="00D77C8D" w:rsidRPr="00AE34EA" w:rsidDel="0076337D" w:rsidRDefault="00E47662"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6,0</w:t>
            </w:r>
            <w:r w:rsidR="00D77C8D" w:rsidRPr="00AE34EA">
              <w:rPr>
                <w:sz w:val="18"/>
                <w:szCs w:val="18"/>
              </w:rPr>
              <w:t>00</w:t>
            </w:r>
          </w:p>
        </w:tc>
        <w:tc>
          <w:tcPr>
            <w:tcW w:w="2409" w:type="dxa"/>
            <w:tcMar>
              <w:left w:w="57" w:type="dxa"/>
              <w:right w:w="57" w:type="dxa"/>
            </w:tcMar>
          </w:tcPr>
          <w:p w14:paraId="23F0C6B8" w14:textId="6174E4FA" w:rsidR="00D77C8D" w:rsidRPr="00AE34EA"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No impact apparent.</w:t>
            </w:r>
          </w:p>
        </w:tc>
      </w:tr>
      <w:tr w:rsidR="000C31BB" w:rsidRPr="003A3BCA" w14:paraId="3D062F39" w14:textId="77777777" w:rsidTr="0070040B">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441D1EBE" w14:textId="77777777" w:rsidR="000C31BB" w:rsidRPr="00AE34EA" w:rsidRDefault="000C31BB" w:rsidP="0070040B">
            <w:pPr>
              <w:spacing w:before="40" w:after="40"/>
              <w:rPr>
                <w:sz w:val="18"/>
                <w:szCs w:val="18"/>
              </w:rPr>
            </w:pPr>
            <w:r w:rsidRPr="00AE34EA">
              <w:rPr>
                <w:sz w:val="18"/>
                <w:szCs w:val="18"/>
              </w:rPr>
              <w:lastRenderedPageBreak/>
              <w:t>China</w:t>
            </w:r>
          </w:p>
        </w:tc>
        <w:tc>
          <w:tcPr>
            <w:tcW w:w="7087" w:type="dxa"/>
            <w:tcMar>
              <w:left w:w="57" w:type="dxa"/>
              <w:right w:w="57" w:type="dxa"/>
            </w:tcMar>
          </w:tcPr>
          <w:p w14:paraId="77FA80F8" w14:textId="7D11B1E6" w:rsidR="000C31BB" w:rsidRPr="00A22E44" w:rsidRDefault="00592AE2" w:rsidP="0070040B">
            <w:pPr>
              <w:cnfStyle w:val="000000000000" w:firstRow="0" w:lastRow="0" w:firstColumn="0" w:lastColumn="0" w:oddVBand="0" w:evenVBand="0" w:oddHBand="0" w:evenHBand="0" w:firstRowFirstColumn="0" w:firstRowLastColumn="0" w:lastRowFirstColumn="0" w:lastRowLastColumn="0"/>
            </w:pPr>
            <w:r>
              <w:t>China ban</w:t>
            </w:r>
            <w:r w:rsidR="0026379A">
              <w:t>ned</w:t>
            </w:r>
            <w:r>
              <w:t xml:space="preserve"> the import of all solid waste</w:t>
            </w:r>
            <w:r w:rsidR="0026379A">
              <w:t xml:space="preserve"> from January 2021</w:t>
            </w:r>
            <w:r w:rsidR="000C31BB" w:rsidRPr="00A22E44">
              <w:rPr>
                <w:rStyle w:val="FootnoteReference"/>
              </w:rPr>
              <w:footnoteReference w:id="36"/>
            </w:r>
            <w:r w:rsidR="000C31BB" w:rsidRPr="00A22E44">
              <w:t>.</w:t>
            </w:r>
            <w:r w:rsidR="0026379A">
              <w:t xml:space="preserve"> C</w:t>
            </w:r>
            <w:r>
              <w:t>ertain</w:t>
            </w:r>
            <w:r w:rsidR="009C2954">
              <w:t xml:space="preserve"> high quality reprocessed materials are not considered waste under the legislation</w:t>
            </w:r>
            <w:r w:rsidR="00431C64">
              <w:t>’</w:t>
            </w:r>
            <w:r w:rsidR="009C2954">
              <w:t>s definitions</w:t>
            </w:r>
            <w:r w:rsidR="00123283">
              <w:t>,</w:t>
            </w:r>
            <w:r w:rsidR="009C2954">
              <w:t xml:space="preserve"> including</w:t>
            </w:r>
            <w:r>
              <w:t xml:space="preserve"> scrap metals</w:t>
            </w:r>
            <w:r w:rsidR="009C2954">
              <w:t xml:space="preserve"> and paper grade recycled pulp</w:t>
            </w:r>
            <w:r w:rsidR="0026379A">
              <w:t xml:space="preserve">. </w:t>
            </w:r>
          </w:p>
        </w:tc>
        <w:tc>
          <w:tcPr>
            <w:tcW w:w="1418" w:type="dxa"/>
            <w:tcMar>
              <w:left w:w="57" w:type="dxa"/>
              <w:right w:w="57" w:type="dxa"/>
            </w:tcMar>
          </w:tcPr>
          <w:p w14:paraId="6032B17D" w14:textId="61B39486"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Ann.: </w:t>
            </w:r>
            <w:r w:rsidR="00592AE2">
              <w:rPr>
                <w:sz w:val="18"/>
                <w:szCs w:val="18"/>
              </w:rPr>
              <w:t>Apr-20</w:t>
            </w:r>
          </w:p>
          <w:p w14:paraId="13CFEAF2"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2A74F3EC"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Imp.: </w:t>
            </w:r>
            <w:r>
              <w:rPr>
                <w:sz w:val="18"/>
                <w:szCs w:val="18"/>
              </w:rPr>
              <w:t>Jan 1, 2021</w:t>
            </w:r>
          </w:p>
        </w:tc>
        <w:tc>
          <w:tcPr>
            <w:tcW w:w="992" w:type="dxa"/>
            <w:tcMar>
              <w:left w:w="57" w:type="dxa"/>
              <w:right w:w="57" w:type="dxa"/>
            </w:tcMar>
          </w:tcPr>
          <w:p w14:paraId="63BE6C70"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All solid wastes</w:t>
            </w:r>
          </w:p>
        </w:tc>
        <w:tc>
          <w:tcPr>
            <w:tcW w:w="1134" w:type="dxa"/>
            <w:tcMar>
              <w:left w:w="57" w:type="dxa"/>
              <w:right w:w="57" w:type="dxa"/>
            </w:tcMar>
          </w:tcPr>
          <w:p w14:paraId="1B52FE60" w14:textId="07ED4ABE" w:rsidR="000C31BB" w:rsidRDefault="000C31BB" w:rsidP="0070040B">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32</w:t>
            </w:r>
            <w:r w:rsidR="00050CA2">
              <w:rPr>
                <w:sz w:val="18"/>
                <w:szCs w:val="18"/>
              </w:rPr>
              <w:t>8</w:t>
            </w:r>
            <w:r w:rsidRPr="00AE34EA">
              <w:rPr>
                <w:sz w:val="18"/>
                <w:szCs w:val="18"/>
              </w:rPr>
              <w:t>,</w:t>
            </w:r>
            <w:r>
              <w:rPr>
                <w:sz w:val="18"/>
                <w:szCs w:val="18"/>
              </w:rPr>
              <w:t>0</w:t>
            </w:r>
            <w:r w:rsidRPr="00AE34EA">
              <w:rPr>
                <w:sz w:val="18"/>
                <w:szCs w:val="18"/>
              </w:rPr>
              <w:t xml:space="preserve">00 </w:t>
            </w:r>
          </w:p>
          <w:p w14:paraId="4C8A9230"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34CDBB67" w14:textId="77777777" w:rsidR="000C31BB" w:rsidRPr="00AE34EA" w:rsidRDefault="000C31BB" w:rsidP="0070040B">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Pr>
                <w:sz w:val="18"/>
                <w:szCs w:val="18"/>
              </w:rPr>
              <w:t>27</w:t>
            </w:r>
            <w:r w:rsidRPr="00AE34EA">
              <w:rPr>
                <w:sz w:val="18"/>
                <w:szCs w:val="18"/>
              </w:rPr>
              <w:t>,</w:t>
            </w:r>
            <w:r>
              <w:rPr>
                <w:sz w:val="18"/>
                <w:szCs w:val="18"/>
              </w:rPr>
              <w:t>0</w:t>
            </w:r>
            <w:r w:rsidRPr="00AE34EA">
              <w:rPr>
                <w:sz w:val="18"/>
                <w:szCs w:val="18"/>
              </w:rPr>
              <w:t>00</w:t>
            </w:r>
            <w:r>
              <w:rPr>
                <w:sz w:val="18"/>
                <w:szCs w:val="18"/>
              </w:rPr>
              <w:t xml:space="preserve"> per month</w:t>
            </w:r>
            <w:r w:rsidRPr="00AE34EA">
              <w:rPr>
                <w:sz w:val="18"/>
                <w:szCs w:val="18"/>
              </w:rPr>
              <w:t>)</w:t>
            </w:r>
          </w:p>
        </w:tc>
        <w:tc>
          <w:tcPr>
            <w:tcW w:w="709" w:type="dxa"/>
            <w:tcMar>
              <w:left w:w="57" w:type="dxa"/>
              <w:right w:w="57" w:type="dxa"/>
            </w:tcMar>
          </w:tcPr>
          <w:p w14:paraId="539B3269" w14:textId="1C924859" w:rsidR="000C31BB" w:rsidRPr="00AE34EA" w:rsidRDefault="00E47662"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12,0</w:t>
            </w:r>
            <w:r w:rsidR="000C31BB">
              <w:rPr>
                <w:sz w:val="18"/>
                <w:szCs w:val="18"/>
              </w:rPr>
              <w:t>00</w:t>
            </w:r>
          </w:p>
        </w:tc>
        <w:tc>
          <w:tcPr>
            <w:tcW w:w="2409" w:type="dxa"/>
            <w:tcMar>
              <w:left w:w="57" w:type="dxa"/>
              <w:right w:w="57" w:type="dxa"/>
            </w:tcMar>
          </w:tcPr>
          <w:p w14:paraId="03E9D7BD" w14:textId="49063C55" w:rsidR="000C31BB" w:rsidRPr="00AE34EA" w:rsidRDefault="00050CA2"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 xml:space="preserve">Imports </w:t>
            </w:r>
            <w:r w:rsidR="009B0191">
              <w:rPr>
                <w:sz w:val="18"/>
                <w:szCs w:val="18"/>
              </w:rPr>
              <w:t>fell</w:t>
            </w:r>
            <w:r w:rsidRPr="00050CA2">
              <w:rPr>
                <w:sz w:val="18"/>
                <w:szCs w:val="18"/>
              </w:rPr>
              <w:t xml:space="preserve"> from over 100,000 tonnes per month in 2016-17 to 27,000 in 201</w:t>
            </w:r>
            <w:r w:rsidR="009B0191">
              <w:rPr>
                <w:sz w:val="18"/>
                <w:szCs w:val="18"/>
              </w:rPr>
              <w:t>9</w:t>
            </w:r>
            <w:r w:rsidRPr="00050CA2">
              <w:rPr>
                <w:sz w:val="18"/>
                <w:szCs w:val="18"/>
              </w:rPr>
              <w:t>-</w:t>
            </w:r>
            <w:r w:rsidR="009B0191">
              <w:rPr>
                <w:sz w:val="18"/>
                <w:szCs w:val="18"/>
              </w:rPr>
              <w:t>20</w:t>
            </w:r>
            <w:r>
              <w:rPr>
                <w:sz w:val="18"/>
                <w:szCs w:val="18"/>
              </w:rPr>
              <w:t>.</w:t>
            </w:r>
          </w:p>
        </w:tc>
      </w:tr>
      <w:tr w:rsidR="00D77C8D" w:rsidRPr="003A3BCA" w14:paraId="7C6ABF99"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740531E0" w14:textId="55042D98" w:rsidR="00D77C8D" w:rsidRPr="00AE34EA" w:rsidRDefault="00D77C8D" w:rsidP="003A3BCA">
            <w:pPr>
              <w:spacing w:before="40" w:after="40"/>
              <w:rPr>
                <w:sz w:val="18"/>
                <w:szCs w:val="18"/>
              </w:rPr>
            </w:pPr>
            <w:r w:rsidRPr="00AE34EA">
              <w:rPr>
                <w:sz w:val="18"/>
                <w:szCs w:val="18"/>
              </w:rPr>
              <w:t>Thailand</w:t>
            </w:r>
          </w:p>
        </w:tc>
        <w:tc>
          <w:tcPr>
            <w:tcW w:w="7087" w:type="dxa"/>
            <w:tcMar>
              <w:left w:w="57" w:type="dxa"/>
              <w:right w:w="57" w:type="dxa"/>
            </w:tcMar>
          </w:tcPr>
          <w:p w14:paraId="06575C1C" w14:textId="51A28ACD" w:rsidR="00D77C8D" w:rsidRPr="00A22E44" w:rsidRDefault="00050CA2" w:rsidP="003A3BCA">
            <w:pPr>
              <w:cnfStyle w:val="000000000000" w:firstRow="0" w:lastRow="0" w:firstColumn="0" w:lastColumn="0" w:oddVBand="0" w:evenVBand="0" w:oddHBand="0" w:evenHBand="0" w:firstRowFirstColumn="0" w:firstRowLastColumn="0" w:lastRowFirstColumn="0" w:lastRowLastColumn="0"/>
            </w:pPr>
            <w:r w:rsidRPr="00050CA2">
              <w:t xml:space="preserve">Thailand </w:t>
            </w:r>
            <w:r w:rsidR="009B0191">
              <w:t>ha</w:t>
            </w:r>
            <w:r w:rsidR="009C2954">
              <w:t>d</w:t>
            </w:r>
            <w:r w:rsidR="009B0191">
              <w:t xml:space="preserve"> </w:t>
            </w:r>
            <w:r w:rsidRPr="00050CA2">
              <w:t xml:space="preserve">announced its intention to implement a ban on the import of all </w:t>
            </w:r>
            <w:r w:rsidR="00110011">
              <w:t xml:space="preserve">waste </w:t>
            </w:r>
            <w:r w:rsidR="00267D5A">
              <w:t>plastics</w:t>
            </w:r>
            <w:r w:rsidRPr="00050CA2">
              <w:t xml:space="preserve"> by 2022</w:t>
            </w:r>
            <w:r w:rsidRPr="00050CA2">
              <w:rPr>
                <w:vertAlign w:val="superscript"/>
              </w:rPr>
              <w:footnoteReference w:id="37"/>
            </w:r>
            <w:r w:rsidRPr="00050CA2">
              <w:t xml:space="preserve">. </w:t>
            </w:r>
            <w:r w:rsidR="008F1659" w:rsidRPr="008F1659">
              <w:t>However</w:t>
            </w:r>
            <w:r w:rsidR="009C2954">
              <w:t>,</w:t>
            </w:r>
            <w:r w:rsidR="008F1659" w:rsidRPr="008F1659">
              <w:t xml:space="preserve"> </w:t>
            </w:r>
            <w:r w:rsidR="009C2954">
              <w:t>it appears this date has been pushed back by several years</w:t>
            </w:r>
            <w:r w:rsidR="009C2954" w:rsidRPr="009C2954">
              <w:rPr>
                <w:vertAlign w:val="superscript"/>
              </w:rPr>
              <w:fldChar w:fldCharType="begin"/>
            </w:r>
            <w:r w:rsidR="009C2954" w:rsidRPr="009C2954">
              <w:rPr>
                <w:vertAlign w:val="superscript"/>
              </w:rPr>
              <w:instrText xml:space="preserve"> NOTEREF _Ref76396887 \h </w:instrText>
            </w:r>
            <w:r w:rsidR="009C2954">
              <w:rPr>
                <w:vertAlign w:val="superscript"/>
              </w:rPr>
              <w:instrText xml:space="preserve"> \* MERGEFORMAT </w:instrText>
            </w:r>
            <w:r w:rsidR="009C2954" w:rsidRPr="009C2954">
              <w:rPr>
                <w:vertAlign w:val="superscript"/>
              </w:rPr>
            </w:r>
            <w:r w:rsidR="009C2954" w:rsidRPr="009C2954">
              <w:rPr>
                <w:vertAlign w:val="superscript"/>
              </w:rPr>
              <w:fldChar w:fldCharType="separate"/>
            </w:r>
            <w:r w:rsidR="00295F56">
              <w:rPr>
                <w:vertAlign w:val="superscript"/>
              </w:rPr>
              <w:t>21</w:t>
            </w:r>
            <w:r w:rsidR="009C2954" w:rsidRPr="009C2954">
              <w:rPr>
                <w:vertAlign w:val="superscript"/>
              </w:rPr>
              <w:fldChar w:fldCharType="end"/>
            </w:r>
            <w:r w:rsidRPr="00050CA2">
              <w:t>. A ban on 428 types of electronic waste has also been announced</w:t>
            </w:r>
            <w:r w:rsidRPr="00050CA2">
              <w:rPr>
                <w:vertAlign w:val="superscript"/>
              </w:rPr>
              <w:footnoteReference w:id="38"/>
            </w:r>
            <w:r w:rsidRPr="00050CA2">
              <w:t>.</w:t>
            </w:r>
          </w:p>
        </w:tc>
        <w:tc>
          <w:tcPr>
            <w:tcW w:w="1418" w:type="dxa"/>
            <w:tcMar>
              <w:left w:w="57" w:type="dxa"/>
              <w:right w:w="57" w:type="dxa"/>
            </w:tcMar>
          </w:tcPr>
          <w:p w14:paraId="607549B4" w14:textId="236080D1" w:rsidR="00870575"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Ann. Aug-18, </w:t>
            </w:r>
            <w:r w:rsidR="00267D5A">
              <w:rPr>
                <w:sz w:val="18"/>
                <w:szCs w:val="18"/>
              </w:rPr>
              <w:t>plastics</w:t>
            </w:r>
            <w:r w:rsidRPr="00AE34EA">
              <w:rPr>
                <w:sz w:val="18"/>
                <w:szCs w:val="18"/>
              </w:rPr>
              <w:t xml:space="preserve"> imp. Aug-18, e-waste &lt;2 yrs.</w:t>
            </w:r>
          </w:p>
        </w:tc>
        <w:tc>
          <w:tcPr>
            <w:tcW w:w="992" w:type="dxa"/>
            <w:tcMar>
              <w:left w:w="57" w:type="dxa"/>
              <w:right w:w="57" w:type="dxa"/>
            </w:tcMar>
          </w:tcPr>
          <w:p w14:paraId="0E996CB0" w14:textId="0A7DF6AD" w:rsidR="00D77C8D" w:rsidRPr="00AE34EA" w:rsidRDefault="00267D5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Plastics</w:t>
            </w:r>
          </w:p>
        </w:tc>
        <w:tc>
          <w:tcPr>
            <w:tcW w:w="1134" w:type="dxa"/>
            <w:tcMar>
              <w:left w:w="57" w:type="dxa"/>
              <w:right w:w="57" w:type="dxa"/>
            </w:tcMar>
          </w:tcPr>
          <w:p w14:paraId="215DC97E" w14:textId="3B9EFA59" w:rsidR="00A10C8B" w:rsidRDefault="003F5305"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w:t>
            </w:r>
            <w:r w:rsidR="00D77C8D" w:rsidRPr="00AE34EA">
              <w:rPr>
                <w:sz w:val="18"/>
                <w:szCs w:val="18"/>
              </w:rPr>
              <w:t>,</w:t>
            </w:r>
            <w:r>
              <w:rPr>
                <w:sz w:val="18"/>
                <w:szCs w:val="18"/>
              </w:rPr>
              <w:t>5</w:t>
            </w:r>
            <w:r w:rsidR="00D77C8D" w:rsidRPr="00AE34EA">
              <w:rPr>
                <w:sz w:val="18"/>
                <w:szCs w:val="18"/>
              </w:rPr>
              <w:t xml:space="preserve">00 </w:t>
            </w:r>
          </w:p>
          <w:p w14:paraId="74277DED"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2EEB5DCD" w14:textId="08358507"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sidR="003F5305">
              <w:rPr>
                <w:sz w:val="18"/>
                <w:szCs w:val="18"/>
              </w:rPr>
              <w:t>8</w:t>
            </w:r>
            <w:r w:rsidRPr="00AE34EA">
              <w:rPr>
                <w:sz w:val="18"/>
                <w:szCs w:val="18"/>
              </w:rPr>
              <w:t>00</w:t>
            </w:r>
            <w:r w:rsidR="00A10C8B">
              <w:rPr>
                <w:sz w:val="18"/>
                <w:szCs w:val="18"/>
              </w:rPr>
              <w:t xml:space="preserve"> per </w:t>
            </w:r>
            <w:r w:rsidRPr="00AE34EA">
              <w:rPr>
                <w:sz w:val="18"/>
                <w:szCs w:val="18"/>
              </w:rPr>
              <w:t>m</w:t>
            </w:r>
            <w:r w:rsidR="00A10C8B">
              <w:rPr>
                <w:sz w:val="18"/>
                <w:szCs w:val="18"/>
              </w:rPr>
              <w:t>on</w:t>
            </w:r>
            <w:r w:rsidRPr="00AE34EA">
              <w:rPr>
                <w:sz w:val="18"/>
                <w:szCs w:val="18"/>
              </w:rPr>
              <w:t>th)</w:t>
            </w:r>
          </w:p>
        </w:tc>
        <w:tc>
          <w:tcPr>
            <w:tcW w:w="709" w:type="dxa"/>
            <w:tcMar>
              <w:left w:w="57" w:type="dxa"/>
              <w:right w:w="57" w:type="dxa"/>
            </w:tcMar>
          </w:tcPr>
          <w:p w14:paraId="167A4E5A" w14:textId="1B481530" w:rsidR="00D77C8D" w:rsidRDefault="002B284B" w:rsidP="00114FE4">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90</w:t>
            </w:r>
          </w:p>
        </w:tc>
        <w:tc>
          <w:tcPr>
            <w:tcW w:w="2409" w:type="dxa"/>
            <w:tcMar>
              <w:left w:w="57" w:type="dxa"/>
              <w:right w:w="57" w:type="dxa"/>
            </w:tcMar>
          </w:tcPr>
          <w:p w14:paraId="6D1C941B" w14:textId="3525E80C" w:rsidR="00D77C8D" w:rsidRPr="00AE34EA" w:rsidRDefault="00050C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50CA2">
              <w:rPr>
                <w:sz w:val="18"/>
                <w:szCs w:val="18"/>
              </w:rPr>
              <w:t>Plastics imports reduced from 900 to 800 tonnes per month between 2018-19 and 2019-20</w:t>
            </w:r>
            <w:r>
              <w:rPr>
                <w:sz w:val="18"/>
                <w:szCs w:val="18"/>
              </w:rPr>
              <w:t>.</w:t>
            </w:r>
          </w:p>
        </w:tc>
      </w:tr>
      <w:tr w:rsidR="000C31BB" w:rsidRPr="003A3BCA" w14:paraId="3981D665" w14:textId="77777777" w:rsidTr="0070040B">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62B35C39" w14:textId="77777777" w:rsidR="000C31BB" w:rsidRPr="00AE34EA" w:rsidRDefault="000C31BB" w:rsidP="0070040B">
            <w:pPr>
              <w:spacing w:before="40" w:after="40"/>
              <w:rPr>
                <w:sz w:val="18"/>
                <w:szCs w:val="18"/>
              </w:rPr>
            </w:pPr>
            <w:r w:rsidRPr="00AE34EA">
              <w:rPr>
                <w:sz w:val="18"/>
                <w:szCs w:val="18"/>
              </w:rPr>
              <w:t>Taiwan</w:t>
            </w:r>
          </w:p>
        </w:tc>
        <w:tc>
          <w:tcPr>
            <w:tcW w:w="7087" w:type="dxa"/>
          </w:tcPr>
          <w:p w14:paraId="15E5E1DB" w14:textId="669DFED9" w:rsidR="000C31BB" w:rsidRPr="00A22E44" w:rsidRDefault="000C31BB" w:rsidP="0070040B">
            <w:pPr>
              <w:cnfStyle w:val="000000000000" w:firstRow="0" w:lastRow="0" w:firstColumn="0" w:lastColumn="0" w:oddVBand="0" w:evenVBand="0" w:oddHBand="0" w:evenHBand="0" w:firstRowFirstColumn="0" w:firstRowLastColumn="0" w:lastRowFirstColumn="0" w:lastRowLastColumn="0"/>
            </w:pPr>
            <w:r w:rsidRPr="00A22E44">
              <w:t xml:space="preserve">Import of </w:t>
            </w:r>
            <w:r w:rsidR="00110011">
              <w:t xml:space="preserve">waste </w:t>
            </w:r>
            <w:r w:rsidR="00267D5A">
              <w:t>plastics</w:t>
            </w:r>
            <w:r w:rsidRPr="00A22E44">
              <w:t xml:space="preserve"> is banned. Exceptions are made to licensed local firms that import </w:t>
            </w:r>
            <w:r w:rsidR="00110011">
              <w:t xml:space="preserve">waste </w:t>
            </w:r>
            <w:r w:rsidR="00267D5A">
              <w:t>plastics</w:t>
            </w:r>
            <w:r w:rsidRPr="00A22E44">
              <w:t xml:space="preserve"> originating from their own overseas production processes or are a single material, but not from original production processes</w:t>
            </w:r>
            <w:r w:rsidRPr="00A22E44">
              <w:rPr>
                <w:vertAlign w:val="superscript"/>
              </w:rPr>
              <w:footnoteReference w:id="39"/>
            </w:r>
            <w:r w:rsidRPr="00A22E44">
              <w:t xml:space="preserve">. Paper imports </w:t>
            </w:r>
            <w:r w:rsidR="008F1659">
              <w:t xml:space="preserve">are </w:t>
            </w:r>
            <w:r w:rsidRPr="00A22E44">
              <w:t>restricted to deinked paper, kraft paper, corrugated paper or cardboard that is not bleached. Import of waste newspapers and magazines banned.</w:t>
            </w:r>
          </w:p>
        </w:tc>
        <w:tc>
          <w:tcPr>
            <w:tcW w:w="1418" w:type="dxa"/>
          </w:tcPr>
          <w:p w14:paraId="2F165EA9"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Aug-18</w:t>
            </w:r>
          </w:p>
          <w:p w14:paraId="083A338B"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Oct-18</w:t>
            </w:r>
          </w:p>
        </w:tc>
        <w:tc>
          <w:tcPr>
            <w:tcW w:w="992" w:type="dxa"/>
          </w:tcPr>
          <w:p w14:paraId="3BD80D2D" w14:textId="1FA98599" w:rsidR="000C31BB" w:rsidRPr="00AE34EA" w:rsidRDefault="00267D5A"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Plastics</w:t>
            </w:r>
            <w:r w:rsidR="000C31BB" w:rsidRPr="00AE34EA">
              <w:rPr>
                <w:sz w:val="18"/>
                <w:szCs w:val="18"/>
              </w:rPr>
              <w:t>, paper</w:t>
            </w:r>
          </w:p>
        </w:tc>
        <w:tc>
          <w:tcPr>
            <w:tcW w:w="1134" w:type="dxa"/>
            <w:tcMar>
              <w:left w:w="57" w:type="dxa"/>
              <w:right w:w="57" w:type="dxa"/>
            </w:tcMar>
          </w:tcPr>
          <w:p w14:paraId="6A7E3B3B" w14:textId="342BF956" w:rsidR="000C31BB"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w:t>
            </w:r>
            <w:r>
              <w:rPr>
                <w:sz w:val="18"/>
                <w:szCs w:val="18"/>
              </w:rPr>
              <w:t>4</w:t>
            </w:r>
            <w:r w:rsidRPr="00AE34EA">
              <w:rPr>
                <w:sz w:val="18"/>
                <w:szCs w:val="18"/>
              </w:rPr>
              <w:t>,</w:t>
            </w:r>
            <w:r w:rsidR="00612AD8">
              <w:rPr>
                <w:sz w:val="18"/>
                <w:szCs w:val="18"/>
              </w:rPr>
              <w:t>2</w:t>
            </w:r>
            <w:r w:rsidRPr="00AE34EA">
              <w:rPr>
                <w:sz w:val="18"/>
                <w:szCs w:val="18"/>
              </w:rPr>
              <w:t>00</w:t>
            </w:r>
          </w:p>
          <w:p w14:paraId="14090878"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12B899A" w14:textId="77777777" w:rsidR="000C31BB" w:rsidRPr="00AE34E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w:t>
            </w:r>
            <w:r>
              <w:rPr>
                <w:sz w:val="18"/>
                <w:szCs w:val="18"/>
              </w:rPr>
              <w:t>2</w:t>
            </w:r>
            <w:r w:rsidRPr="00AE34EA">
              <w:rPr>
                <w:sz w:val="18"/>
                <w:szCs w:val="18"/>
              </w:rPr>
              <w:t>00</w:t>
            </w:r>
            <w:r>
              <w:rPr>
                <w:sz w:val="18"/>
                <w:szCs w:val="18"/>
              </w:rPr>
              <w:t xml:space="preserve"> per month</w:t>
            </w:r>
            <w:r w:rsidRPr="00AE34EA">
              <w:rPr>
                <w:sz w:val="18"/>
                <w:szCs w:val="18"/>
              </w:rPr>
              <w:t>)</w:t>
            </w:r>
          </w:p>
        </w:tc>
        <w:tc>
          <w:tcPr>
            <w:tcW w:w="709" w:type="dxa"/>
          </w:tcPr>
          <w:p w14:paraId="7E4A8620" w14:textId="5B007D97" w:rsidR="000C31BB" w:rsidRPr="00AE34EA" w:rsidDel="00825E99" w:rsidRDefault="00E47662"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560</w:t>
            </w:r>
          </w:p>
        </w:tc>
        <w:tc>
          <w:tcPr>
            <w:tcW w:w="2409" w:type="dxa"/>
          </w:tcPr>
          <w:p w14:paraId="0C0867C6" w14:textId="62F6C19B" w:rsidR="000C31BB" w:rsidRPr="00AE34EA" w:rsidRDefault="00612AD8"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612AD8">
              <w:rPr>
                <w:sz w:val="18"/>
                <w:szCs w:val="18"/>
              </w:rPr>
              <w:t>Imports reduced from 1,500 to 1,200 per month between 2018-19 and 2019-20.</w:t>
            </w:r>
          </w:p>
        </w:tc>
      </w:tr>
      <w:tr w:rsidR="00D77C8D" w:rsidRPr="003A3BCA" w14:paraId="63E741DA"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BA12833" w14:textId="3B4FAD3F" w:rsidR="00D77C8D" w:rsidRPr="00AE34EA" w:rsidRDefault="00102B40" w:rsidP="003A3BCA">
            <w:pPr>
              <w:spacing w:before="40" w:after="40"/>
              <w:rPr>
                <w:sz w:val="18"/>
                <w:szCs w:val="18"/>
              </w:rPr>
            </w:pPr>
            <w:r>
              <w:rPr>
                <w:sz w:val="18"/>
                <w:szCs w:val="18"/>
              </w:rPr>
              <w:t>South Korea</w:t>
            </w:r>
          </w:p>
        </w:tc>
        <w:tc>
          <w:tcPr>
            <w:tcW w:w="7087" w:type="dxa"/>
            <w:tcMar>
              <w:left w:w="57" w:type="dxa"/>
              <w:right w:w="57" w:type="dxa"/>
            </w:tcMar>
          </w:tcPr>
          <w:p w14:paraId="608FF881" w14:textId="0A7259A7" w:rsidR="00D77C8D" w:rsidRPr="00A22E44" w:rsidRDefault="00612AD8">
            <w:pPr>
              <w:cnfStyle w:val="000000000000" w:firstRow="0" w:lastRow="0" w:firstColumn="0" w:lastColumn="0" w:oddVBand="0" w:evenVBand="0" w:oddHBand="0" w:evenHBand="0" w:firstRowFirstColumn="0" w:firstRowLastColumn="0" w:lastRowFirstColumn="0" w:lastRowLastColumn="0"/>
            </w:pPr>
            <w:r w:rsidRPr="00612AD8">
              <w:t xml:space="preserve">On 6 January 2021, </w:t>
            </w:r>
            <w:r w:rsidR="00DD3097">
              <w:t xml:space="preserve">the </w:t>
            </w:r>
            <w:r w:rsidRPr="00612AD8">
              <w:t>Ministry of Environment announced bans or restriction</w:t>
            </w:r>
            <w:r w:rsidR="009B0191">
              <w:t>s</w:t>
            </w:r>
            <w:r w:rsidRPr="00612AD8">
              <w:t xml:space="preserve"> on their top 10 waste import materials</w:t>
            </w:r>
            <w:r w:rsidRPr="00612AD8">
              <w:rPr>
                <w:vertAlign w:val="superscript"/>
              </w:rPr>
              <w:footnoteReference w:id="40"/>
            </w:r>
            <w:r w:rsidRPr="00612AD8">
              <w:t xml:space="preserve">. Total imports </w:t>
            </w:r>
            <w:r w:rsidR="009B0191">
              <w:t xml:space="preserve">are </w:t>
            </w:r>
            <w:r w:rsidRPr="00612AD8">
              <w:t>to reduce</w:t>
            </w:r>
            <w:r w:rsidR="009B0191">
              <w:t xml:space="preserve"> by</w:t>
            </w:r>
            <w:r w:rsidRPr="00612AD8">
              <w:t xml:space="preserve"> 35% by 2022 and 65% by 2025. </w:t>
            </w:r>
            <w:r w:rsidR="008F1659" w:rsidRPr="008F1659">
              <w:t xml:space="preserve">Bans on plastics, mixed waste paper and waste fibre will commence in 2022, and on coal ash and tyres in 2023. </w:t>
            </w:r>
            <w:r w:rsidRPr="00612AD8">
              <w:t>Corrugated cardboard, dust and sludge will be subject to restrictions in 2023</w:t>
            </w:r>
            <w:r w:rsidRPr="00612AD8">
              <w:rPr>
                <w:vertAlign w:val="superscript"/>
              </w:rPr>
              <w:footnoteReference w:id="41"/>
            </w:r>
            <w:r w:rsidRPr="00612AD8">
              <w:t xml:space="preserve">. </w:t>
            </w:r>
            <w:r w:rsidR="009B0191">
              <w:t xml:space="preserve">A </w:t>
            </w:r>
            <w:r w:rsidRPr="00612AD8">
              <w:t xml:space="preserve">ban on imports of PET, PE, PP and PS </w:t>
            </w:r>
            <w:r w:rsidR="009B0191">
              <w:t>came into force at the end of June 2020</w:t>
            </w:r>
            <w:r w:rsidRPr="00612AD8">
              <w:rPr>
                <w:vertAlign w:val="superscript"/>
              </w:rPr>
              <w:footnoteReference w:id="42"/>
            </w:r>
            <w:r w:rsidR="00B54026">
              <w:t>.</w:t>
            </w:r>
          </w:p>
        </w:tc>
        <w:tc>
          <w:tcPr>
            <w:tcW w:w="1418" w:type="dxa"/>
            <w:tcMar>
              <w:left w:w="57" w:type="dxa"/>
              <w:right w:w="57" w:type="dxa"/>
            </w:tcMar>
          </w:tcPr>
          <w:p w14:paraId="0E3D4DC0" w14:textId="5F5B1599" w:rsidR="00D77C8D" w:rsidRPr="00AE34E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Feb-20</w:t>
            </w:r>
          </w:p>
        </w:tc>
        <w:tc>
          <w:tcPr>
            <w:tcW w:w="992" w:type="dxa"/>
            <w:tcMar>
              <w:left w:w="57" w:type="dxa"/>
              <w:right w:w="57" w:type="dxa"/>
            </w:tcMar>
          </w:tcPr>
          <w:p w14:paraId="3F1B0D5C" w14:textId="77777777" w:rsidR="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Paper and cardboard</w:t>
            </w:r>
          </w:p>
          <w:p w14:paraId="60DC6CE7" w14:textId="7EC69FE7" w:rsidR="00B67BC5" w:rsidRPr="00AE34EA" w:rsidRDefault="00267D5A"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Plastics</w:t>
            </w:r>
            <w:r w:rsidR="00B67BC5">
              <w:rPr>
                <w:sz w:val="18"/>
                <w:szCs w:val="18"/>
              </w:rPr>
              <w:t xml:space="preserve"> </w:t>
            </w:r>
          </w:p>
        </w:tc>
        <w:tc>
          <w:tcPr>
            <w:tcW w:w="1134" w:type="dxa"/>
            <w:tcMar>
              <w:left w:w="57" w:type="dxa"/>
              <w:right w:w="57" w:type="dxa"/>
            </w:tcMar>
          </w:tcPr>
          <w:p w14:paraId="3106439A" w14:textId="280DD226" w:rsidR="00A10C8B"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13,</w:t>
            </w:r>
            <w:r w:rsidR="003F5305">
              <w:rPr>
                <w:sz w:val="18"/>
                <w:szCs w:val="18"/>
              </w:rPr>
              <w:t>0</w:t>
            </w:r>
            <w:r w:rsidRPr="00AE34EA">
              <w:rPr>
                <w:sz w:val="18"/>
                <w:szCs w:val="18"/>
              </w:rPr>
              <w:t xml:space="preserve">00 </w:t>
            </w:r>
          </w:p>
          <w:p w14:paraId="2FE1607B" w14:textId="77777777" w:rsidR="007E06A1" w:rsidRPr="007E06A1" w:rsidRDefault="007E06A1" w:rsidP="007E06A1">
            <w:pPr>
              <w:spacing w:before="40" w:after="40"/>
              <w:cnfStyle w:val="000000000000" w:firstRow="0" w:lastRow="0" w:firstColumn="0" w:lastColumn="0" w:oddVBand="0" w:evenVBand="0" w:oddHBand="0" w:evenHBand="0" w:firstRowFirstColumn="0" w:firstRowLastColumn="0" w:lastRowFirstColumn="0" w:lastRowLastColumn="0"/>
              <w:rPr>
                <w:sz w:val="6"/>
                <w:szCs w:val="6"/>
                <w:lang w:eastAsia="en-US"/>
              </w:rPr>
            </w:pPr>
          </w:p>
          <w:p w14:paraId="034AD5EE" w14:textId="13B4F5FE"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(1,100</w:t>
            </w:r>
            <w:r w:rsidR="00A10C8B">
              <w:rPr>
                <w:sz w:val="18"/>
                <w:szCs w:val="18"/>
              </w:rPr>
              <w:t xml:space="preserve"> per mon</w:t>
            </w:r>
            <w:r w:rsidRPr="00AE34EA">
              <w:rPr>
                <w:sz w:val="18"/>
                <w:szCs w:val="18"/>
              </w:rPr>
              <w:t>th)</w:t>
            </w:r>
          </w:p>
        </w:tc>
        <w:tc>
          <w:tcPr>
            <w:tcW w:w="709" w:type="dxa"/>
            <w:tcMar>
              <w:left w:w="57" w:type="dxa"/>
              <w:right w:w="57" w:type="dxa"/>
            </w:tcMar>
          </w:tcPr>
          <w:p w14:paraId="68FDB02C" w14:textId="704558F7" w:rsidR="00D77C8D" w:rsidRPr="00AE34EA" w:rsidRDefault="007D6AF8" w:rsidP="009F296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r w:rsidR="002B284B">
              <w:rPr>
                <w:sz w:val="18"/>
                <w:szCs w:val="18"/>
              </w:rPr>
              <w:t>00</w:t>
            </w:r>
          </w:p>
        </w:tc>
        <w:tc>
          <w:tcPr>
            <w:tcW w:w="2409" w:type="dxa"/>
            <w:tcMar>
              <w:left w:w="57" w:type="dxa"/>
              <w:right w:w="57" w:type="dxa"/>
            </w:tcMar>
          </w:tcPr>
          <w:p w14:paraId="675C8856" w14:textId="22511F5E" w:rsidR="00D77C8D" w:rsidRPr="00AE34EA" w:rsidRDefault="00D52544"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Imports of both products have decreased significantly over 2020</w:t>
            </w:r>
            <w:r w:rsidR="00BA0B57">
              <w:rPr>
                <w:sz w:val="18"/>
                <w:szCs w:val="18"/>
              </w:rPr>
              <w:t>.</w:t>
            </w:r>
          </w:p>
        </w:tc>
      </w:tr>
      <w:tr w:rsidR="00D77C8D" w:rsidRPr="003A3BCA" w14:paraId="75CF586B" w14:textId="77777777" w:rsidTr="00B46B90">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0F0B92BE" w14:textId="2C8F6DF7" w:rsidR="00D77C8D" w:rsidRPr="00AE34EA" w:rsidRDefault="00D77C8D" w:rsidP="003A3BCA">
            <w:pPr>
              <w:spacing w:before="40" w:after="40"/>
              <w:rPr>
                <w:sz w:val="18"/>
                <w:szCs w:val="18"/>
              </w:rPr>
            </w:pPr>
            <w:r>
              <w:rPr>
                <w:sz w:val="18"/>
                <w:szCs w:val="18"/>
              </w:rPr>
              <w:t>Pakistan</w:t>
            </w:r>
          </w:p>
        </w:tc>
        <w:tc>
          <w:tcPr>
            <w:tcW w:w="7087" w:type="dxa"/>
          </w:tcPr>
          <w:p w14:paraId="4A094B54" w14:textId="7C0251D8" w:rsidR="00D77C8D" w:rsidRPr="00A22E44" w:rsidRDefault="00612AD8" w:rsidP="003A3BCA">
            <w:pPr>
              <w:cnfStyle w:val="000000000000" w:firstRow="0" w:lastRow="0" w:firstColumn="0" w:lastColumn="0" w:oddVBand="0" w:evenVBand="0" w:oddHBand="0" w:evenHBand="0" w:firstRowFirstColumn="0" w:firstRowLastColumn="0" w:lastRowFirstColumn="0" w:lastRowLastColumn="0"/>
            </w:pPr>
            <w:r w:rsidRPr="00612AD8">
              <w:t xml:space="preserve">On 25 September 2020 the Pakistan Government Ministry of Commerce </w:t>
            </w:r>
            <w:r w:rsidR="009B0191" w:rsidRPr="00612AD8">
              <w:t>ban</w:t>
            </w:r>
            <w:r w:rsidR="009B0191">
              <w:t>ned</w:t>
            </w:r>
            <w:r w:rsidR="009B0191" w:rsidRPr="00612AD8">
              <w:t xml:space="preserve"> the import of re-treaded tyres and used pneumatic tyres</w:t>
            </w:r>
            <w:r w:rsidRPr="00612AD8">
              <w:rPr>
                <w:vertAlign w:val="superscript"/>
              </w:rPr>
              <w:footnoteReference w:id="43"/>
            </w:r>
            <w:r w:rsidRPr="00612AD8">
              <w:t>.</w:t>
            </w:r>
            <w:r w:rsidR="00370257" w:rsidRPr="00A22E44">
              <w:t xml:space="preserve"> </w:t>
            </w:r>
          </w:p>
        </w:tc>
        <w:tc>
          <w:tcPr>
            <w:tcW w:w="1418" w:type="dxa"/>
          </w:tcPr>
          <w:p w14:paraId="619BBA38" w14:textId="2F86D571" w:rsidR="00D77C8D" w:rsidRPr="00AE34EA" w:rsidRDefault="00370257"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Sep-20</w:t>
            </w:r>
          </w:p>
        </w:tc>
        <w:tc>
          <w:tcPr>
            <w:tcW w:w="992" w:type="dxa"/>
          </w:tcPr>
          <w:p w14:paraId="2E43D4FB" w14:textId="73EC3449" w:rsidR="00D77C8D" w:rsidRPr="00AE34EA" w:rsidRDefault="00A221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Tyres</w:t>
            </w:r>
          </w:p>
        </w:tc>
        <w:tc>
          <w:tcPr>
            <w:tcW w:w="1134" w:type="dxa"/>
            <w:tcMar>
              <w:left w:w="57" w:type="dxa"/>
              <w:right w:w="57" w:type="dxa"/>
            </w:tcMar>
          </w:tcPr>
          <w:p w14:paraId="09712DC8" w14:textId="3D551C69" w:rsidR="00D77C8D" w:rsidRPr="00AE34E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Pr>
          <w:p w14:paraId="55F61192" w14:textId="53E153CF" w:rsidR="00D77C8D" w:rsidRPr="00AE34EA" w:rsidRDefault="003F530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2409" w:type="dxa"/>
          </w:tcPr>
          <w:p w14:paraId="5C0CE58E" w14:textId="1D2D2EDE" w:rsidR="00D77C8D" w:rsidRPr="00AE34EA" w:rsidRDefault="00B67BC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impact apparent</w:t>
            </w:r>
            <w:r w:rsidR="00BA0B57">
              <w:rPr>
                <w:sz w:val="18"/>
                <w:szCs w:val="18"/>
              </w:rPr>
              <w:t>.</w:t>
            </w:r>
          </w:p>
        </w:tc>
      </w:tr>
      <w:bookmarkEnd w:id="27"/>
      <w:bookmarkEnd w:id="32"/>
    </w:tbl>
    <w:p w14:paraId="4AD269C2" w14:textId="1E6A6381" w:rsidR="003A3BCA" w:rsidRPr="00612AD8" w:rsidRDefault="003A3BCA" w:rsidP="00612AD8">
      <w:pPr>
        <w:rPr>
          <w:sz w:val="2"/>
          <w:szCs w:val="2"/>
        </w:rPr>
      </w:pPr>
    </w:p>
    <w:sectPr w:rsidR="003A3BCA" w:rsidRPr="00612AD8" w:rsidSect="008E3D42">
      <w:pgSz w:w="16838" w:h="11906" w:orient="landscape" w:code="9"/>
      <w:pgMar w:top="1247" w:right="1134" w:bottom="90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C103D" w14:textId="77777777" w:rsidR="00CC66AF" w:rsidRDefault="00CC66AF" w:rsidP="00547C1A">
      <w:r>
        <w:separator/>
      </w:r>
    </w:p>
  </w:endnote>
  <w:endnote w:type="continuationSeparator" w:id="0">
    <w:p w14:paraId="05D3A09F" w14:textId="77777777" w:rsidR="00CC66AF" w:rsidRDefault="00CC66AF"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231497" w:rsidRPr="00A71209" w:rsidRDefault="00231497">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Pr>
            <w:rFonts w:asciiTheme="minorHAnsi" w:hAnsiTheme="minorHAnsi" w:cstheme="minorHAnsi"/>
            <w:noProof/>
            <w:sz w:val="18"/>
          </w:rPr>
          <w:t>1</w:t>
        </w:r>
        <w:r w:rsidRPr="00A71209">
          <w:rPr>
            <w:rFonts w:asciiTheme="minorHAnsi" w:hAnsiTheme="minorHAnsi" w:cstheme="minorHAnsi"/>
            <w:noProof/>
            <w:sz w:val="18"/>
          </w:rPr>
          <w:fldChar w:fldCharType="end"/>
        </w:r>
      </w:p>
    </w:sdtContent>
  </w:sdt>
  <w:p w14:paraId="7444963F" w14:textId="1C80880B" w:rsidR="00231497" w:rsidRPr="00305B22" w:rsidRDefault="00231497" w:rsidP="00305B22">
    <w:pPr>
      <w:pStyle w:val="Footer"/>
      <w:pBdr>
        <w:top w:val="none" w:sz="0" w:space="0" w:color="auto"/>
      </w:pBdr>
      <w:rPr>
        <w:rStyle w:val="PageNumber"/>
        <w:rFonts w:ascii="Arial" w:hAnsi="Arial"/>
        <w:b w:val="0"/>
        <w:color w:val="7F7F7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F879" w14:textId="77777777" w:rsidR="00CC66AF" w:rsidRPr="00477147" w:rsidRDefault="00CC66AF" w:rsidP="00547C1A">
      <w:pPr>
        <w:rPr>
          <w:color w:val="4D4DB8" w:themeColor="accent1"/>
        </w:rPr>
      </w:pPr>
      <w:bookmarkStart w:id="0" w:name="_Hlk487465832"/>
      <w:bookmarkEnd w:id="0"/>
      <w:r w:rsidRPr="00477147">
        <w:rPr>
          <w:color w:val="4D4DB8" w:themeColor="accent1"/>
        </w:rPr>
        <w:separator/>
      </w:r>
    </w:p>
  </w:footnote>
  <w:footnote w:type="continuationSeparator" w:id="0">
    <w:p w14:paraId="14916592" w14:textId="77777777" w:rsidR="00CC66AF" w:rsidRDefault="00CC66AF" w:rsidP="00547C1A">
      <w:r>
        <w:continuationSeparator/>
      </w:r>
    </w:p>
  </w:footnote>
  <w:footnote w:id="1">
    <w:p w14:paraId="6D63997E" w14:textId="24087C59" w:rsidR="00231497" w:rsidRDefault="00231497" w:rsidP="00187D8E">
      <w:pPr>
        <w:pStyle w:val="FootnoteText"/>
        <w:spacing w:after="60"/>
      </w:pPr>
      <w:r>
        <w:rPr>
          <w:rStyle w:val="FootnoteReference"/>
        </w:rPr>
        <w:footnoteRef/>
      </w:r>
      <w:r>
        <w:t xml:space="preserve"> The export codes mapped to waste and recovered materials in 2020-21 differ slightly from those in 2019-20. Details are given in the accompanying workbook (under ‘Ref lists’). The historical data presented here has been updated.  </w:t>
      </w:r>
    </w:p>
  </w:footnote>
  <w:footnote w:id="2">
    <w:p w14:paraId="4A7739D7" w14:textId="77777777" w:rsidR="00084FDB" w:rsidRDefault="00084FDB" w:rsidP="00084FDB">
      <w:pPr>
        <w:pStyle w:val="FootnoteText"/>
        <w:spacing w:after="60"/>
      </w:pPr>
      <w:r>
        <w:rPr>
          <w:rStyle w:val="FootnoteReference"/>
        </w:rPr>
        <w:footnoteRef/>
      </w:r>
      <w:r>
        <w:t xml:space="preserve"> </w:t>
      </w:r>
      <w:r w:rsidRPr="009C6FBC">
        <w:t xml:space="preserve">Data in these summaries is originally entered by exporters or their agents. It cannot be guaranteed that exporters use the correct codes or values for their exports, so this data should be used with caution. </w:t>
      </w:r>
    </w:p>
  </w:footnote>
  <w:footnote w:id="3">
    <w:p w14:paraId="3FD70512" w14:textId="11589BA8" w:rsidR="00231497" w:rsidRDefault="00231497" w:rsidP="004058FA">
      <w:pPr>
        <w:pStyle w:val="FootnoteText"/>
        <w:spacing w:after="60"/>
      </w:pPr>
      <w:r>
        <w:rPr>
          <w:rStyle w:val="FootnoteReference"/>
        </w:rPr>
        <w:footnoteRef/>
      </w:r>
      <w:r>
        <w:t xml:space="preserve"> </w:t>
      </w:r>
      <w:r w:rsidRPr="009C6FBC">
        <w:t>Data may be revised for up to six months after initial publication as customs declarations are amended by individual traders. Due to these revisions, there may be discrepancies between this and preceding reports.</w:t>
      </w:r>
    </w:p>
  </w:footnote>
  <w:footnote w:id="4">
    <w:p w14:paraId="3D7568A6" w14:textId="3229B883" w:rsidR="00084FDB" w:rsidRDefault="00084FDB" w:rsidP="00084FDB">
      <w:pPr>
        <w:pStyle w:val="FootnoteText"/>
        <w:spacing w:after="60"/>
      </w:pPr>
      <w:r>
        <w:rPr>
          <w:rStyle w:val="FootnoteReference"/>
        </w:rPr>
        <w:footnoteRef/>
      </w:r>
      <w:r>
        <w:t xml:space="preserve"> </w:t>
      </w:r>
      <w:r w:rsidRPr="00084FDB">
        <w:t>The data presented is gross weight, including packaging. This value is used for consistency because the quantities of exported materials are presented in varied units, including numbers of items.</w:t>
      </w:r>
    </w:p>
  </w:footnote>
  <w:footnote w:id="5">
    <w:p w14:paraId="43049C4E" w14:textId="77777777" w:rsidR="00231497" w:rsidRDefault="00231497" w:rsidP="003F0BCD">
      <w:pPr>
        <w:pStyle w:val="FootnoteText"/>
        <w:spacing w:after="60"/>
      </w:pPr>
      <w:r>
        <w:rPr>
          <w:rStyle w:val="FootnoteReference"/>
        </w:rPr>
        <w:footnoteRef/>
      </w:r>
      <w:r>
        <w:t xml:space="preserve"> Some of these recovered materials contain a proportion of contamination (or ‘off-spec’ content) that needs to be extracted before the material can be used. </w:t>
      </w:r>
    </w:p>
  </w:footnote>
  <w:footnote w:id="6">
    <w:p w14:paraId="6E05531B" w14:textId="43B73A26" w:rsidR="00231497" w:rsidRDefault="00231497" w:rsidP="00BD2179">
      <w:pPr>
        <w:pStyle w:val="FootnoteText"/>
        <w:spacing w:after="60"/>
      </w:pPr>
      <w:r>
        <w:rPr>
          <w:rStyle w:val="FootnoteReference"/>
        </w:rPr>
        <w:footnoteRef/>
      </w:r>
      <w:r>
        <w:t xml:space="preserve"> Dollar values refer to Australian dollars. Historical values are inflated based on the annualised consumer price index.</w:t>
      </w:r>
    </w:p>
  </w:footnote>
  <w:footnote w:id="7">
    <w:p w14:paraId="370EAC04" w14:textId="71744502" w:rsidR="00F67595" w:rsidRDefault="00F67595" w:rsidP="00871E75">
      <w:pPr>
        <w:pStyle w:val="FootnoteText"/>
      </w:pPr>
      <w:r>
        <w:rPr>
          <w:rStyle w:val="FootnoteReference"/>
        </w:rPr>
        <w:footnoteRef/>
      </w:r>
      <w:r>
        <w:t xml:space="preserve"> S</w:t>
      </w:r>
      <w:r w:rsidRPr="00F67595">
        <w:t xml:space="preserve">ee the </w:t>
      </w:r>
      <w:r w:rsidRPr="00F67595">
        <w:rPr>
          <w:i/>
          <w:iCs/>
        </w:rPr>
        <w:t>National Waste Report 2020</w:t>
      </w:r>
      <w:r w:rsidRPr="00F67595">
        <w:t xml:space="preserve"> on the Department of Agriculture, Water and </w:t>
      </w:r>
      <w:r w:rsidR="00E2538F">
        <w:t xml:space="preserve">the </w:t>
      </w:r>
      <w:r w:rsidRPr="00F67595">
        <w:t>Environment website</w:t>
      </w:r>
      <w:r>
        <w:t>.</w:t>
      </w:r>
    </w:p>
  </w:footnote>
  <w:footnote w:id="8">
    <w:p w14:paraId="716D2667" w14:textId="77777777" w:rsidR="00621C00" w:rsidRDefault="00621C00" w:rsidP="00621C00">
      <w:pPr>
        <w:pStyle w:val="FootnoteText"/>
      </w:pPr>
      <w:r>
        <w:rPr>
          <w:rStyle w:val="FootnoteReference"/>
        </w:rPr>
        <w:footnoteRef/>
      </w:r>
      <w:r>
        <w:t xml:space="preserve"> Australian Bureau of Statistics (2021) </w:t>
      </w:r>
      <w:hyperlink r:id="rId1" w:history="1">
        <w:r w:rsidRPr="006E2ACE">
          <w:rPr>
            <w:rStyle w:val="Hyperlink"/>
            <w:sz w:val="18"/>
          </w:rPr>
          <w:t>International merchandise trade, preliminary, Australia.</w:t>
        </w:r>
      </w:hyperlink>
      <w:r>
        <w:t xml:space="preserve"> </w:t>
      </w:r>
    </w:p>
  </w:footnote>
  <w:footnote w:id="9">
    <w:p w14:paraId="6C7AD506" w14:textId="77777777" w:rsidR="00E07B01" w:rsidRDefault="00E07B01" w:rsidP="00E07B01">
      <w:pPr>
        <w:pStyle w:val="FootnoteText"/>
      </w:pPr>
      <w:r>
        <w:rPr>
          <w:rStyle w:val="FootnoteReference"/>
        </w:rPr>
        <w:footnoteRef/>
      </w:r>
      <w:r>
        <w:t xml:space="preserve"> ABC News (2021) </w:t>
      </w:r>
      <w:hyperlink r:id="rId2" w:history="1">
        <w:r w:rsidRPr="00EB05A4">
          <w:rPr>
            <w:rStyle w:val="Hyperlink"/>
            <w:sz w:val="18"/>
          </w:rPr>
          <w:t>Record iron ore prices boost Australia’s economy, but will the China trade war end the boom?</w:t>
        </w:r>
      </w:hyperlink>
    </w:p>
  </w:footnote>
  <w:footnote w:id="10">
    <w:p w14:paraId="5D03563F" w14:textId="51C34C04" w:rsidR="00E07B01" w:rsidRDefault="00E07B01" w:rsidP="00E07B01">
      <w:pPr>
        <w:pStyle w:val="FootnoteText"/>
      </w:pPr>
      <w:r>
        <w:rPr>
          <w:rStyle w:val="FootnoteReference"/>
        </w:rPr>
        <w:footnoteRef/>
      </w:r>
      <w:r>
        <w:t xml:space="preserve"> Australian Mining (2021) </w:t>
      </w:r>
      <w:hyperlink r:id="rId3" w:history="1">
        <w:r w:rsidRPr="00C90EED">
          <w:rPr>
            <w:rStyle w:val="Hyperlink"/>
            <w:sz w:val="18"/>
          </w:rPr>
          <w:t>Australian copper production declines in 2020</w:t>
        </w:r>
      </w:hyperlink>
      <w:r w:rsidR="00B41978">
        <w:rPr>
          <w:rStyle w:val="Hyperlink"/>
          <w:sz w:val="18"/>
        </w:rPr>
        <w:t>.</w:t>
      </w:r>
    </w:p>
  </w:footnote>
  <w:footnote w:id="11">
    <w:p w14:paraId="5DA63C2D" w14:textId="65574097" w:rsidR="00231497" w:rsidRDefault="00231497" w:rsidP="00871E75">
      <w:pPr>
        <w:pStyle w:val="FootnoteText"/>
      </w:pPr>
      <w:r>
        <w:rPr>
          <w:rStyle w:val="FootnoteReference"/>
        </w:rPr>
        <w:footnoteRef/>
      </w:r>
      <w:r>
        <w:t xml:space="preserve"> </w:t>
      </w:r>
      <w:r w:rsidRPr="005966B5">
        <w:t>Tyre export quantities</w:t>
      </w:r>
      <w:r w:rsidR="008D554A">
        <w:t xml:space="preserve"> in the ABS data </w:t>
      </w:r>
      <w:r w:rsidRPr="005966B5">
        <w:t>are</w:t>
      </w:r>
      <w:r w:rsidR="008D554A">
        <w:t xml:space="preserve"> generally</w:t>
      </w:r>
      <w:r w:rsidRPr="005966B5">
        <w:t xml:space="preserve"> lower than reported through industry sources. Significant miscoding is likely.</w:t>
      </w:r>
    </w:p>
  </w:footnote>
  <w:footnote w:id="12">
    <w:p w14:paraId="2731B637" w14:textId="77777777" w:rsidR="00231497" w:rsidRDefault="00231497" w:rsidP="006D190F">
      <w:pPr>
        <w:pStyle w:val="FootnoteText"/>
      </w:pPr>
      <w:r>
        <w:rPr>
          <w:rStyle w:val="FootnoteReference"/>
        </w:rPr>
        <w:footnoteRef/>
      </w:r>
      <w:r>
        <w:t xml:space="preserve"> </w:t>
      </w:r>
      <w:r w:rsidRPr="0036126D">
        <w:t>Earlier data were unavailable.</w:t>
      </w:r>
    </w:p>
  </w:footnote>
  <w:footnote w:id="13">
    <w:p w14:paraId="249B5BB0" w14:textId="5A72EFCD" w:rsidR="00231497" w:rsidRDefault="00231497" w:rsidP="004748FA">
      <w:pPr>
        <w:pStyle w:val="FootnoteText"/>
        <w:ind w:left="142" w:hanging="142"/>
      </w:pPr>
      <w:r>
        <w:rPr>
          <w:rStyle w:val="FootnoteReference"/>
        </w:rPr>
        <w:footnoteRef/>
      </w:r>
      <w:r>
        <w:t xml:space="preserve"> </w:t>
      </w:r>
      <w:r w:rsidRPr="005E6B20">
        <w:t>Australian Harmonized Export Commodity Classification</w:t>
      </w:r>
      <w:r>
        <w:t>.</w:t>
      </w:r>
    </w:p>
  </w:footnote>
  <w:footnote w:id="14">
    <w:p w14:paraId="771931EC" w14:textId="77777777" w:rsidR="00231497" w:rsidRDefault="00231497" w:rsidP="004748FA">
      <w:pPr>
        <w:pStyle w:val="FootnoteText"/>
        <w:ind w:left="142" w:hanging="142"/>
      </w:pPr>
      <w:r>
        <w:rPr>
          <w:rStyle w:val="FootnoteReference"/>
        </w:rPr>
        <w:footnoteRef/>
      </w:r>
      <w:r>
        <w:t xml:space="preserve"> </w:t>
      </w:r>
      <w:r w:rsidRPr="00CF3DA3">
        <w:t>Based on</w:t>
      </w:r>
      <w:r>
        <w:t xml:space="preserve"> the 2018-19 characteristics of these materials.</w:t>
      </w:r>
    </w:p>
  </w:footnote>
  <w:footnote w:id="15">
    <w:p w14:paraId="10DEF65F" w14:textId="579CA7BD" w:rsidR="001B5592" w:rsidRDefault="001B5592">
      <w:pPr>
        <w:pStyle w:val="FootnoteText"/>
      </w:pPr>
      <w:r>
        <w:rPr>
          <w:rStyle w:val="FootnoteReference"/>
        </w:rPr>
        <w:footnoteRef/>
      </w:r>
      <w:r>
        <w:t xml:space="preserve"> Previously 700100000</w:t>
      </w:r>
      <w:r w:rsidR="00BA0B57">
        <w:t>.</w:t>
      </w:r>
    </w:p>
  </w:footnote>
  <w:footnote w:id="16">
    <w:p w14:paraId="32BF25C5" w14:textId="45FFA277" w:rsidR="004751EB" w:rsidRDefault="004751EB" w:rsidP="00947696">
      <w:pPr>
        <w:pStyle w:val="FootnoteText"/>
        <w:ind w:left="142" w:hanging="142"/>
      </w:pPr>
      <w:r>
        <w:rPr>
          <w:rStyle w:val="FootnoteReference"/>
        </w:rPr>
        <w:footnoteRef/>
      </w:r>
      <w:r>
        <w:t xml:space="preserve"> </w:t>
      </w:r>
      <w:r w:rsidR="00947696">
        <w:t>R</w:t>
      </w:r>
      <w:r w:rsidR="00947696" w:rsidRPr="00947696">
        <w:t xml:space="preserve">eview of the export declaration reveals </w:t>
      </w:r>
      <w:r w:rsidR="00947696">
        <w:t xml:space="preserve">this </w:t>
      </w:r>
      <w:r w:rsidR="00947696" w:rsidRPr="00947696">
        <w:t xml:space="preserve">was actually </w:t>
      </w:r>
      <w:r w:rsidRPr="004751EB">
        <w:t xml:space="preserve">filtration material that should have been coded as </w:t>
      </w:r>
      <w:r w:rsidR="00947696" w:rsidRPr="004751EB">
        <w:t>70011002</w:t>
      </w:r>
      <w:r w:rsidR="00947696">
        <w:t xml:space="preserve"> </w:t>
      </w:r>
      <w:r w:rsidRPr="004751EB">
        <w:t>non-furnace-ready fines and/or cullet.</w:t>
      </w:r>
    </w:p>
  </w:footnote>
  <w:footnote w:id="17">
    <w:p w14:paraId="1C9D1369" w14:textId="77777777" w:rsidR="00231497" w:rsidRDefault="00231497" w:rsidP="004748FA">
      <w:pPr>
        <w:pStyle w:val="FootnoteText"/>
        <w:ind w:left="142" w:hanging="142"/>
      </w:pPr>
      <w:r>
        <w:rPr>
          <w:rStyle w:val="FootnoteReference"/>
        </w:rPr>
        <w:footnoteRef/>
      </w:r>
      <w:r>
        <w:t xml:space="preserve"> Comprises the proportion of material in AHECC code 47079000, but significant miscoding is apparent in the data.</w:t>
      </w:r>
    </w:p>
  </w:footnote>
  <w:footnote w:id="18">
    <w:p w14:paraId="50FE738B" w14:textId="77777777" w:rsidR="00231497" w:rsidRDefault="00231497" w:rsidP="004748FA">
      <w:pPr>
        <w:pStyle w:val="FootnoteText"/>
        <w:ind w:left="142" w:hanging="142"/>
      </w:pPr>
      <w:r>
        <w:rPr>
          <w:rStyle w:val="FootnoteReference"/>
        </w:rPr>
        <w:footnoteRef/>
      </w:r>
      <w:r>
        <w:t xml:space="preserve"> Assumes no material was sorted and processed to the extent that will be required for future export. </w:t>
      </w:r>
    </w:p>
  </w:footnote>
  <w:footnote w:id="19">
    <w:p w14:paraId="4CA37183" w14:textId="77777777" w:rsidR="00231497" w:rsidRDefault="00231497" w:rsidP="004748FA">
      <w:pPr>
        <w:pStyle w:val="FootnoteText"/>
        <w:ind w:left="142" w:hanging="142"/>
      </w:pPr>
      <w:r>
        <w:rPr>
          <w:rStyle w:val="FootnoteReference"/>
        </w:rPr>
        <w:footnoteRef/>
      </w:r>
      <w:r>
        <w:t xml:space="preserve"> Excludes fuels.</w:t>
      </w:r>
    </w:p>
  </w:footnote>
  <w:footnote w:id="20">
    <w:p w14:paraId="23BCEE55" w14:textId="58D7AF2D" w:rsidR="001977BA" w:rsidRDefault="001977BA">
      <w:pPr>
        <w:pStyle w:val="FootnoteText"/>
      </w:pPr>
      <w:r>
        <w:rPr>
          <w:rStyle w:val="FootnoteReference"/>
        </w:rPr>
        <w:footnoteRef/>
      </w:r>
      <w:r>
        <w:t xml:space="preserve"> AntaraNews (2021) </w:t>
      </w:r>
      <w:hyperlink r:id="rId4" w:history="1">
        <w:r w:rsidRPr="001977BA">
          <w:rPr>
            <w:rStyle w:val="Hyperlink"/>
            <w:sz w:val="18"/>
          </w:rPr>
          <w:t>Recycling industry processing just one-third of nation’s waste: govt.</w:t>
        </w:r>
      </w:hyperlink>
      <w:r>
        <w:t xml:space="preserve"> </w:t>
      </w:r>
    </w:p>
  </w:footnote>
  <w:footnote w:id="21">
    <w:p w14:paraId="735FD004" w14:textId="4C48168F" w:rsidR="00727132" w:rsidRDefault="00727132">
      <w:pPr>
        <w:pStyle w:val="FootnoteText"/>
      </w:pPr>
      <w:r>
        <w:rPr>
          <w:rStyle w:val="FootnoteReference"/>
        </w:rPr>
        <w:footnoteRef/>
      </w:r>
      <w:r>
        <w:t xml:space="preserve"> Ecological Alert and Recovery – Thailand (2021) </w:t>
      </w:r>
      <w:hyperlink r:id="rId5" w:history="1">
        <w:r w:rsidRPr="00727132">
          <w:rPr>
            <w:rStyle w:val="Hyperlink"/>
            <w:sz w:val="18"/>
          </w:rPr>
          <w:t>NGOs call for hazardous waste exports and ‘dirty recycling’ to end worldwide</w:t>
        </w:r>
      </w:hyperlink>
      <w:r w:rsidR="00B41978">
        <w:rPr>
          <w:rStyle w:val="Hyperlink"/>
          <w:sz w:val="18"/>
        </w:rPr>
        <w:t>.</w:t>
      </w:r>
    </w:p>
  </w:footnote>
  <w:footnote w:id="22">
    <w:p w14:paraId="6F7F745D" w14:textId="04965561" w:rsidR="00252E43" w:rsidRDefault="00252E43">
      <w:pPr>
        <w:pStyle w:val="FootnoteText"/>
      </w:pPr>
      <w:r>
        <w:rPr>
          <w:rStyle w:val="FootnoteReference"/>
        </w:rPr>
        <w:footnoteRef/>
      </w:r>
      <w:r>
        <w:t xml:space="preserve"> Recycling International (2021) </w:t>
      </w:r>
      <w:hyperlink r:id="rId6" w:history="1">
        <w:r w:rsidRPr="00252E43">
          <w:rPr>
            <w:rStyle w:val="Hyperlink"/>
            <w:sz w:val="18"/>
          </w:rPr>
          <w:t>Growing fears of global recycling infrastructure ‘collapse’</w:t>
        </w:r>
      </w:hyperlink>
      <w:r w:rsidR="00B41978">
        <w:rPr>
          <w:rStyle w:val="Hyperlink"/>
          <w:sz w:val="18"/>
        </w:rPr>
        <w:t>.</w:t>
      </w:r>
    </w:p>
  </w:footnote>
  <w:footnote w:id="23">
    <w:p w14:paraId="03BDC24C" w14:textId="16560D28" w:rsidR="00EA61D6" w:rsidRDefault="00EA61D6">
      <w:pPr>
        <w:pStyle w:val="FootnoteText"/>
      </w:pPr>
      <w:r>
        <w:rPr>
          <w:rStyle w:val="FootnoteReference"/>
        </w:rPr>
        <w:footnoteRef/>
      </w:r>
      <w:r>
        <w:t xml:space="preserve"> Global Recycling (2021) </w:t>
      </w:r>
      <w:hyperlink r:id="rId7" w:history="1">
        <w:r w:rsidRPr="00EA61D6">
          <w:rPr>
            <w:rStyle w:val="Hyperlink"/>
            <w:sz w:val="18"/>
          </w:rPr>
          <w:t>China: on the road to ‘zero-carbon’</w:t>
        </w:r>
      </w:hyperlink>
      <w:r w:rsidR="00B41978">
        <w:rPr>
          <w:rStyle w:val="Hyperlink"/>
          <w:sz w:val="18"/>
        </w:rPr>
        <w:t>.</w:t>
      </w:r>
    </w:p>
  </w:footnote>
  <w:footnote w:id="24">
    <w:p w14:paraId="6D2B3DB7" w14:textId="50401916" w:rsidR="00231497" w:rsidRDefault="00231497" w:rsidP="0096673F">
      <w:pPr>
        <w:pStyle w:val="FootnoteText"/>
      </w:pPr>
      <w:r>
        <w:rPr>
          <w:rStyle w:val="FootnoteReference"/>
        </w:rPr>
        <w:footnoteRef/>
      </w:r>
      <w:r>
        <w:t xml:space="preserve"> Minister of Trade, Minister of Environment and Forestry, Minister of Trade Industry and Head of State Policy, Republic of Indonesia (May 2020), </w:t>
      </w:r>
      <w:hyperlink r:id="rId8" w:history="1">
        <w:r w:rsidRPr="00394333">
          <w:rPr>
            <w:rStyle w:val="Hyperlink"/>
            <w:sz w:val="18"/>
          </w:rPr>
          <w:t>Implementation of import of non hazardous and toxic material waste as raw material industry</w:t>
        </w:r>
      </w:hyperlink>
      <w:r>
        <w:rPr>
          <w:rStyle w:val="Hyperlink"/>
          <w:sz w:val="18"/>
        </w:rPr>
        <w:t>.</w:t>
      </w:r>
    </w:p>
  </w:footnote>
  <w:footnote w:id="25">
    <w:p w14:paraId="1AA896A1" w14:textId="527BC19A" w:rsidR="00231497" w:rsidRDefault="00231497" w:rsidP="003A3BCA">
      <w:pPr>
        <w:pStyle w:val="FootnoteText"/>
      </w:pPr>
      <w:r>
        <w:rPr>
          <w:rStyle w:val="FootnoteReference"/>
        </w:rPr>
        <w:footnoteRef/>
      </w:r>
      <w:r>
        <w:t xml:space="preserve"> Business Today, (24 June 2019) </w:t>
      </w:r>
      <w:hyperlink r:id="rId9" w:history="1">
        <w:r w:rsidRPr="000D09E3">
          <w:rPr>
            <w:rStyle w:val="Hyperlink"/>
            <w:sz w:val="18"/>
          </w:rPr>
          <w:t>India bans import of plastic waste from August this year to curb pollution</w:t>
        </w:r>
      </w:hyperlink>
      <w:r>
        <w:rPr>
          <w:rStyle w:val="Hyperlink"/>
          <w:sz w:val="18"/>
        </w:rPr>
        <w:t>.</w:t>
      </w:r>
    </w:p>
  </w:footnote>
  <w:footnote w:id="26">
    <w:p w14:paraId="34FF2B8E" w14:textId="6AFF5ED9" w:rsidR="00231497" w:rsidRDefault="00231497" w:rsidP="003A3BCA">
      <w:pPr>
        <w:pStyle w:val="FootnoteText"/>
      </w:pPr>
      <w:r>
        <w:rPr>
          <w:rStyle w:val="FootnoteReference"/>
        </w:rPr>
        <w:footnoteRef/>
      </w:r>
      <w:r>
        <w:t xml:space="preserve"> Waste Dive, (15 January 2020), </w:t>
      </w:r>
      <w:hyperlink r:id="rId10" w:history="1">
        <w:r w:rsidRPr="00316997">
          <w:rPr>
            <w:rStyle w:val="Hyperlink"/>
            <w:sz w:val="18"/>
          </w:rPr>
          <w:t>India to enforce 1% contamination rate on paper imports, conduct random inspections</w:t>
        </w:r>
      </w:hyperlink>
      <w:r>
        <w:rPr>
          <w:rStyle w:val="Hyperlink"/>
          <w:sz w:val="18"/>
        </w:rPr>
        <w:t>.</w:t>
      </w:r>
    </w:p>
  </w:footnote>
  <w:footnote w:id="27">
    <w:p w14:paraId="176D2A58" w14:textId="7E4383BB" w:rsidR="00940BD6" w:rsidRDefault="00940BD6">
      <w:pPr>
        <w:pStyle w:val="FootnoteText"/>
      </w:pPr>
      <w:r>
        <w:rPr>
          <w:rStyle w:val="FootnoteReference"/>
        </w:rPr>
        <w:footnoteRef/>
      </w:r>
      <w:r>
        <w:t xml:space="preserve"> Bone C. (2021) </w:t>
      </w:r>
      <w:hyperlink r:id="rId11" w:history="1">
        <w:r w:rsidRPr="00940BD6">
          <w:rPr>
            <w:rStyle w:val="Hyperlink"/>
            <w:sz w:val="18"/>
          </w:rPr>
          <w:t>India mulls over self-sufficient future without imported scrap</w:t>
        </w:r>
      </w:hyperlink>
      <w:r w:rsidR="00B41978">
        <w:rPr>
          <w:rStyle w:val="Hyperlink"/>
          <w:sz w:val="18"/>
        </w:rPr>
        <w:t>.</w:t>
      </w:r>
    </w:p>
  </w:footnote>
  <w:footnote w:id="28">
    <w:p w14:paraId="147E9143" w14:textId="7F2192B8" w:rsidR="00B91CBA" w:rsidRDefault="00B91CBA" w:rsidP="00B14758">
      <w:pPr>
        <w:pStyle w:val="FootnoteText"/>
      </w:pPr>
      <w:r>
        <w:rPr>
          <w:rStyle w:val="FootnoteReference"/>
        </w:rPr>
        <w:footnoteRef/>
      </w:r>
      <w:r>
        <w:t xml:space="preserve"> Ministry of Commerce, Government of the People’s Republic of Bangladesh (2016) </w:t>
      </w:r>
      <w:hyperlink r:id="rId12" w:history="1">
        <w:r w:rsidRPr="00CC47FF">
          <w:rPr>
            <w:rStyle w:val="Hyperlink"/>
            <w:sz w:val="18"/>
          </w:rPr>
          <w:t>Import Policy Order 2015-2018</w:t>
        </w:r>
      </w:hyperlink>
      <w:r w:rsidR="00B41978">
        <w:rPr>
          <w:rStyle w:val="Hyperlink"/>
          <w:sz w:val="18"/>
        </w:rPr>
        <w:t>.</w:t>
      </w:r>
    </w:p>
  </w:footnote>
  <w:footnote w:id="29">
    <w:p w14:paraId="10BDDDE7" w14:textId="65E5C3E6" w:rsidR="00231497" w:rsidRDefault="00231497" w:rsidP="00050CA2">
      <w:pPr>
        <w:pStyle w:val="FootnoteText"/>
      </w:pPr>
      <w:r>
        <w:rPr>
          <w:rStyle w:val="FootnoteReference"/>
        </w:rPr>
        <w:footnoteRef/>
      </w:r>
      <w:r>
        <w:t xml:space="preserve"> Prime Minister of Vietnam (24 September 2020) </w:t>
      </w:r>
      <w:hyperlink r:id="rId13" w:history="1">
        <w:r w:rsidRPr="00C0176D">
          <w:rPr>
            <w:rStyle w:val="Hyperlink"/>
            <w:sz w:val="18"/>
          </w:rPr>
          <w:t>Promulgation of the list of waste permitted for import as production materials</w:t>
        </w:r>
      </w:hyperlink>
      <w:r>
        <w:t>.</w:t>
      </w:r>
      <w:r>
        <w:rPr>
          <w:u w:val="single"/>
        </w:rPr>
        <w:t xml:space="preserve"> </w:t>
      </w:r>
      <w:r w:rsidRPr="00970F49">
        <w:t>Unofficial translation</w:t>
      </w:r>
      <w:r>
        <w:t>.</w:t>
      </w:r>
    </w:p>
  </w:footnote>
  <w:footnote w:id="30">
    <w:p w14:paraId="66FE2A63" w14:textId="041D45A2" w:rsidR="00615A7C" w:rsidRDefault="00615A7C" w:rsidP="00615A7C">
      <w:pPr>
        <w:pStyle w:val="FootnoteText"/>
      </w:pPr>
      <w:r>
        <w:rPr>
          <w:rStyle w:val="FootnoteReference"/>
        </w:rPr>
        <w:footnoteRef/>
      </w:r>
      <w:r>
        <w:t xml:space="preserve"> </w:t>
      </w:r>
      <w:r w:rsidRPr="00F62C67">
        <w:t>Vietnam - National Technical Regulations on Wastes</w:t>
      </w:r>
      <w:r>
        <w:t xml:space="preserve"> (18 November 2019), </w:t>
      </w:r>
      <w:hyperlink r:id="rId14" w:history="1">
        <w:r w:rsidRPr="00B30D6F">
          <w:rPr>
            <w:rStyle w:val="Hyperlink"/>
            <w:sz w:val="18"/>
          </w:rPr>
          <w:t>https://www.cciclondon.com/portal/article/index/cat_id/35/id/286.html</w:t>
        </w:r>
      </w:hyperlink>
      <w:r w:rsidR="00B41978">
        <w:t>.</w:t>
      </w:r>
    </w:p>
  </w:footnote>
  <w:footnote w:id="31">
    <w:p w14:paraId="3FAD0463" w14:textId="77777777" w:rsidR="00615A7C" w:rsidRDefault="00615A7C" w:rsidP="00615A7C">
      <w:pPr>
        <w:pStyle w:val="FootnoteText"/>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15" w:history="1">
        <w:r w:rsidRPr="00105F0F">
          <w:rPr>
            <w:rStyle w:val="Hyperlink"/>
            <w:iCs/>
            <w:sz w:val="18"/>
          </w:rPr>
          <w:t>Vietnam to ban imports of plastic from used electronics</w:t>
        </w:r>
      </w:hyperlink>
      <w:r>
        <w:rPr>
          <w:rStyle w:val="Hyperlink"/>
          <w:iCs/>
          <w:sz w:val="18"/>
        </w:rPr>
        <w:t>.</w:t>
      </w:r>
      <w:r w:rsidRPr="003827FC">
        <w:rPr>
          <w:color w:val="4D4DB8" w:themeColor="accent1"/>
        </w:rPr>
        <w:t xml:space="preserve"> </w:t>
      </w:r>
    </w:p>
  </w:footnote>
  <w:footnote w:id="32">
    <w:p w14:paraId="6B8E1D6F" w14:textId="77777777" w:rsidR="00615A7C" w:rsidRPr="00105F0F" w:rsidRDefault="00615A7C" w:rsidP="00615A7C">
      <w:pPr>
        <w:pStyle w:val="FootnoteText"/>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16" w:history="1">
        <w:r w:rsidRPr="00105F0F">
          <w:rPr>
            <w:rStyle w:val="Hyperlink"/>
            <w:iCs/>
            <w:sz w:val="18"/>
          </w:rPr>
          <w:t>Vietnam’s Jan scrap imports plunge amid stricter government rules</w:t>
        </w:r>
      </w:hyperlink>
      <w:r>
        <w:rPr>
          <w:rStyle w:val="Hyperlink"/>
          <w:iCs/>
          <w:sz w:val="18"/>
        </w:rPr>
        <w:t>.</w:t>
      </w:r>
      <w:r w:rsidRPr="00105F0F">
        <w:rPr>
          <w:rStyle w:val="Hyperlink"/>
          <w:i w:val="0"/>
          <w:iCs/>
          <w:color w:val="auto"/>
          <w:sz w:val="18"/>
          <w:u w:val="none"/>
        </w:rPr>
        <w:t xml:space="preserve"> </w:t>
      </w:r>
    </w:p>
  </w:footnote>
  <w:footnote w:id="33">
    <w:p w14:paraId="51E97B98" w14:textId="7204F8F8" w:rsidR="008E3D42" w:rsidRDefault="008E3D42">
      <w:pPr>
        <w:pStyle w:val="FootnoteText"/>
      </w:pPr>
      <w:r>
        <w:rPr>
          <w:rStyle w:val="FootnoteReference"/>
        </w:rPr>
        <w:footnoteRef/>
      </w:r>
      <w:r>
        <w:t xml:space="preserve"> </w:t>
      </w:r>
      <w:r w:rsidRPr="008E3D42">
        <w:t xml:space="preserve">Reuters (2021) Malaysia permits import of US plastic waste shipment after it passes new UN treaty test </w:t>
      </w:r>
      <w:hyperlink r:id="rId17" w:history="1">
        <w:r w:rsidRPr="008E3D42">
          <w:rPr>
            <w:rStyle w:val="Hyperlink"/>
            <w:sz w:val="18"/>
          </w:rPr>
          <w:t>https://www.reuters.com/article/us-malaysia-environment-plastic-idUSKBN2BG0ZL</w:t>
        </w:r>
      </w:hyperlink>
      <w:r w:rsidR="00B41978">
        <w:rPr>
          <w:rStyle w:val="Hyperlink"/>
          <w:sz w:val="18"/>
        </w:rPr>
        <w:t>.</w:t>
      </w:r>
    </w:p>
  </w:footnote>
  <w:footnote w:id="34">
    <w:p w14:paraId="2BA5FF42" w14:textId="11BA16D7" w:rsidR="00B54026" w:rsidRDefault="00B54026" w:rsidP="00B54026">
      <w:pPr>
        <w:pStyle w:val="FootnoteText"/>
      </w:pPr>
      <w:r>
        <w:rPr>
          <w:rStyle w:val="FootnoteReference"/>
        </w:rPr>
        <w:footnoteRef/>
      </w:r>
      <w:r>
        <w:t xml:space="preserve"> The Sun Daily (2 February 2021) </w:t>
      </w:r>
      <w:hyperlink r:id="rId18" w:history="1">
        <w:r w:rsidRPr="0051314E">
          <w:rPr>
            <w:rStyle w:val="Hyperlink"/>
            <w:sz w:val="18"/>
          </w:rPr>
          <w:t>Waste not want not: Malaysia moves to become a leader in tackling plastic waste</w:t>
        </w:r>
      </w:hyperlink>
      <w:r>
        <w:rPr>
          <w:rStyle w:val="Hyperlink"/>
          <w:sz w:val="18"/>
        </w:rPr>
        <w:t>.</w:t>
      </w:r>
    </w:p>
  </w:footnote>
  <w:footnote w:id="35">
    <w:p w14:paraId="68D5DF9E" w14:textId="698958AB" w:rsidR="00123283" w:rsidRDefault="00123283">
      <w:pPr>
        <w:pStyle w:val="FootnoteText"/>
      </w:pPr>
      <w:r>
        <w:rPr>
          <w:rStyle w:val="FootnoteReference"/>
        </w:rPr>
        <w:footnoteRef/>
      </w:r>
      <w:r>
        <w:t xml:space="preserve"> Majumder R (June 2021) </w:t>
      </w:r>
      <w:r>
        <w:rPr>
          <w:i/>
          <w:iCs/>
        </w:rPr>
        <w:t>Malaysia’s import restrictions on metal scrap may lose out recycling investments.</w:t>
      </w:r>
    </w:p>
  </w:footnote>
  <w:footnote w:id="36">
    <w:p w14:paraId="29EE2BCD" w14:textId="77777777" w:rsidR="00231497" w:rsidRDefault="00231497" w:rsidP="000C31BB">
      <w:pPr>
        <w:pStyle w:val="FootnoteText"/>
      </w:pPr>
      <w:r>
        <w:rPr>
          <w:rStyle w:val="FootnoteReference"/>
        </w:rPr>
        <w:footnoteRef/>
      </w:r>
      <w:r>
        <w:t xml:space="preserve"> Ministry of Ecology and Environment, People’s Republic of China (25 November 2020) </w:t>
      </w:r>
      <w:hyperlink r:id="rId19" w:history="1">
        <w:r w:rsidRPr="00040801">
          <w:rPr>
            <w:rStyle w:val="Hyperlink"/>
            <w:sz w:val="18"/>
          </w:rPr>
          <w:t>MEE Announcement No. 53 2020</w:t>
        </w:r>
      </w:hyperlink>
      <w:r>
        <w:t xml:space="preserve"> (unofficial translation by Institute of Scrap Recycling Industries. </w:t>
      </w:r>
    </w:p>
  </w:footnote>
  <w:footnote w:id="37">
    <w:p w14:paraId="6C77EFB2" w14:textId="5FBAC7C0" w:rsidR="00231497" w:rsidRDefault="00231497" w:rsidP="00050CA2">
      <w:pPr>
        <w:pStyle w:val="FootnoteText"/>
      </w:pPr>
      <w:r>
        <w:rPr>
          <w:rStyle w:val="FootnoteReference"/>
        </w:rPr>
        <w:footnoteRef/>
      </w:r>
      <w:r>
        <w:t xml:space="preserve"> REB market intelligence (25 January 2021) </w:t>
      </w:r>
      <w:hyperlink r:id="rId20" w:history="1">
        <w:r w:rsidRPr="006E0361">
          <w:rPr>
            <w:rStyle w:val="Hyperlink"/>
            <w:sz w:val="18"/>
          </w:rPr>
          <w:t>Thailand considering plastic import ban from 1</w:t>
        </w:r>
        <w:r w:rsidRPr="006E0361">
          <w:rPr>
            <w:rStyle w:val="Hyperlink"/>
            <w:sz w:val="18"/>
            <w:vertAlign w:val="superscript"/>
          </w:rPr>
          <w:t>st</w:t>
        </w:r>
        <w:r w:rsidRPr="006E0361">
          <w:rPr>
            <w:rStyle w:val="Hyperlink"/>
            <w:sz w:val="18"/>
          </w:rPr>
          <w:t xml:space="preserve"> January 202</w:t>
        </w:r>
        <w:r>
          <w:rPr>
            <w:rStyle w:val="Hyperlink"/>
            <w:sz w:val="18"/>
          </w:rPr>
          <w:t>2</w:t>
        </w:r>
      </w:hyperlink>
      <w:r>
        <w:rPr>
          <w:rStyle w:val="Hyperlink"/>
          <w:sz w:val="18"/>
        </w:rPr>
        <w:t>.</w:t>
      </w:r>
    </w:p>
  </w:footnote>
  <w:footnote w:id="38">
    <w:p w14:paraId="50337BE5" w14:textId="204D5753" w:rsidR="00231497" w:rsidRDefault="00231497" w:rsidP="00050CA2">
      <w:pPr>
        <w:pStyle w:val="FootnoteText"/>
      </w:pPr>
      <w:r>
        <w:rPr>
          <w:rStyle w:val="FootnoteReference"/>
        </w:rPr>
        <w:footnoteRef/>
      </w:r>
      <w:r>
        <w:t xml:space="preserve"> Saengmanee (2020) </w:t>
      </w:r>
      <w:hyperlink r:id="rId21" w:history="1">
        <w:r w:rsidRPr="00870575">
          <w:rPr>
            <w:rStyle w:val="Hyperlink"/>
            <w:sz w:val="18"/>
          </w:rPr>
          <w:t>The year nature bounced back</w:t>
        </w:r>
      </w:hyperlink>
      <w:r>
        <w:rPr>
          <w:rStyle w:val="Hyperlink"/>
          <w:sz w:val="18"/>
        </w:rPr>
        <w:t>.</w:t>
      </w:r>
    </w:p>
  </w:footnote>
  <w:footnote w:id="39">
    <w:p w14:paraId="450AB4C3" w14:textId="521BBD47" w:rsidR="00231497" w:rsidRPr="00105F0F" w:rsidRDefault="00231497" w:rsidP="000C31BB">
      <w:pPr>
        <w:pStyle w:val="FootnoteText"/>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22" w:history="1">
        <w:r w:rsidRPr="0020021B">
          <w:rPr>
            <w:rStyle w:val="Hyperlink"/>
            <w:sz w:val="18"/>
          </w:rPr>
          <w:t>New waste plastic, paper import rules to take effect</w:t>
        </w:r>
      </w:hyperlink>
      <w:r>
        <w:rPr>
          <w:rStyle w:val="Hyperlink"/>
          <w:sz w:val="18"/>
        </w:rPr>
        <w:t>.</w:t>
      </w:r>
    </w:p>
  </w:footnote>
  <w:footnote w:id="40">
    <w:p w14:paraId="1BD3D432" w14:textId="33781A76" w:rsidR="00231497" w:rsidRDefault="00231497" w:rsidP="00612AD8">
      <w:pPr>
        <w:pStyle w:val="FootnoteText"/>
      </w:pPr>
      <w:r>
        <w:rPr>
          <w:rStyle w:val="FootnoteReference"/>
        </w:rPr>
        <w:footnoteRef/>
      </w:r>
      <w:r>
        <w:t xml:space="preserve"> Business Korea (7 January 2021) </w:t>
      </w:r>
      <w:hyperlink r:id="rId23" w:history="1">
        <w:r w:rsidRPr="004E7516">
          <w:rPr>
            <w:rStyle w:val="Hyperlink"/>
            <w:sz w:val="18"/>
          </w:rPr>
          <w:t>Waste import ban roadmaps to come out soon</w:t>
        </w:r>
      </w:hyperlink>
      <w:r>
        <w:rPr>
          <w:rStyle w:val="Hyperlink"/>
          <w:sz w:val="18"/>
        </w:rPr>
        <w:t>.</w:t>
      </w:r>
    </w:p>
  </w:footnote>
  <w:footnote w:id="41">
    <w:p w14:paraId="28804A52" w14:textId="76867397" w:rsidR="00231497" w:rsidRDefault="00231497" w:rsidP="00612AD8">
      <w:pPr>
        <w:pStyle w:val="FootnoteText"/>
      </w:pPr>
      <w:r>
        <w:rPr>
          <w:rStyle w:val="FootnoteReference"/>
        </w:rPr>
        <w:footnoteRef/>
      </w:r>
      <w:r>
        <w:t xml:space="preserve"> Inquirer.net (10 January 2021) </w:t>
      </w:r>
      <w:hyperlink r:id="rId24" w:history="1">
        <w:r w:rsidRPr="001C566D">
          <w:rPr>
            <w:rStyle w:val="Hyperlink"/>
            <w:sz w:val="18"/>
          </w:rPr>
          <w:t>S. Korea to phase out industrial waste imports</w:t>
        </w:r>
      </w:hyperlink>
      <w:r>
        <w:rPr>
          <w:rStyle w:val="Hyperlink"/>
          <w:sz w:val="18"/>
        </w:rPr>
        <w:t>.</w:t>
      </w:r>
    </w:p>
  </w:footnote>
  <w:footnote w:id="42">
    <w:p w14:paraId="5CB0028E" w14:textId="0CFB1919" w:rsidR="00231497" w:rsidRDefault="00231497" w:rsidP="00612AD8">
      <w:pPr>
        <w:pStyle w:val="FootnoteText"/>
      </w:pPr>
      <w:r>
        <w:rPr>
          <w:rStyle w:val="FootnoteReference"/>
        </w:rPr>
        <w:footnoteRef/>
      </w:r>
      <w:r>
        <w:t xml:space="preserve"> The Korea Times (2020) </w:t>
      </w:r>
      <w:hyperlink r:id="rId25" w:history="1">
        <w:r w:rsidRPr="00496C7A">
          <w:rPr>
            <w:rStyle w:val="Hyperlink"/>
            <w:sz w:val="18"/>
          </w:rPr>
          <w:t>Plastic waste imports banned in Korea amid mounting local trash</w:t>
        </w:r>
      </w:hyperlink>
      <w:r>
        <w:rPr>
          <w:rStyle w:val="Hyperlink"/>
          <w:sz w:val="18"/>
        </w:rPr>
        <w:t>.</w:t>
      </w:r>
    </w:p>
  </w:footnote>
  <w:footnote w:id="43">
    <w:p w14:paraId="67D0364F" w14:textId="17FE9280" w:rsidR="00231497" w:rsidRDefault="00231497" w:rsidP="00612AD8">
      <w:pPr>
        <w:pStyle w:val="FootnoteText"/>
      </w:pPr>
      <w:r>
        <w:rPr>
          <w:rStyle w:val="FootnoteReference"/>
        </w:rPr>
        <w:footnoteRef/>
      </w:r>
      <w:r>
        <w:t xml:space="preserve"> Pakistan Government Ministry of Commerce (2020) </w:t>
      </w:r>
      <w:hyperlink r:id="rId26" w:history="1">
        <w:r w:rsidRPr="00370257">
          <w:rPr>
            <w:rStyle w:val="Hyperlink"/>
            <w:sz w:val="18"/>
          </w:rPr>
          <w:t>Import Policy Order 2020</w:t>
        </w:r>
      </w:hyperlink>
      <w:r>
        <w:rPr>
          <w:rStyle w:val="Hyperlink"/>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DC01" w14:textId="33ECAE69" w:rsidR="00231497" w:rsidRDefault="00231497" w:rsidP="00F255F5">
    <w:pPr>
      <w:pStyle w:val="Header"/>
      <w:jc w:val="right"/>
    </w:pPr>
    <w:r>
      <w:rPr>
        <w:noProof/>
        <w:lang w:eastAsia="en-AU"/>
      </w:rPr>
      <w:drawing>
        <wp:inline distT="0" distB="0" distL="0" distR="0" wp14:anchorId="501D369F" wp14:editId="0BC5527F">
          <wp:extent cx="1692000" cy="291600"/>
          <wp:effectExtent l="0" t="0" r="3810" b="0"/>
          <wp:docPr id="19" name="Picture 19"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766308"/>
    <w:multiLevelType w:val="hybridMultilevel"/>
    <w:tmpl w:val="43B261D6"/>
    <w:lvl w:ilvl="0" w:tplc="0A247650">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16"/>
  </w:num>
  <w:num w:numId="14">
    <w:abstractNumId w:val="22"/>
  </w:num>
  <w:num w:numId="15">
    <w:abstractNumId w:val="22"/>
    <w:lvlOverride w:ilvl="0">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15"/>
  </w:num>
  <w:num w:numId="21">
    <w:abstractNumId w:val="10"/>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1"/>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0E"/>
    <w:rsid w:val="000000F4"/>
    <w:rsid w:val="000023DB"/>
    <w:rsid w:val="00006858"/>
    <w:rsid w:val="00007F34"/>
    <w:rsid w:val="000107D9"/>
    <w:rsid w:val="00011850"/>
    <w:rsid w:val="00013771"/>
    <w:rsid w:val="00014326"/>
    <w:rsid w:val="00014661"/>
    <w:rsid w:val="00014D20"/>
    <w:rsid w:val="00015680"/>
    <w:rsid w:val="0001690F"/>
    <w:rsid w:val="00016958"/>
    <w:rsid w:val="00017CE2"/>
    <w:rsid w:val="00017EA4"/>
    <w:rsid w:val="000200AA"/>
    <w:rsid w:val="0002458A"/>
    <w:rsid w:val="000277E7"/>
    <w:rsid w:val="00027BF6"/>
    <w:rsid w:val="00030646"/>
    <w:rsid w:val="000314C2"/>
    <w:rsid w:val="00031E18"/>
    <w:rsid w:val="00031E46"/>
    <w:rsid w:val="00032289"/>
    <w:rsid w:val="000333E3"/>
    <w:rsid w:val="00033750"/>
    <w:rsid w:val="00034E04"/>
    <w:rsid w:val="00034E49"/>
    <w:rsid w:val="0004034D"/>
    <w:rsid w:val="00040801"/>
    <w:rsid w:val="00040D3F"/>
    <w:rsid w:val="00042878"/>
    <w:rsid w:val="00042C79"/>
    <w:rsid w:val="00043469"/>
    <w:rsid w:val="00043891"/>
    <w:rsid w:val="00043904"/>
    <w:rsid w:val="00047756"/>
    <w:rsid w:val="00050375"/>
    <w:rsid w:val="00050CA2"/>
    <w:rsid w:val="00050D40"/>
    <w:rsid w:val="00050E29"/>
    <w:rsid w:val="00051040"/>
    <w:rsid w:val="00051315"/>
    <w:rsid w:val="000519A7"/>
    <w:rsid w:val="00051B6E"/>
    <w:rsid w:val="000522BD"/>
    <w:rsid w:val="000525E3"/>
    <w:rsid w:val="00054513"/>
    <w:rsid w:val="000548F7"/>
    <w:rsid w:val="00055860"/>
    <w:rsid w:val="00055F20"/>
    <w:rsid w:val="00057461"/>
    <w:rsid w:val="000606D8"/>
    <w:rsid w:val="0006188C"/>
    <w:rsid w:val="00061FD4"/>
    <w:rsid w:val="0006462D"/>
    <w:rsid w:val="000649A6"/>
    <w:rsid w:val="000652A8"/>
    <w:rsid w:val="00065F58"/>
    <w:rsid w:val="00066339"/>
    <w:rsid w:val="00070B32"/>
    <w:rsid w:val="00072030"/>
    <w:rsid w:val="000741BE"/>
    <w:rsid w:val="000774B8"/>
    <w:rsid w:val="000776D1"/>
    <w:rsid w:val="00077859"/>
    <w:rsid w:val="0008116C"/>
    <w:rsid w:val="00081A6E"/>
    <w:rsid w:val="000839C7"/>
    <w:rsid w:val="00084A37"/>
    <w:rsid w:val="00084A66"/>
    <w:rsid w:val="00084FDB"/>
    <w:rsid w:val="00085DEB"/>
    <w:rsid w:val="000861EA"/>
    <w:rsid w:val="00087207"/>
    <w:rsid w:val="00087A1E"/>
    <w:rsid w:val="00091AC7"/>
    <w:rsid w:val="000934A9"/>
    <w:rsid w:val="000946CC"/>
    <w:rsid w:val="0009521E"/>
    <w:rsid w:val="00096145"/>
    <w:rsid w:val="0009631E"/>
    <w:rsid w:val="000977B0"/>
    <w:rsid w:val="00097C23"/>
    <w:rsid w:val="000A1226"/>
    <w:rsid w:val="000A2ACE"/>
    <w:rsid w:val="000A4807"/>
    <w:rsid w:val="000A4F09"/>
    <w:rsid w:val="000A699D"/>
    <w:rsid w:val="000A6DC0"/>
    <w:rsid w:val="000A7042"/>
    <w:rsid w:val="000A7BB4"/>
    <w:rsid w:val="000B081B"/>
    <w:rsid w:val="000B08A0"/>
    <w:rsid w:val="000B1B45"/>
    <w:rsid w:val="000B279D"/>
    <w:rsid w:val="000B2A07"/>
    <w:rsid w:val="000B4AF3"/>
    <w:rsid w:val="000B6877"/>
    <w:rsid w:val="000B70E6"/>
    <w:rsid w:val="000C10AF"/>
    <w:rsid w:val="000C13BE"/>
    <w:rsid w:val="000C150C"/>
    <w:rsid w:val="000C2908"/>
    <w:rsid w:val="000C2E15"/>
    <w:rsid w:val="000C31BB"/>
    <w:rsid w:val="000C3A11"/>
    <w:rsid w:val="000C3D48"/>
    <w:rsid w:val="000D09E3"/>
    <w:rsid w:val="000D1DD0"/>
    <w:rsid w:val="000D318A"/>
    <w:rsid w:val="000D59D5"/>
    <w:rsid w:val="000D5C62"/>
    <w:rsid w:val="000D7BAE"/>
    <w:rsid w:val="000E05A0"/>
    <w:rsid w:val="000E0DCE"/>
    <w:rsid w:val="000E12DA"/>
    <w:rsid w:val="000E25E2"/>
    <w:rsid w:val="000E33C6"/>
    <w:rsid w:val="000E3D6F"/>
    <w:rsid w:val="000E3E5E"/>
    <w:rsid w:val="000E3ECE"/>
    <w:rsid w:val="000E3FDC"/>
    <w:rsid w:val="000E4807"/>
    <w:rsid w:val="000E58CE"/>
    <w:rsid w:val="000E66E1"/>
    <w:rsid w:val="000E701C"/>
    <w:rsid w:val="000E73E5"/>
    <w:rsid w:val="000E7A91"/>
    <w:rsid w:val="000F0866"/>
    <w:rsid w:val="000F08A6"/>
    <w:rsid w:val="000F0D44"/>
    <w:rsid w:val="000F0E2A"/>
    <w:rsid w:val="000F2EF2"/>
    <w:rsid w:val="000F315D"/>
    <w:rsid w:val="000F3C58"/>
    <w:rsid w:val="000F41D1"/>
    <w:rsid w:val="000F5668"/>
    <w:rsid w:val="000F5E99"/>
    <w:rsid w:val="000F730D"/>
    <w:rsid w:val="000F7B61"/>
    <w:rsid w:val="001002B9"/>
    <w:rsid w:val="00102B40"/>
    <w:rsid w:val="00103FF1"/>
    <w:rsid w:val="00104E96"/>
    <w:rsid w:val="0010581B"/>
    <w:rsid w:val="00105927"/>
    <w:rsid w:val="00105F0F"/>
    <w:rsid w:val="00106FFD"/>
    <w:rsid w:val="00110011"/>
    <w:rsid w:val="00110651"/>
    <w:rsid w:val="001136A4"/>
    <w:rsid w:val="00114FE4"/>
    <w:rsid w:val="00115E81"/>
    <w:rsid w:val="00116168"/>
    <w:rsid w:val="00116EF5"/>
    <w:rsid w:val="00117663"/>
    <w:rsid w:val="0011783B"/>
    <w:rsid w:val="00117FDB"/>
    <w:rsid w:val="001210EF"/>
    <w:rsid w:val="00121B6C"/>
    <w:rsid w:val="00122A4F"/>
    <w:rsid w:val="00122C59"/>
    <w:rsid w:val="00122F97"/>
    <w:rsid w:val="001231DB"/>
    <w:rsid w:val="00123283"/>
    <w:rsid w:val="00123654"/>
    <w:rsid w:val="001245CB"/>
    <w:rsid w:val="00131654"/>
    <w:rsid w:val="00132EE2"/>
    <w:rsid w:val="00133D29"/>
    <w:rsid w:val="001366C5"/>
    <w:rsid w:val="00136829"/>
    <w:rsid w:val="00136CCB"/>
    <w:rsid w:val="001375D7"/>
    <w:rsid w:val="00137604"/>
    <w:rsid w:val="00140160"/>
    <w:rsid w:val="001431F2"/>
    <w:rsid w:val="00143570"/>
    <w:rsid w:val="00143698"/>
    <w:rsid w:val="00143A4E"/>
    <w:rsid w:val="00144EAA"/>
    <w:rsid w:val="001469F7"/>
    <w:rsid w:val="00147692"/>
    <w:rsid w:val="001535C3"/>
    <w:rsid w:val="00153630"/>
    <w:rsid w:val="00153E95"/>
    <w:rsid w:val="0015519B"/>
    <w:rsid w:val="001553AE"/>
    <w:rsid w:val="00157C85"/>
    <w:rsid w:val="00160076"/>
    <w:rsid w:val="0016119B"/>
    <w:rsid w:val="00161A63"/>
    <w:rsid w:val="00163D4C"/>
    <w:rsid w:val="00165144"/>
    <w:rsid w:val="001655EB"/>
    <w:rsid w:val="001656C3"/>
    <w:rsid w:val="00166F3F"/>
    <w:rsid w:val="00170211"/>
    <w:rsid w:val="00172B6E"/>
    <w:rsid w:val="00175583"/>
    <w:rsid w:val="0017623C"/>
    <w:rsid w:val="00176834"/>
    <w:rsid w:val="00176D89"/>
    <w:rsid w:val="00177B4E"/>
    <w:rsid w:val="00180DCB"/>
    <w:rsid w:val="00180FF6"/>
    <w:rsid w:val="0018220D"/>
    <w:rsid w:val="00187D8E"/>
    <w:rsid w:val="00190012"/>
    <w:rsid w:val="00190EC0"/>
    <w:rsid w:val="0019139B"/>
    <w:rsid w:val="001918C8"/>
    <w:rsid w:val="00191D6A"/>
    <w:rsid w:val="00192537"/>
    <w:rsid w:val="00192A5F"/>
    <w:rsid w:val="00192FBE"/>
    <w:rsid w:val="001942C6"/>
    <w:rsid w:val="00194C0F"/>
    <w:rsid w:val="0019506F"/>
    <w:rsid w:val="0019594A"/>
    <w:rsid w:val="00195DA1"/>
    <w:rsid w:val="001963F3"/>
    <w:rsid w:val="001970F8"/>
    <w:rsid w:val="001971DA"/>
    <w:rsid w:val="00197629"/>
    <w:rsid w:val="001977BA"/>
    <w:rsid w:val="001A1A84"/>
    <w:rsid w:val="001A1AAA"/>
    <w:rsid w:val="001A2FCD"/>
    <w:rsid w:val="001A38D7"/>
    <w:rsid w:val="001A3DBD"/>
    <w:rsid w:val="001A4A54"/>
    <w:rsid w:val="001A4FA1"/>
    <w:rsid w:val="001A5071"/>
    <w:rsid w:val="001A57A1"/>
    <w:rsid w:val="001A58FE"/>
    <w:rsid w:val="001A6A49"/>
    <w:rsid w:val="001A7B61"/>
    <w:rsid w:val="001B0612"/>
    <w:rsid w:val="001B208E"/>
    <w:rsid w:val="001B3558"/>
    <w:rsid w:val="001B3845"/>
    <w:rsid w:val="001B389F"/>
    <w:rsid w:val="001B40C7"/>
    <w:rsid w:val="001B4275"/>
    <w:rsid w:val="001B5592"/>
    <w:rsid w:val="001B7EA7"/>
    <w:rsid w:val="001C0F90"/>
    <w:rsid w:val="001C1171"/>
    <w:rsid w:val="001C2471"/>
    <w:rsid w:val="001C36FC"/>
    <w:rsid w:val="001C3828"/>
    <w:rsid w:val="001C39D1"/>
    <w:rsid w:val="001C4FE6"/>
    <w:rsid w:val="001C6127"/>
    <w:rsid w:val="001C683F"/>
    <w:rsid w:val="001C6967"/>
    <w:rsid w:val="001D0455"/>
    <w:rsid w:val="001D0670"/>
    <w:rsid w:val="001D33DB"/>
    <w:rsid w:val="001D40D7"/>
    <w:rsid w:val="001D4217"/>
    <w:rsid w:val="001D6436"/>
    <w:rsid w:val="001E0118"/>
    <w:rsid w:val="001E0B3F"/>
    <w:rsid w:val="001E2C16"/>
    <w:rsid w:val="001E3405"/>
    <w:rsid w:val="001E554E"/>
    <w:rsid w:val="001E5EF1"/>
    <w:rsid w:val="001E68E7"/>
    <w:rsid w:val="001E6B7B"/>
    <w:rsid w:val="001F036C"/>
    <w:rsid w:val="001F0D42"/>
    <w:rsid w:val="001F137E"/>
    <w:rsid w:val="001F17C8"/>
    <w:rsid w:val="001F1F2C"/>
    <w:rsid w:val="001F4E6D"/>
    <w:rsid w:val="001F6713"/>
    <w:rsid w:val="001F7B08"/>
    <w:rsid w:val="00200153"/>
    <w:rsid w:val="0020021B"/>
    <w:rsid w:val="0020189E"/>
    <w:rsid w:val="002018D5"/>
    <w:rsid w:val="00201F87"/>
    <w:rsid w:val="00202222"/>
    <w:rsid w:val="002045AC"/>
    <w:rsid w:val="00207543"/>
    <w:rsid w:val="0021020D"/>
    <w:rsid w:val="00211194"/>
    <w:rsid w:val="00213BD8"/>
    <w:rsid w:val="00215B3A"/>
    <w:rsid w:val="0021661E"/>
    <w:rsid w:val="0021783B"/>
    <w:rsid w:val="00217DFA"/>
    <w:rsid w:val="00220666"/>
    <w:rsid w:val="002216DF"/>
    <w:rsid w:val="00222291"/>
    <w:rsid w:val="002225CD"/>
    <w:rsid w:val="0022408C"/>
    <w:rsid w:val="0022523F"/>
    <w:rsid w:val="00225C83"/>
    <w:rsid w:val="002264E8"/>
    <w:rsid w:val="00231497"/>
    <w:rsid w:val="00231550"/>
    <w:rsid w:val="0023197E"/>
    <w:rsid w:val="00231FF3"/>
    <w:rsid w:val="0023312D"/>
    <w:rsid w:val="00236E59"/>
    <w:rsid w:val="00237787"/>
    <w:rsid w:val="00240BAE"/>
    <w:rsid w:val="00242C91"/>
    <w:rsid w:val="002434AE"/>
    <w:rsid w:val="00244349"/>
    <w:rsid w:val="002449B8"/>
    <w:rsid w:val="00244D2C"/>
    <w:rsid w:val="00246162"/>
    <w:rsid w:val="002466FB"/>
    <w:rsid w:val="00246FFF"/>
    <w:rsid w:val="00247DB2"/>
    <w:rsid w:val="0025002B"/>
    <w:rsid w:val="00250458"/>
    <w:rsid w:val="00250D19"/>
    <w:rsid w:val="00251931"/>
    <w:rsid w:val="00252E43"/>
    <w:rsid w:val="00253E7C"/>
    <w:rsid w:val="00254A4D"/>
    <w:rsid w:val="00255077"/>
    <w:rsid w:val="00255205"/>
    <w:rsid w:val="00255BA6"/>
    <w:rsid w:val="002563F5"/>
    <w:rsid w:val="00256665"/>
    <w:rsid w:val="00257838"/>
    <w:rsid w:val="002611E3"/>
    <w:rsid w:val="002615D4"/>
    <w:rsid w:val="00261FD6"/>
    <w:rsid w:val="00262898"/>
    <w:rsid w:val="00262C2C"/>
    <w:rsid w:val="0026379A"/>
    <w:rsid w:val="002640DC"/>
    <w:rsid w:val="00264EAA"/>
    <w:rsid w:val="00265249"/>
    <w:rsid w:val="00265675"/>
    <w:rsid w:val="00266224"/>
    <w:rsid w:val="00266398"/>
    <w:rsid w:val="0026664B"/>
    <w:rsid w:val="0026691B"/>
    <w:rsid w:val="00266D4C"/>
    <w:rsid w:val="002671B4"/>
    <w:rsid w:val="00267775"/>
    <w:rsid w:val="00267D5A"/>
    <w:rsid w:val="0027261E"/>
    <w:rsid w:val="00273BFA"/>
    <w:rsid w:val="0027528C"/>
    <w:rsid w:val="00276674"/>
    <w:rsid w:val="00276C0F"/>
    <w:rsid w:val="00277E9A"/>
    <w:rsid w:val="0028017F"/>
    <w:rsid w:val="002808F6"/>
    <w:rsid w:val="0028283A"/>
    <w:rsid w:val="0028399E"/>
    <w:rsid w:val="00283CD1"/>
    <w:rsid w:val="00284DFB"/>
    <w:rsid w:val="00287F93"/>
    <w:rsid w:val="00290209"/>
    <w:rsid w:val="00291EB8"/>
    <w:rsid w:val="0029322D"/>
    <w:rsid w:val="00293321"/>
    <w:rsid w:val="00294368"/>
    <w:rsid w:val="002956B7"/>
    <w:rsid w:val="00295F56"/>
    <w:rsid w:val="00296B46"/>
    <w:rsid w:val="00297755"/>
    <w:rsid w:val="002A04C7"/>
    <w:rsid w:val="002A091D"/>
    <w:rsid w:val="002A1FC6"/>
    <w:rsid w:val="002A3EEE"/>
    <w:rsid w:val="002A4789"/>
    <w:rsid w:val="002A4B1D"/>
    <w:rsid w:val="002A6BD6"/>
    <w:rsid w:val="002A7D62"/>
    <w:rsid w:val="002A7FC6"/>
    <w:rsid w:val="002B07E7"/>
    <w:rsid w:val="002B0A12"/>
    <w:rsid w:val="002B0A1C"/>
    <w:rsid w:val="002B0A4D"/>
    <w:rsid w:val="002B0B3E"/>
    <w:rsid w:val="002B1919"/>
    <w:rsid w:val="002B1C11"/>
    <w:rsid w:val="002B284B"/>
    <w:rsid w:val="002B3841"/>
    <w:rsid w:val="002B4FA7"/>
    <w:rsid w:val="002B5D38"/>
    <w:rsid w:val="002B6855"/>
    <w:rsid w:val="002B7738"/>
    <w:rsid w:val="002C0342"/>
    <w:rsid w:val="002C0B7A"/>
    <w:rsid w:val="002C1FCE"/>
    <w:rsid w:val="002C6513"/>
    <w:rsid w:val="002C74EA"/>
    <w:rsid w:val="002C7FCC"/>
    <w:rsid w:val="002D0BFE"/>
    <w:rsid w:val="002D2B02"/>
    <w:rsid w:val="002D3048"/>
    <w:rsid w:val="002D506D"/>
    <w:rsid w:val="002D5CF7"/>
    <w:rsid w:val="002D5EC9"/>
    <w:rsid w:val="002D7EAE"/>
    <w:rsid w:val="002E0503"/>
    <w:rsid w:val="002E0839"/>
    <w:rsid w:val="002E0A12"/>
    <w:rsid w:val="002E19D0"/>
    <w:rsid w:val="002E3BAB"/>
    <w:rsid w:val="002E413D"/>
    <w:rsid w:val="002E44F5"/>
    <w:rsid w:val="002E4B31"/>
    <w:rsid w:val="002E5092"/>
    <w:rsid w:val="002E50A2"/>
    <w:rsid w:val="002E646C"/>
    <w:rsid w:val="002E73CE"/>
    <w:rsid w:val="002E7933"/>
    <w:rsid w:val="002F026E"/>
    <w:rsid w:val="002F0A4E"/>
    <w:rsid w:val="002F21C0"/>
    <w:rsid w:val="002F2F10"/>
    <w:rsid w:val="002F63DB"/>
    <w:rsid w:val="002F64AC"/>
    <w:rsid w:val="002F6591"/>
    <w:rsid w:val="002F673E"/>
    <w:rsid w:val="002F6881"/>
    <w:rsid w:val="00301125"/>
    <w:rsid w:val="00301ECE"/>
    <w:rsid w:val="0030202E"/>
    <w:rsid w:val="003020CC"/>
    <w:rsid w:val="00303411"/>
    <w:rsid w:val="00304448"/>
    <w:rsid w:val="00304F93"/>
    <w:rsid w:val="00305B22"/>
    <w:rsid w:val="00306728"/>
    <w:rsid w:val="00310533"/>
    <w:rsid w:val="003109EB"/>
    <w:rsid w:val="00311B2F"/>
    <w:rsid w:val="0031383E"/>
    <w:rsid w:val="00313D56"/>
    <w:rsid w:val="00314373"/>
    <w:rsid w:val="00315A6B"/>
    <w:rsid w:val="00320095"/>
    <w:rsid w:val="00320907"/>
    <w:rsid w:val="00323432"/>
    <w:rsid w:val="00325D1D"/>
    <w:rsid w:val="00325EE8"/>
    <w:rsid w:val="0033039B"/>
    <w:rsid w:val="003318A6"/>
    <w:rsid w:val="0033301F"/>
    <w:rsid w:val="003332A9"/>
    <w:rsid w:val="0033455F"/>
    <w:rsid w:val="00334DD5"/>
    <w:rsid w:val="003354D5"/>
    <w:rsid w:val="0033615A"/>
    <w:rsid w:val="003364B1"/>
    <w:rsid w:val="00336883"/>
    <w:rsid w:val="00336889"/>
    <w:rsid w:val="00341996"/>
    <w:rsid w:val="00344366"/>
    <w:rsid w:val="00346522"/>
    <w:rsid w:val="003505D5"/>
    <w:rsid w:val="003512A8"/>
    <w:rsid w:val="003522E8"/>
    <w:rsid w:val="00354F01"/>
    <w:rsid w:val="0035502C"/>
    <w:rsid w:val="003555F8"/>
    <w:rsid w:val="0035674A"/>
    <w:rsid w:val="003603AB"/>
    <w:rsid w:val="003609B9"/>
    <w:rsid w:val="00360F1C"/>
    <w:rsid w:val="00360F6D"/>
    <w:rsid w:val="00361CA1"/>
    <w:rsid w:val="00362BB3"/>
    <w:rsid w:val="00365DA2"/>
    <w:rsid w:val="00365E7E"/>
    <w:rsid w:val="00366627"/>
    <w:rsid w:val="00366EF8"/>
    <w:rsid w:val="00367049"/>
    <w:rsid w:val="00367D5D"/>
    <w:rsid w:val="00370257"/>
    <w:rsid w:val="003705B5"/>
    <w:rsid w:val="003707D8"/>
    <w:rsid w:val="00370946"/>
    <w:rsid w:val="00370989"/>
    <w:rsid w:val="0037134E"/>
    <w:rsid w:val="003719CE"/>
    <w:rsid w:val="003723CE"/>
    <w:rsid w:val="00373F48"/>
    <w:rsid w:val="003756C7"/>
    <w:rsid w:val="003766C8"/>
    <w:rsid w:val="00380EF7"/>
    <w:rsid w:val="00381D9A"/>
    <w:rsid w:val="00381EE0"/>
    <w:rsid w:val="0038250B"/>
    <w:rsid w:val="003827FC"/>
    <w:rsid w:val="00382BD3"/>
    <w:rsid w:val="0038378E"/>
    <w:rsid w:val="003844E9"/>
    <w:rsid w:val="0038678C"/>
    <w:rsid w:val="0038755B"/>
    <w:rsid w:val="003905AB"/>
    <w:rsid w:val="00392076"/>
    <w:rsid w:val="00393835"/>
    <w:rsid w:val="00393DC1"/>
    <w:rsid w:val="00394333"/>
    <w:rsid w:val="00394F07"/>
    <w:rsid w:val="003967E2"/>
    <w:rsid w:val="00396B8C"/>
    <w:rsid w:val="00396E64"/>
    <w:rsid w:val="00397378"/>
    <w:rsid w:val="00397677"/>
    <w:rsid w:val="003A1072"/>
    <w:rsid w:val="003A2728"/>
    <w:rsid w:val="003A3106"/>
    <w:rsid w:val="003A346B"/>
    <w:rsid w:val="003A3BCA"/>
    <w:rsid w:val="003A49DD"/>
    <w:rsid w:val="003A4F41"/>
    <w:rsid w:val="003A67D8"/>
    <w:rsid w:val="003A6C54"/>
    <w:rsid w:val="003B02AE"/>
    <w:rsid w:val="003B02EE"/>
    <w:rsid w:val="003B076A"/>
    <w:rsid w:val="003B0ED0"/>
    <w:rsid w:val="003B181B"/>
    <w:rsid w:val="003B1B8A"/>
    <w:rsid w:val="003B2F23"/>
    <w:rsid w:val="003B3436"/>
    <w:rsid w:val="003B3CFA"/>
    <w:rsid w:val="003B469B"/>
    <w:rsid w:val="003B4A97"/>
    <w:rsid w:val="003B5D79"/>
    <w:rsid w:val="003C1174"/>
    <w:rsid w:val="003C1F67"/>
    <w:rsid w:val="003C4D4E"/>
    <w:rsid w:val="003C5EAE"/>
    <w:rsid w:val="003C6AC7"/>
    <w:rsid w:val="003D0563"/>
    <w:rsid w:val="003D1A4F"/>
    <w:rsid w:val="003D1E13"/>
    <w:rsid w:val="003D2515"/>
    <w:rsid w:val="003D2DDC"/>
    <w:rsid w:val="003D33AB"/>
    <w:rsid w:val="003D4044"/>
    <w:rsid w:val="003D64AA"/>
    <w:rsid w:val="003D6C47"/>
    <w:rsid w:val="003E0955"/>
    <w:rsid w:val="003E20DE"/>
    <w:rsid w:val="003E301C"/>
    <w:rsid w:val="003E3DD9"/>
    <w:rsid w:val="003E405B"/>
    <w:rsid w:val="003E45C4"/>
    <w:rsid w:val="003E4F17"/>
    <w:rsid w:val="003E59EA"/>
    <w:rsid w:val="003E5D5C"/>
    <w:rsid w:val="003E686E"/>
    <w:rsid w:val="003E68FF"/>
    <w:rsid w:val="003E6B48"/>
    <w:rsid w:val="003F0185"/>
    <w:rsid w:val="003F0BCD"/>
    <w:rsid w:val="003F3AD3"/>
    <w:rsid w:val="003F448F"/>
    <w:rsid w:val="003F4864"/>
    <w:rsid w:val="003F494C"/>
    <w:rsid w:val="003F4D50"/>
    <w:rsid w:val="003F4FB0"/>
    <w:rsid w:val="003F5305"/>
    <w:rsid w:val="003F6A76"/>
    <w:rsid w:val="003F7EEB"/>
    <w:rsid w:val="00401A62"/>
    <w:rsid w:val="00401DFB"/>
    <w:rsid w:val="00402ED9"/>
    <w:rsid w:val="004031A9"/>
    <w:rsid w:val="00403648"/>
    <w:rsid w:val="004039CA"/>
    <w:rsid w:val="004049F4"/>
    <w:rsid w:val="004049FC"/>
    <w:rsid w:val="0040507D"/>
    <w:rsid w:val="004058FA"/>
    <w:rsid w:val="00406AAC"/>
    <w:rsid w:val="00407C3E"/>
    <w:rsid w:val="00410421"/>
    <w:rsid w:val="00410587"/>
    <w:rsid w:val="004109CA"/>
    <w:rsid w:val="004109E1"/>
    <w:rsid w:val="00415D1C"/>
    <w:rsid w:val="00417E73"/>
    <w:rsid w:val="00420935"/>
    <w:rsid w:val="004219AE"/>
    <w:rsid w:val="00422F59"/>
    <w:rsid w:val="00423A85"/>
    <w:rsid w:val="004256CC"/>
    <w:rsid w:val="004259D3"/>
    <w:rsid w:val="0042604B"/>
    <w:rsid w:val="004263D5"/>
    <w:rsid w:val="00426B26"/>
    <w:rsid w:val="00426C28"/>
    <w:rsid w:val="00431C64"/>
    <w:rsid w:val="0043219D"/>
    <w:rsid w:val="00433CE8"/>
    <w:rsid w:val="004368A9"/>
    <w:rsid w:val="00436BFC"/>
    <w:rsid w:val="00437FF2"/>
    <w:rsid w:val="004408F6"/>
    <w:rsid w:val="004412D9"/>
    <w:rsid w:val="00441371"/>
    <w:rsid w:val="00441933"/>
    <w:rsid w:val="00442670"/>
    <w:rsid w:val="00442ED0"/>
    <w:rsid w:val="0044341D"/>
    <w:rsid w:val="00443603"/>
    <w:rsid w:val="00443641"/>
    <w:rsid w:val="00443A58"/>
    <w:rsid w:val="0044461D"/>
    <w:rsid w:val="004446F3"/>
    <w:rsid w:val="00444E9D"/>
    <w:rsid w:val="004463A1"/>
    <w:rsid w:val="00447505"/>
    <w:rsid w:val="00450209"/>
    <w:rsid w:val="00451269"/>
    <w:rsid w:val="00452E9A"/>
    <w:rsid w:val="00455C5E"/>
    <w:rsid w:val="00457D8E"/>
    <w:rsid w:val="00460A12"/>
    <w:rsid w:val="00461BB4"/>
    <w:rsid w:val="004625D1"/>
    <w:rsid w:val="004646A2"/>
    <w:rsid w:val="00465F75"/>
    <w:rsid w:val="004662BB"/>
    <w:rsid w:val="0046685C"/>
    <w:rsid w:val="00466BBD"/>
    <w:rsid w:val="004710A7"/>
    <w:rsid w:val="004713B0"/>
    <w:rsid w:val="00473C3C"/>
    <w:rsid w:val="00474782"/>
    <w:rsid w:val="004748FA"/>
    <w:rsid w:val="00474E0C"/>
    <w:rsid w:val="004751EB"/>
    <w:rsid w:val="00475DC9"/>
    <w:rsid w:val="004768DC"/>
    <w:rsid w:val="00477147"/>
    <w:rsid w:val="00481E0F"/>
    <w:rsid w:val="00482477"/>
    <w:rsid w:val="00482856"/>
    <w:rsid w:val="0048299E"/>
    <w:rsid w:val="00482EF7"/>
    <w:rsid w:val="0048367F"/>
    <w:rsid w:val="00484205"/>
    <w:rsid w:val="00484C03"/>
    <w:rsid w:val="00484DFB"/>
    <w:rsid w:val="00486797"/>
    <w:rsid w:val="004867B8"/>
    <w:rsid w:val="00490D7E"/>
    <w:rsid w:val="00491214"/>
    <w:rsid w:val="0049132A"/>
    <w:rsid w:val="00493FA0"/>
    <w:rsid w:val="00496C7A"/>
    <w:rsid w:val="00496CD5"/>
    <w:rsid w:val="00497733"/>
    <w:rsid w:val="00497EE5"/>
    <w:rsid w:val="00497F46"/>
    <w:rsid w:val="004A1591"/>
    <w:rsid w:val="004A3DD6"/>
    <w:rsid w:val="004A46CD"/>
    <w:rsid w:val="004A5E7A"/>
    <w:rsid w:val="004A77F6"/>
    <w:rsid w:val="004A7C3D"/>
    <w:rsid w:val="004B04AD"/>
    <w:rsid w:val="004B2354"/>
    <w:rsid w:val="004B27C7"/>
    <w:rsid w:val="004B3734"/>
    <w:rsid w:val="004B63A9"/>
    <w:rsid w:val="004B6823"/>
    <w:rsid w:val="004B6B0A"/>
    <w:rsid w:val="004B6E4C"/>
    <w:rsid w:val="004B7CBE"/>
    <w:rsid w:val="004C0DC4"/>
    <w:rsid w:val="004C0F5B"/>
    <w:rsid w:val="004C1CA3"/>
    <w:rsid w:val="004C1D5F"/>
    <w:rsid w:val="004C3B41"/>
    <w:rsid w:val="004C4856"/>
    <w:rsid w:val="004C5A2C"/>
    <w:rsid w:val="004C6C71"/>
    <w:rsid w:val="004C6D06"/>
    <w:rsid w:val="004C75E0"/>
    <w:rsid w:val="004D0434"/>
    <w:rsid w:val="004D3081"/>
    <w:rsid w:val="004D32F7"/>
    <w:rsid w:val="004D4A33"/>
    <w:rsid w:val="004D5093"/>
    <w:rsid w:val="004D5578"/>
    <w:rsid w:val="004D6BAC"/>
    <w:rsid w:val="004E148C"/>
    <w:rsid w:val="004E163D"/>
    <w:rsid w:val="004E1FC6"/>
    <w:rsid w:val="004E4C1B"/>
    <w:rsid w:val="004E5976"/>
    <w:rsid w:val="004E5B2E"/>
    <w:rsid w:val="004E688C"/>
    <w:rsid w:val="004E6A2E"/>
    <w:rsid w:val="004E702A"/>
    <w:rsid w:val="004E7104"/>
    <w:rsid w:val="004E7AA6"/>
    <w:rsid w:val="004F19D5"/>
    <w:rsid w:val="004F24B8"/>
    <w:rsid w:val="004F2E03"/>
    <w:rsid w:val="004F329B"/>
    <w:rsid w:val="004F442E"/>
    <w:rsid w:val="004F4E2F"/>
    <w:rsid w:val="004F5403"/>
    <w:rsid w:val="004F779A"/>
    <w:rsid w:val="005000A9"/>
    <w:rsid w:val="0050015F"/>
    <w:rsid w:val="00501C80"/>
    <w:rsid w:val="00501E45"/>
    <w:rsid w:val="00503A65"/>
    <w:rsid w:val="00504672"/>
    <w:rsid w:val="005071E6"/>
    <w:rsid w:val="005079FD"/>
    <w:rsid w:val="005104DE"/>
    <w:rsid w:val="00510A11"/>
    <w:rsid w:val="0051139B"/>
    <w:rsid w:val="005117F0"/>
    <w:rsid w:val="00513ACA"/>
    <w:rsid w:val="00513E03"/>
    <w:rsid w:val="00514A40"/>
    <w:rsid w:val="00516252"/>
    <w:rsid w:val="00516295"/>
    <w:rsid w:val="00516C79"/>
    <w:rsid w:val="005172DB"/>
    <w:rsid w:val="00517A38"/>
    <w:rsid w:val="00517BAA"/>
    <w:rsid w:val="0052052F"/>
    <w:rsid w:val="00520FC2"/>
    <w:rsid w:val="00521A3D"/>
    <w:rsid w:val="00521AE2"/>
    <w:rsid w:val="00521EA8"/>
    <w:rsid w:val="0052227A"/>
    <w:rsid w:val="00523405"/>
    <w:rsid w:val="00524F11"/>
    <w:rsid w:val="00525E77"/>
    <w:rsid w:val="005262CD"/>
    <w:rsid w:val="00526B65"/>
    <w:rsid w:val="005277C3"/>
    <w:rsid w:val="0053592C"/>
    <w:rsid w:val="00535F76"/>
    <w:rsid w:val="00536866"/>
    <w:rsid w:val="00536908"/>
    <w:rsid w:val="00536AB8"/>
    <w:rsid w:val="00537D30"/>
    <w:rsid w:val="00540E06"/>
    <w:rsid w:val="00541B11"/>
    <w:rsid w:val="00543B80"/>
    <w:rsid w:val="00544C39"/>
    <w:rsid w:val="00545999"/>
    <w:rsid w:val="00545CCF"/>
    <w:rsid w:val="00547C1A"/>
    <w:rsid w:val="0055017E"/>
    <w:rsid w:val="0055204B"/>
    <w:rsid w:val="00552424"/>
    <w:rsid w:val="00552AFE"/>
    <w:rsid w:val="00552D4C"/>
    <w:rsid w:val="00552FE4"/>
    <w:rsid w:val="00553D3C"/>
    <w:rsid w:val="00556303"/>
    <w:rsid w:val="00557B1F"/>
    <w:rsid w:val="0056030E"/>
    <w:rsid w:val="00560CC1"/>
    <w:rsid w:val="00561237"/>
    <w:rsid w:val="00561557"/>
    <w:rsid w:val="00562DE7"/>
    <w:rsid w:val="00563C8B"/>
    <w:rsid w:val="00565389"/>
    <w:rsid w:val="0056599B"/>
    <w:rsid w:val="00565AC8"/>
    <w:rsid w:val="005706F5"/>
    <w:rsid w:val="00570A0A"/>
    <w:rsid w:val="00571A19"/>
    <w:rsid w:val="00573A5A"/>
    <w:rsid w:val="00573CC4"/>
    <w:rsid w:val="00575150"/>
    <w:rsid w:val="00575654"/>
    <w:rsid w:val="0057619E"/>
    <w:rsid w:val="00576B04"/>
    <w:rsid w:val="00577D97"/>
    <w:rsid w:val="00580908"/>
    <w:rsid w:val="005817CA"/>
    <w:rsid w:val="005824D7"/>
    <w:rsid w:val="005830D2"/>
    <w:rsid w:val="00584D11"/>
    <w:rsid w:val="00585A9B"/>
    <w:rsid w:val="00586128"/>
    <w:rsid w:val="00586267"/>
    <w:rsid w:val="00586F34"/>
    <w:rsid w:val="005904C7"/>
    <w:rsid w:val="00590562"/>
    <w:rsid w:val="00591321"/>
    <w:rsid w:val="00591FF1"/>
    <w:rsid w:val="00592AE2"/>
    <w:rsid w:val="00594558"/>
    <w:rsid w:val="00595644"/>
    <w:rsid w:val="00595CA0"/>
    <w:rsid w:val="00596392"/>
    <w:rsid w:val="005966B5"/>
    <w:rsid w:val="00596FCB"/>
    <w:rsid w:val="005A0ECD"/>
    <w:rsid w:val="005A2A30"/>
    <w:rsid w:val="005A40AE"/>
    <w:rsid w:val="005A4E17"/>
    <w:rsid w:val="005A55C5"/>
    <w:rsid w:val="005A5B49"/>
    <w:rsid w:val="005A5CEE"/>
    <w:rsid w:val="005A6582"/>
    <w:rsid w:val="005A688C"/>
    <w:rsid w:val="005A68AB"/>
    <w:rsid w:val="005A7AD1"/>
    <w:rsid w:val="005B0531"/>
    <w:rsid w:val="005B07BD"/>
    <w:rsid w:val="005B15C7"/>
    <w:rsid w:val="005B160F"/>
    <w:rsid w:val="005B1EFA"/>
    <w:rsid w:val="005B3E56"/>
    <w:rsid w:val="005B483C"/>
    <w:rsid w:val="005B5FFA"/>
    <w:rsid w:val="005B6A95"/>
    <w:rsid w:val="005B6C44"/>
    <w:rsid w:val="005B731E"/>
    <w:rsid w:val="005C2D73"/>
    <w:rsid w:val="005C315D"/>
    <w:rsid w:val="005C412D"/>
    <w:rsid w:val="005C5CAC"/>
    <w:rsid w:val="005C6724"/>
    <w:rsid w:val="005C67B9"/>
    <w:rsid w:val="005D0755"/>
    <w:rsid w:val="005D1052"/>
    <w:rsid w:val="005D1638"/>
    <w:rsid w:val="005D178B"/>
    <w:rsid w:val="005D2265"/>
    <w:rsid w:val="005D3783"/>
    <w:rsid w:val="005D3814"/>
    <w:rsid w:val="005D4C25"/>
    <w:rsid w:val="005D4EA3"/>
    <w:rsid w:val="005D617C"/>
    <w:rsid w:val="005D6C20"/>
    <w:rsid w:val="005D75C7"/>
    <w:rsid w:val="005D787D"/>
    <w:rsid w:val="005D7DF4"/>
    <w:rsid w:val="005D7FF8"/>
    <w:rsid w:val="005E0F02"/>
    <w:rsid w:val="005E0F3C"/>
    <w:rsid w:val="005E12C6"/>
    <w:rsid w:val="005E1702"/>
    <w:rsid w:val="005E1BEF"/>
    <w:rsid w:val="005E39FD"/>
    <w:rsid w:val="005E50C3"/>
    <w:rsid w:val="005E53BC"/>
    <w:rsid w:val="005E59B0"/>
    <w:rsid w:val="005E5A3C"/>
    <w:rsid w:val="005E5A77"/>
    <w:rsid w:val="005E5F46"/>
    <w:rsid w:val="005E6D9B"/>
    <w:rsid w:val="005F14FE"/>
    <w:rsid w:val="005F2419"/>
    <w:rsid w:val="005F3024"/>
    <w:rsid w:val="005F33AC"/>
    <w:rsid w:val="005F4015"/>
    <w:rsid w:val="005F4829"/>
    <w:rsid w:val="005F4BDB"/>
    <w:rsid w:val="005F6BF5"/>
    <w:rsid w:val="005F6EFF"/>
    <w:rsid w:val="005F7CBC"/>
    <w:rsid w:val="005F7EEB"/>
    <w:rsid w:val="0060132B"/>
    <w:rsid w:val="0060146C"/>
    <w:rsid w:val="0060254E"/>
    <w:rsid w:val="0060591A"/>
    <w:rsid w:val="0060601B"/>
    <w:rsid w:val="00607914"/>
    <w:rsid w:val="00610014"/>
    <w:rsid w:val="006104FE"/>
    <w:rsid w:val="00611759"/>
    <w:rsid w:val="00612AD8"/>
    <w:rsid w:val="00612C28"/>
    <w:rsid w:val="00612D59"/>
    <w:rsid w:val="006138BF"/>
    <w:rsid w:val="00615A7C"/>
    <w:rsid w:val="006162CD"/>
    <w:rsid w:val="0062038E"/>
    <w:rsid w:val="00621C00"/>
    <w:rsid w:val="00622308"/>
    <w:rsid w:val="00622325"/>
    <w:rsid w:val="0062379C"/>
    <w:rsid w:val="00623AD1"/>
    <w:rsid w:val="00623CE0"/>
    <w:rsid w:val="00623F69"/>
    <w:rsid w:val="00625053"/>
    <w:rsid w:val="006251E9"/>
    <w:rsid w:val="006261B0"/>
    <w:rsid w:val="00626CAF"/>
    <w:rsid w:val="0063021E"/>
    <w:rsid w:val="00630519"/>
    <w:rsid w:val="00630F97"/>
    <w:rsid w:val="00631434"/>
    <w:rsid w:val="00631749"/>
    <w:rsid w:val="00631D0D"/>
    <w:rsid w:val="006320D4"/>
    <w:rsid w:val="00632DE1"/>
    <w:rsid w:val="006341D2"/>
    <w:rsid w:val="0063431F"/>
    <w:rsid w:val="006345C1"/>
    <w:rsid w:val="006371CB"/>
    <w:rsid w:val="00640BA9"/>
    <w:rsid w:val="00640D49"/>
    <w:rsid w:val="00642752"/>
    <w:rsid w:val="0064473D"/>
    <w:rsid w:val="00644B42"/>
    <w:rsid w:val="0064528E"/>
    <w:rsid w:val="00645EB8"/>
    <w:rsid w:val="00646F31"/>
    <w:rsid w:val="006475A9"/>
    <w:rsid w:val="0064766B"/>
    <w:rsid w:val="006476D3"/>
    <w:rsid w:val="00650E8A"/>
    <w:rsid w:val="00651DFE"/>
    <w:rsid w:val="00651EA2"/>
    <w:rsid w:val="00653BA7"/>
    <w:rsid w:val="0065457A"/>
    <w:rsid w:val="00654770"/>
    <w:rsid w:val="006547CD"/>
    <w:rsid w:val="00656530"/>
    <w:rsid w:val="00657AB2"/>
    <w:rsid w:val="00661AB9"/>
    <w:rsid w:val="006631D5"/>
    <w:rsid w:val="00663C3A"/>
    <w:rsid w:val="00663CB1"/>
    <w:rsid w:val="00664264"/>
    <w:rsid w:val="00665063"/>
    <w:rsid w:val="006666EC"/>
    <w:rsid w:val="006705F7"/>
    <w:rsid w:val="0067118E"/>
    <w:rsid w:val="00671A53"/>
    <w:rsid w:val="00672009"/>
    <w:rsid w:val="0067231D"/>
    <w:rsid w:val="006737A1"/>
    <w:rsid w:val="00675759"/>
    <w:rsid w:val="00675F55"/>
    <w:rsid w:val="0068174D"/>
    <w:rsid w:val="00686D9E"/>
    <w:rsid w:val="006901E8"/>
    <w:rsid w:val="00690836"/>
    <w:rsid w:val="00691DDE"/>
    <w:rsid w:val="0069256F"/>
    <w:rsid w:val="00692A52"/>
    <w:rsid w:val="00693880"/>
    <w:rsid w:val="00693E99"/>
    <w:rsid w:val="00695DC1"/>
    <w:rsid w:val="0069724D"/>
    <w:rsid w:val="00697462"/>
    <w:rsid w:val="006A0847"/>
    <w:rsid w:val="006A0B81"/>
    <w:rsid w:val="006A1417"/>
    <w:rsid w:val="006A1A5B"/>
    <w:rsid w:val="006A2F6E"/>
    <w:rsid w:val="006A3543"/>
    <w:rsid w:val="006A5465"/>
    <w:rsid w:val="006B0D83"/>
    <w:rsid w:val="006B1FDF"/>
    <w:rsid w:val="006B238A"/>
    <w:rsid w:val="006B2DAC"/>
    <w:rsid w:val="006B3F22"/>
    <w:rsid w:val="006B4A0C"/>
    <w:rsid w:val="006B50B9"/>
    <w:rsid w:val="006B7391"/>
    <w:rsid w:val="006B76BB"/>
    <w:rsid w:val="006B7CB1"/>
    <w:rsid w:val="006B7DF4"/>
    <w:rsid w:val="006C08A5"/>
    <w:rsid w:val="006C0A94"/>
    <w:rsid w:val="006C0D60"/>
    <w:rsid w:val="006C19FD"/>
    <w:rsid w:val="006C1E19"/>
    <w:rsid w:val="006C46AF"/>
    <w:rsid w:val="006C4AE4"/>
    <w:rsid w:val="006C6C29"/>
    <w:rsid w:val="006C6C97"/>
    <w:rsid w:val="006C74ED"/>
    <w:rsid w:val="006D11BA"/>
    <w:rsid w:val="006D1602"/>
    <w:rsid w:val="006D190F"/>
    <w:rsid w:val="006D2092"/>
    <w:rsid w:val="006D29AB"/>
    <w:rsid w:val="006D33AE"/>
    <w:rsid w:val="006D39B4"/>
    <w:rsid w:val="006D72E3"/>
    <w:rsid w:val="006E03D8"/>
    <w:rsid w:val="006E0DB6"/>
    <w:rsid w:val="006E12AB"/>
    <w:rsid w:val="006E150C"/>
    <w:rsid w:val="006E269A"/>
    <w:rsid w:val="006E315C"/>
    <w:rsid w:val="006E4B05"/>
    <w:rsid w:val="006E5380"/>
    <w:rsid w:val="006E6F4D"/>
    <w:rsid w:val="006E6F9A"/>
    <w:rsid w:val="006E734B"/>
    <w:rsid w:val="006F0577"/>
    <w:rsid w:val="006F2701"/>
    <w:rsid w:val="006F31B4"/>
    <w:rsid w:val="006F3380"/>
    <w:rsid w:val="006F6612"/>
    <w:rsid w:val="006F6913"/>
    <w:rsid w:val="006F6C28"/>
    <w:rsid w:val="006F6D2B"/>
    <w:rsid w:val="0070040B"/>
    <w:rsid w:val="00700716"/>
    <w:rsid w:val="00702B60"/>
    <w:rsid w:val="00703AD0"/>
    <w:rsid w:val="00703F4D"/>
    <w:rsid w:val="007055D4"/>
    <w:rsid w:val="0070698A"/>
    <w:rsid w:val="007077E4"/>
    <w:rsid w:val="00707E23"/>
    <w:rsid w:val="00710524"/>
    <w:rsid w:val="0071141D"/>
    <w:rsid w:val="00711753"/>
    <w:rsid w:val="00711B72"/>
    <w:rsid w:val="00713C60"/>
    <w:rsid w:val="00713D44"/>
    <w:rsid w:val="0071574A"/>
    <w:rsid w:val="00715A1B"/>
    <w:rsid w:val="00716423"/>
    <w:rsid w:val="0071690A"/>
    <w:rsid w:val="00716B02"/>
    <w:rsid w:val="00720C59"/>
    <w:rsid w:val="007214FA"/>
    <w:rsid w:val="00721788"/>
    <w:rsid w:val="007219A8"/>
    <w:rsid w:val="00721D75"/>
    <w:rsid w:val="007225EB"/>
    <w:rsid w:val="00723B53"/>
    <w:rsid w:val="00723D0A"/>
    <w:rsid w:val="00725E8F"/>
    <w:rsid w:val="00727060"/>
    <w:rsid w:val="00727132"/>
    <w:rsid w:val="00727DA1"/>
    <w:rsid w:val="0073030C"/>
    <w:rsid w:val="007304AF"/>
    <w:rsid w:val="00731617"/>
    <w:rsid w:val="00731D75"/>
    <w:rsid w:val="007324B7"/>
    <w:rsid w:val="0073263E"/>
    <w:rsid w:val="0073416B"/>
    <w:rsid w:val="00734248"/>
    <w:rsid w:val="0073436A"/>
    <w:rsid w:val="00734EC4"/>
    <w:rsid w:val="00736431"/>
    <w:rsid w:val="00736AA3"/>
    <w:rsid w:val="00736DE2"/>
    <w:rsid w:val="007374F2"/>
    <w:rsid w:val="00737DD5"/>
    <w:rsid w:val="00740031"/>
    <w:rsid w:val="0074180C"/>
    <w:rsid w:val="007426D7"/>
    <w:rsid w:val="00742904"/>
    <w:rsid w:val="00743199"/>
    <w:rsid w:val="00743E1E"/>
    <w:rsid w:val="00744929"/>
    <w:rsid w:val="00745106"/>
    <w:rsid w:val="00745AB9"/>
    <w:rsid w:val="00750819"/>
    <w:rsid w:val="00750BDD"/>
    <w:rsid w:val="00751271"/>
    <w:rsid w:val="007512CB"/>
    <w:rsid w:val="0075133C"/>
    <w:rsid w:val="00752905"/>
    <w:rsid w:val="007536C4"/>
    <w:rsid w:val="007546EA"/>
    <w:rsid w:val="00755BF9"/>
    <w:rsid w:val="00755DA7"/>
    <w:rsid w:val="00756DD0"/>
    <w:rsid w:val="00757704"/>
    <w:rsid w:val="00757C05"/>
    <w:rsid w:val="00762252"/>
    <w:rsid w:val="0076337D"/>
    <w:rsid w:val="00766E20"/>
    <w:rsid w:val="00767CBE"/>
    <w:rsid w:val="0077121F"/>
    <w:rsid w:val="00771C77"/>
    <w:rsid w:val="00773955"/>
    <w:rsid w:val="00773ED4"/>
    <w:rsid w:val="0077452F"/>
    <w:rsid w:val="00775025"/>
    <w:rsid w:val="00776001"/>
    <w:rsid w:val="007763AB"/>
    <w:rsid w:val="00776E0E"/>
    <w:rsid w:val="00777F54"/>
    <w:rsid w:val="00781943"/>
    <w:rsid w:val="00782B2D"/>
    <w:rsid w:val="00782F3B"/>
    <w:rsid w:val="00783169"/>
    <w:rsid w:val="0078324A"/>
    <w:rsid w:val="00783F02"/>
    <w:rsid w:val="00784028"/>
    <w:rsid w:val="00784E68"/>
    <w:rsid w:val="0078517F"/>
    <w:rsid w:val="00785995"/>
    <w:rsid w:val="00786763"/>
    <w:rsid w:val="0078762D"/>
    <w:rsid w:val="0079092B"/>
    <w:rsid w:val="00791E63"/>
    <w:rsid w:val="007928A3"/>
    <w:rsid w:val="00793B55"/>
    <w:rsid w:val="00793C89"/>
    <w:rsid w:val="007944E1"/>
    <w:rsid w:val="007949F6"/>
    <w:rsid w:val="00795D05"/>
    <w:rsid w:val="0079661B"/>
    <w:rsid w:val="007A0C03"/>
    <w:rsid w:val="007A0DC2"/>
    <w:rsid w:val="007A1452"/>
    <w:rsid w:val="007A1857"/>
    <w:rsid w:val="007A43BA"/>
    <w:rsid w:val="007A69D4"/>
    <w:rsid w:val="007A6F3A"/>
    <w:rsid w:val="007B3736"/>
    <w:rsid w:val="007B39FB"/>
    <w:rsid w:val="007B3A98"/>
    <w:rsid w:val="007B5A1D"/>
    <w:rsid w:val="007C0DAC"/>
    <w:rsid w:val="007C1276"/>
    <w:rsid w:val="007C3F3D"/>
    <w:rsid w:val="007C4044"/>
    <w:rsid w:val="007C425C"/>
    <w:rsid w:val="007C45B4"/>
    <w:rsid w:val="007C497D"/>
    <w:rsid w:val="007C5C28"/>
    <w:rsid w:val="007C7DE7"/>
    <w:rsid w:val="007D0211"/>
    <w:rsid w:val="007D0FE2"/>
    <w:rsid w:val="007D1E63"/>
    <w:rsid w:val="007D32CF"/>
    <w:rsid w:val="007D33A0"/>
    <w:rsid w:val="007D4090"/>
    <w:rsid w:val="007D58DE"/>
    <w:rsid w:val="007D6AF8"/>
    <w:rsid w:val="007D779C"/>
    <w:rsid w:val="007E063A"/>
    <w:rsid w:val="007E06A1"/>
    <w:rsid w:val="007E091A"/>
    <w:rsid w:val="007E5F8F"/>
    <w:rsid w:val="007E7FD6"/>
    <w:rsid w:val="007F145E"/>
    <w:rsid w:val="007F1D94"/>
    <w:rsid w:val="007F2123"/>
    <w:rsid w:val="007F2140"/>
    <w:rsid w:val="007F25E4"/>
    <w:rsid w:val="007F3865"/>
    <w:rsid w:val="007F7C59"/>
    <w:rsid w:val="0080052F"/>
    <w:rsid w:val="00800EB6"/>
    <w:rsid w:val="00801789"/>
    <w:rsid w:val="00802BBD"/>
    <w:rsid w:val="00804872"/>
    <w:rsid w:val="00804D06"/>
    <w:rsid w:val="00804D51"/>
    <w:rsid w:val="008073BD"/>
    <w:rsid w:val="00807842"/>
    <w:rsid w:val="00810C2E"/>
    <w:rsid w:val="00811306"/>
    <w:rsid w:val="00811CCA"/>
    <w:rsid w:val="00814106"/>
    <w:rsid w:val="00814A71"/>
    <w:rsid w:val="00816EE5"/>
    <w:rsid w:val="008206C3"/>
    <w:rsid w:val="0082178E"/>
    <w:rsid w:val="0082261C"/>
    <w:rsid w:val="0082296E"/>
    <w:rsid w:val="00823718"/>
    <w:rsid w:val="008238AC"/>
    <w:rsid w:val="00823A6A"/>
    <w:rsid w:val="00823D18"/>
    <w:rsid w:val="008248D2"/>
    <w:rsid w:val="00825E99"/>
    <w:rsid w:val="00826495"/>
    <w:rsid w:val="008272A4"/>
    <w:rsid w:val="00827E2D"/>
    <w:rsid w:val="0083200E"/>
    <w:rsid w:val="008327AF"/>
    <w:rsid w:val="00833524"/>
    <w:rsid w:val="008342E7"/>
    <w:rsid w:val="0083490A"/>
    <w:rsid w:val="00834E74"/>
    <w:rsid w:val="0083650A"/>
    <w:rsid w:val="00837CF1"/>
    <w:rsid w:val="00840806"/>
    <w:rsid w:val="008446E0"/>
    <w:rsid w:val="00845EAB"/>
    <w:rsid w:val="00846415"/>
    <w:rsid w:val="008464F4"/>
    <w:rsid w:val="00847BBC"/>
    <w:rsid w:val="00850B51"/>
    <w:rsid w:val="0085170E"/>
    <w:rsid w:val="008523B0"/>
    <w:rsid w:val="00852AE7"/>
    <w:rsid w:val="008545FB"/>
    <w:rsid w:val="00855F59"/>
    <w:rsid w:val="00857AD7"/>
    <w:rsid w:val="00857C2A"/>
    <w:rsid w:val="00860406"/>
    <w:rsid w:val="00860446"/>
    <w:rsid w:val="008606EB"/>
    <w:rsid w:val="00861D95"/>
    <w:rsid w:val="00861E89"/>
    <w:rsid w:val="00862033"/>
    <w:rsid w:val="0086206C"/>
    <w:rsid w:val="00862833"/>
    <w:rsid w:val="00863038"/>
    <w:rsid w:val="0086371B"/>
    <w:rsid w:val="00870503"/>
    <w:rsid w:val="00870575"/>
    <w:rsid w:val="00870C67"/>
    <w:rsid w:val="00871E75"/>
    <w:rsid w:val="00872A00"/>
    <w:rsid w:val="00874868"/>
    <w:rsid w:val="00874D3D"/>
    <w:rsid w:val="00876538"/>
    <w:rsid w:val="00876684"/>
    <w:rsid w:val="00880891"/>
    <w:rsid w:val="00880F41"/>
    <w:rsid w:val="00882D24"/>
    <w:rsid w:val="008835D4"/>
    <w:rsid w:val="008838FF"/>
    <w:rsid w:val="00884766"/>
    <w:rsid w:val="00885649"/>
    <w:rsid w:val="00885D18"/>
    <w:rsid w:val="0088695B"/>
    <w:rsid w:val="008879E5"/>
    <w:rsid w:val="0089181D"/>
    <w:rsid w:val="008919C7"/>
    <w:rsid w:val="00892311"/>
    <w:rsid w:val="008937A4"/>
    <w:rsid w:val="00895138"/>
    <w:rsid w:val="00895804"/>
    <w:rsid w:val="008961A6"/>
    <w:rsid w:val="00896252"/>
    <w:rsid w:val="00896EB8"/>
    <w:rsid w:val="008A0D3C"/>
    <w:rsid w:val="008A16FB"/>
    <w:rsid w:val="008A1870"/>
    <w:rsid w:val="008A188B"/>
    <w:rsid w:val="008A3B69"/>
    <w:rsid w:val="008A49C3"/>
    <w:rsid w:val="008A4E9B"/>
    <w:rsid w:val="008A66BE"/>
    <w:rsid w:val="008A7837"/>
    <w:rsid w:val="008B123F"/>
    <w:rsid w:val="008B177A"/>
    <w:rsid w:val="008B1DA0"/>
    <w:rsid w:val="008B21A5"/>
    <w:rsid w:val="008B2842"/>
    <w:rsid w:val="008B3C77"/>
    <w:rsid w:val="008B5013"/>
    <w:rsid w:val="008B646C"/>
    <w:rsid w:val="008B6593"/>
    <w:rsid w:val="008B7302"/>
    <w:rsid w:val="008B7CA9"/>
    <w:rsid w:val="008C0048"/>
    <w:rsid w:val="008C0693"/>
    <w:rsid w:val="008C307A"/>
    <w:rsid w:val="008C3961"/>
    <w:rsid w:val="008C3D68"/>
    <w:rsid w:val="008C6B84"/>
    <w:rsid w:val="008C6D41"/>
    <w:rsid w:val="008C6FA9"/>
    <w:rsid w:val="008C7057"/>
    <w:rsid w:val="008C7811"/>
    <w:rsid w:val="008D0BD7"/>
    <w:rsid w:val="008D15AD"/>
    <w:rsid w:val="008D3B04"/>
    <w:rsid w:val="008D516F"/>
    <w:rsid w:val="008D554A"/>
    <w:rsid w:val="008D587C"/>
    <w:rsid w:val="008D5D48"/>
    <w:rsid w:val="008D646F"/>
    <w:rsid w:val="008D77C5"/>
    <w:rsid w:val="008D7C70"/>
    <w:rsid w:val="008E153A"/>
    <w:rsid w:val="008E2C98"/>
    <w:rsid w:val="008E309B"/>
    <w:rsid w:val="008E3D42"/>
    <w:rsid w:val="008E5DCB"/>
    <w:rsid w:val="008E5F9C"/>
    <w:rsid w:val="008E67E6"/>
    <w:rsid w:val="008E693A"/>
    <w:rsid w:val="008E6FF4"/>
    <w:rsid w:val="008F0305"/>
    <w:rsid w:val="008F121D"/>
    <w:rsid w:val="008F1659"/>
    <w:rsid w:val="008F1ED6"/>
    <w:rsid w:val="008F221B"/>
    <w:rsid w:val="008F26D9"/>
    <w:rsid w:val="008F31FE"/>
    <w:rsid w:val="008F333D"/>
    <w:rsid w:val="008F4A71"/>
    <w:rsid w:val="008F4C02"/>
    <w:rsid w:val="008F5145"/>
    <w:rsid w:val="008F574C"/>
    <w:rsid w:val="008F5861"/>
    <w:rsid w:val="008F748B"/>
    <w:rsid w:val="008F7A17"/>
    <w:rsid w:val="009010A7"/>
    <w:rsid w:val="00902041"/>
    <w:rsid w:val="0090278C"/>
    <w:rsid w:val="00902AF0"/>
    <w:rsid w:val="009047BC"/>
    <w:rsid w:val="00905908"/>
    <w:rsid w:val="009064CB"/>
    <w:rsid w:val="009114DF"/>
    <w:rsid w:val="00911DDF"/>
    <w:rsid w:val="00912344"/>
    <w:rsid w:val="00913C37"/>
    <w:rsid w:val="00913D21"/>
    <w:rsid w:val="00915328"/>
    <w:rsid w:val="00915F93"/>
    <w:rsid w:val="00916285"/>
    <w:rsid w:val="0092100C"/>
    <w:rsid w:val="00922B5B"/>
    <w:rsid w:val="00923462"/>
    <w:rsid w:val="00923764"/>
    <w:rsid w:val="00923805"/>
    <w:rsid w:val="00926A8B"/>
    <w:rsid w:val="00930441"/>
    <w:rsid w:val="00930678"/>
    <w:rsid w:val="00931B8B"/>
    <w:rsid w:val="00932B5C"/>
    <w:rsid w:val="00933C8A"/>
    <w:rsid w:val="009350B9"/>
    <w:rsid w:val="0093581A"/>
    <w:rsid w:val="00935BC8"/>
    <w:rsid w:val="00935D60"/>
    <w:rsid w:val="0093636C"/>
    <w:rsid w:val="00937381"/>
    <w:rsid w:val="00940BD6"/>
    <w:rsid w:val="00940D53"/>
    <w:rsid w:val="00940DD2"/>
    <w:rsid w:val="00941AE1"/>
    <w:rsid w:val="0094285D"/>
    <w:rsid w:val="00944A36"/>
    <w:rsid w:val="00945681"/>
    <w:rsid w:val="00945E63"/>
    <w:rsid w:val="00947696"/>
    <w:rsid w:val="0094793E"/>
    <w:rsid w:val="00947990"/>
    <w:rsid w:val="00947FCD"/>
    <w:rsid w:val="009505E6"/>
    <w:rsid w:val="00951F53"/>
    <w:rsid w:val="009524F9"/>
    <w:rsid w:val="00952B75"/>
    <w:rsid w:val="009530D1"/>
    <w:rsid w:val="00953B95"/>
    <w:rsid w:val="00954452"/>
    <w:rsid w:val="009552E9"/>
    <w:rsid w:val="00956115"/>
    <w:rsid w:val="00960CEF"/>
    <w:rsid w:val="00960FF7"/>
    <w:rsid w:val="0096184D"/>
    <w:rsid w:val="009620CA"/>
    <w:rsid w:val="00962170"/>
    <w:rsid w:val="009645E9"/>
    <w:rsid w:val="00964AB4"/>
    <w:rsid w:val="00964AC0"/>
    <w:rsid w:val="00965509"/>
    <w:rsid w:val="00966467"/>
    <w:rsid w:val="0096673F"/>
    <w:rsid w:val="009667B2"/>
    <w:rsid w:val="0096725A"/>
    <w:rsid w:val="00967DEE"/>
    <w:rsid w:val="00970B50"/>
    <w:rsid w:val="00970F49"/>
    <w:rsid w:val="00971618"/>
    <w:rsid w:val="00971955"/>
    <w:rsid w:val="00971DC0"/>
    <w:rsid w:val="00973E3D"/>
    <w:rsid w:val="009741F3"/>
    <w:rsid w:val="009754A9"/>
    <w:rsid w:val="00975D73"/>
    <w:rsid w:val="00976D0A"/>
    <w:rsid w:val="00976ECA"/>
    <w:rsid w:val="009775E7"/>
    <w:rsid w:val="0097771C"/>
    <w:rsid w:val="00980A91"/>
    <w:rsid w:val="00980E6F"/>
    <w:rsid w:val="00981458"/>
    <w:rsid w:val="009831A3"/>
    <w:rsid w:val="00983FE9"/>
    <w:rsid w:val="0098471B"/>
    <w:rsid w:val="00984A69"/>
    <w:rsid w:val="00985CC9"/>
    <w:rsid w:val="009863A9"/>
    <w:rsid w:val="00986EA1"/>
    <w:rsid w:val="00987346"/>
    <w:rsid w:val="00987416"/>
    <w:rsid w:val="00991B38"/>
    <w:rsid w:val="00992D94"/>
    <w:rsid w:val="00995018"/>
    <w:rsid w:val="00995D53"/>
    <w:rsid w:val="0099620B"/>
    <w:rsid w:val="00996685"/>
    <w:rsid w:val="00997A7D"/>
    <w:rsid w:val="009A103F"/>
    <w:rsid w:val="009A18DD"/>
    <w:rsid w:val="009A2E01"/>
    <w:rsid w:val="009A33A3"/>
    <w:rsid w:val="009A4DB5"/>
    <w:rsid w:val="009A5030"/>
    <w:rsid w:val="009A50E1"/>
    <w:rsid w:val="009A5F80"/>
    <w:rsid w:val="009A6C33"/>
    <w:rsid w:val="009B0191"/>
    <w:rsid w:val="009B11C1"/>
    <w:rsid w:val="009B17CE"/>
    <w:rsid w:val="009B1926"/>
    <w:rsid w:val="009B1F51"/>
    <w:rsid w:val="009B2435"/>
    <w:rsid w:val="009B29C4"/>
    <w:rsid w:val="009B39D5"/>
    <w:rsid w:val="009B47F5"/>
    <w:rsid w:val="009B4BCA"/>
    <w:rsid w:val="009B55CF"/>
    <w:rsid w:val="009B5609"/>
    <w:rsid w:val="009B642A"/>
    <w:rsid w:val="009C0FDB"/>
    <w:rsid w:val="009C0FFC"/>
    <w:rsid w:val="009C19BC"/>
    <w:rsid w:val="009C2954"/>
    <w:rsid w:val="009C2E6B"/>
    <w:rsid w:val="009C2EA2"/>
    <w:rsid w:val="009C37E2"/>
    <w:rsid w:val="009C3A4B"/>
    <w:rsid w:val="009C3A74"/>
    <w:rsid w:val="009C3C69"/>
    <w:rsid w:val="009C3D34"/>
    <w:rsid w:val="009C407C"/>
    <w:rsid w:val="009C42B6"/>
    <w:rsid w:val="009C465E"/>
    <w:rsid w:val="009C57EE"/>
    <w:rsid w:val="009C633D"/>
    <w:rsid w:val="009C6FBC"/>
    <w:rsid w:val="009C712E"/>
    <w:rsid w:val="009C767D"/>
    <w:rsid w:val="009C7A35"/>
    <w:rsid w:val="009C7AAF"/>
    <w:rsid w:val="009D0155"/>
    <w:rsid w:val="009D1226"/>
    <w:rsid w:val="009D36AE"/>
    <w:rsid w:val="009D38AD"/>
    <w:rsid w:val="009D40F6"/>
    <w:rsid w:val="009D493F"/>
    <w:rsid w:val="009D58DF"/>
    <w:rsid w:val="009D64DD"/>
    <w:rsid w:val="009D7769"/>
    <w:rsid w:val="009E20F2"/>
    <w:rsid w:val="009E2447"/>
    <w:rsid w:val="009E3FF9"/>
    <w:rsid w:val="009E404F"/>
    <w:rsid w:val="009E56D2"/>
    <w:rsid w:val="009E5752"/>
    <w:rsid w:val="009E6950"/>
    <w:rsid w:val="009E6C3D"/>
    <w:rsid w:val="009E6EAE"/>
    <w:rsid w:val="009E736B"/>
    <w:rsid w:val="009E796B"/>
    <w:rsid w:val="009E7DBE"/>
    <w:rsid w:val="009F212A"/>
    <w:rsid w:val="009F296D"/>
    <w:rsid w:val="009F3FF5"/>
    <w:rsid w:val="009F560F"/>
    <w:rsid w:val="009F614F"/>
    <w:rsid w:val="009F7431"/>
    <w:rsid w:val="009F7E35"/>
    <w:rsid w:val="00A013C9"/>
    <w:rsid w:val="00A02FFD"/>
    <w:rsid w:val="00A0351B"/>
    <w:rsid w:val="00A040BA"/>
    <w:rsid w:val="00A050E2"/>
    <w:rsid w:val="00A053D4"/>
    <w:rsid w:val="00A05BF7"/>
    <w:rsid w:val="00A05EC5"/>
    <w:rsid w:val="00A073C3"/>
    <w:rsid w:val="00A10C8B"/>
    <w:rsid w:val="00A1122A"/>
    <w:rsid w:val="00A12285"/>
    <w:rsid w:val="00A134CA"/>
    <w:rsid w:val="00A1506D"/>
    <w:rsid w:val="00A16B0B"/>
    <w:rsid w:val="00A170F7"/>
    <w:rsid w:val="00A176B0"/>
    <w:rsid w:val="00A214E5"/>
    <w:rsid w:val="00A221A2"/>
    <w:rsid w:val="00A22E44"/>
    <w:rsid w:val="00A23159"/>
    <w:rsid w:val="00A23B8D"/>
    <w:rsid w:val="00A24ED9"/>
    <w:rsid w:val="00A24EFE"/>
    <w:rsid w:val="00A27770"/>
    <w:rsid w:val="00A30106"/>
    <w:rsid w:val="00A31687"/>
    <w:rsid w:val="00A31CAA"/>
    <w:rsid w:val="00A33A1A"/>
    <w:rsid w:val="00A34B08"/>
    <w:rsid w:val="00A34DD3"/>
    <w:rsid w:val="00A355CF"/>
    <w:rsid w:val="00A362ED"/>
    <w:rsid w:val="00A37319"/>
    <w:rsid w:val="00A37673"/>
    <w:rsid w:val="00A420B3"/>
    <w:rsid w:val="00A420D2"/>
    <w:rsid w:val="00A42DFF"/>
    <w:rsid w:val="00A433D1"/>
    <w:rsid w:val="00A434C0"/>
    <w:rsid w:val="00A435B5"/>
    <w:rsid w:val="00A4384D"/>
    <w:rsid w:val="00A453CB"/>
    <w:rsid w:val="00A45647"/>
    <w:rsid w:val="00A45EBE"/>
    <w:rsid w:val="00A4674D"/>
    <w:rsid w:val="00A46CCA"/>
    <w:rsid w:val="00A5001F"/>
    <w:rsid w:val="00A517CF"/>
    <w:rsid w:val="00A5224F"/>
    <w:rsid w:val="00A52EA0"/>
    <w:rsid w:val="00A533D3"/>
    <w:rsid w:val="00A53CC7"/>
    <w:rsid w:val="00A5533E"/>
    <w:rsid w:val="00A55896"/>
    <w:rsid w:val="00A57D87"/>
    <w:rsid w:val="00A600A6"/>
    <w:rsid w:val="00A60217"/>
    <w:rsid w:val="00A612F7"/>
    <w:rsid w:val="00A624C9"/>
    <w:rsid w:val="00A669F1"/>
    <w:rsid w:val="00A66E03"/>
    <w:rsid w:val="00A675B6"/>
    <w:rsid w:val="00A70A3A"/>
    <w:rsid w:val="00A71209"/>
    <w:rsid w:val="00A71807"/>
    <w:rsid w:val="00A73D3E"/>
    <w:rsid w:val="00A73EB2"/>
    <w:rsid w:val="00A7504E"/>
    <w:rsid w:val="00A7645B"/>
    <w:rsid w:val="00A77312"/>
    <w:rsid w:val="00A777E8"/>
    <w:rsid w:val="00A77E8B"/>
    <w:rsid w:val="00A81460"/>
    <w:rsid w:val="00A81990"/>
    <w:rsid w:val="00A82378"/>
    <w:rsid w:val="00A82D58"/>
    <w:rsid w:val="00A82D70"/>
    <w:rsid w:val="00A83333"/>
    <w:rsid w:val="00A83CD5"/>
    <w:rsid w:val="00A849A8"/>
    <w:rsid w:val="00A84DAF"/>
    <w:rsid w:val="00A85C7C"/>
    <w:rsid w:val="00A8608C"/>
    <w:rsid w:val="00A86113"/>
    <w:rsid w:val="00A8638A"/>
    <w:rsid w:val="00A87F19"/>
    <w:rsid w:val="00A908AE"/>
    <w:rsid w:val="00A9103D"/>
    <w:rsid w:val="00A91916"/>
    <w:rsid w:val="00A92302"/>
    <w:rsid w:val="00A92656"/>
    <w:rsid w:val="00A9282F"/>
    <w:rsid w:val="00A92D63"/>
    <w:rsid w:val="00A9344A"/>
    <w:rsid w:val="00A95735"/>
    <w:rsid w:val="00A95976"/>
    <w:rsid w:val="00A95FBD"/>
    <w:rsid w:val="00A9619C"/>
    <w:rsid w:val="00A9680F"/>
    <w:rsid w:val="00AA0067"/>
    <w:rsid w:val="00AA0CE5"/>
    <w:rsid w:val="00AA22AF"/>
    <w:rsid w:val="00AA2363"/>
    <w:rsid w:val="00AA23E5"/>
    <w:rsid w:val="00AA57C9"/>
    <w:rsid w:val="00AA59B7"/>
    <w:rsid w:val="00AA7998"/>
    <w:rsid w:val="00AA7BD3"/>
    <w:rsid w:val="00AB0E83"/>
    <w:rsid w:val="00AB0F13"/>
    <w:rsid w:val="00AB1228"/>
    <w:rsid w:val="00AB236F"/>
    <w:rsid w:val="00AB2574"/>
    <w:rsid w:val="00AB26A6"/>
    <w:rsid w:val="00AB3536"/>
    <w:rsid w:val="00AB4EB8"/>
    <w:rsid w:val="00AC119A"/>
    <w:rsid w:val="00AC14A5"/>
    <w:rsid w:val="00AC3BAB"/>
    <w:rsid w:val="00AC3DB7"/>
    <w:rsid w:val="00AC4863"/>
    <w:rsid w:val="00AC5947"/>
    <w:rsid w:val="00AC5BA9"/>
    <w:rsid w:val="00AD1354"/>
    <w:rsid w:val="00AD2429"/>
    <w:rsid w:val="00AD2911"/>
    <w:rsid w:val="00AD2AF7"/>
    <w:rsid w:val="00AD2F79"/>
    <w:rsid w:val="00AD3D97"/>
    <w:rsid w:val="00AD4659"/>
    <w:rsid w:val="00AD4F31"/>
    <w:rsid w:val="00AD5E6D"/>
    <w:rsid w:val="00AD65C5"/>
    <w:rsid w:val="00AD7197"/>
    <w:rsid w:val="00AD7C06"/>
    <w:rsid w:val="00AE1086"/>
    <w:rsid w:val="00AE149B"/>
    <w:rsid w:val="00AE149D"/>
    <w:rsid w:val="00AE299D"/>
    <w:rsid w:val="00AE3329"/>
    <w:rsid w:val="00AE34EA"/>
    <w:rsid w:val="00AE5451"/>
    <w:rsid w:val="00AE58BF"/>
    <w:rsid w:val="00AE629E"/>
    <w:rsid w:val="00AE799D"/>
    <w:rsid w:val="00AF0FF8"/>
    <w:rsid w:val="00AF1D05"/>
    <w:rsid w:val="00AF2424"/>
    <w:rsid w:val="00AF26D0"/>
    <w:rsid w:val="00AF302E"/>
    <w:rsid w:val="00AF3308"/>
    <w:rsid w:val="00AF3478"/>
    <w:rsid w:val="00AF4310"/>
    <w:rsid w:val="00AF5036"/>
    <w:rsid w:val="00AF5622"/>
    <w:rsid w:val="00AF7A55"/>
    <w:rsid w:val="00B00009"/>
    <w:rsid w:val="00B00AED"/>
    <w:rsid w:val="00B019BC"/>
    <w:rsid w:val="00B01DD2"/>
    <w:rsid w:val="00B02451"/>
    <w:rsid w:val="00B02A2E"/>
    <w:rsid w:val="00B070DA"/>
    <w:rsid w:val="00B07B30"/>
    <w:rsid w:val="00B07DF6"/>
    <w:rsid w:val="00B100C4"/>
    <w:rsid w:val="00B11172"/>
    <w:rsid w:val="00B119C8"/>
    <w:rsid w:val="00B123F4"/>
    <w:rsid w:val="00B145AC"/>
    <w:rsid w:val="00B16888"/>
    <w:rsid w:val="00B17AC9"/>
    <w:rsid w:val="00B17B1E"/>
    <w:rsid w:val="00B17DC8"/>
    <w:rsid w:val="00B20ADC"/>
    <w:rsid w:val="00B21745"/>
    <w:rsid w:val="00B224F5"/>
    <w:rsid w:val="00B22636"/>
    <w:rsid w:val="00B22900"/>
    <w:rsid w:val="00B23E21"/>
    <w:rsid w:val="00B25C64"/>
    <w:rsid w:val="00B25E52"/>
    <w:rsid w:val="00B2685C"/>
    <w:rsid w:val="00B2715B"/>
    <w:rsid w:val="00B300BA"/>
    <w:rsid w:val="00B30925"/>
    <w:rsid w:val="00B30B2A"/>
    <w:rsid w:val="00B31CF7"/>
    <w:rsid w:val="00B334AC"/>
    <w:rsid w:val="00B34B75"/>
    <w:rsid w:val="00B35626"/>
    <w:rsid w:val="00B35ED8"/>
    <w:rsid w:val="00B40863"/>
    <w:rsid w:val="00B41978"/>
    <w:rsid w:val="00B4227A"/>
    <w:rsid w:val="00B43145"/>
    <w:rsid w:val="00B431B5"/>
    <w:rsid w:val="00B4323F"/>
    <w:rsid w:val="00B43322"/>
    <w:rsid w:val="00B43687"/>
    <w:rsid w:val="00B46B90"/>
    <w:rsid w:val="00B4774E"/>
    <w:rsid w:val="00B47CDD"/>
    <w:rsid w:val="00B50B44"/>
    <w:rsid w:val="00B50BE7"/>
    <w:rsid w:val="00B5155E"/>
    <w:rsid w:val="00B54026"/>
    <w:rsid w:val="00B540CE"/>
    <w:rsid w:val="00B568A9"/>
    <w:rsid w:val="00B60941"/>
    <w:rsid w:val="00B60EA5"/>
    <w:rsid w:val="00B619C3"/>
    <w:rsid w:val="00B65019"/>
    <w:rsid w:val="00B65D6C"/>
    <w:rsid w:val="00B668E8"/>
    <w:rsid w:val="00B674BC"/>
    <w:rsid w:val="00B67BC5"/>
    <w:rsid w:val="00B700E3"/>
    <w:rsid w:val="00B70EF1"/>
    <w:rsid w:val="00B71CDE"/>
    <w:rsid w:val="00B72250"/>
    <w:rsid w:val="00B72ECD"/>
    <w:rsid w:val="00B732B7"/>
    <w:rsid w:val="00B744DE"/>
    <w:rsid w:val="00B74934"/>
    <w:rsid w:val="00B76F97"/>
    <w:rsid w:val="00B80137"/>
    <w:rsid w:val="00B80468"/>
    <w:rsid w:val="00B81344"/>
    <w:rsid w:val="00B81754"/>
    <w:rsid w:val="00B81A1E"/>
    <w:rsid w:val="00B81BAF"/>
    <w:rsid w:val="00B81C50"/>
    <w:rsid w:val="00B82CE6"/>
    <w:rsid w:val="00B840BF"/>
    <w:rsid w:val="00B842C1"/>
    <w:rsid w:val="00B86A88"/>
    <w:rsid w:val="00B86C1B"/>
    <w:rsid w:val="00B86F3F"/>
    <w:rsid w:val="00B87C9E"/>
    <w:rsid w:val="00B9046D"/>
    <w:rsid w:val="00B914B5"/>
    <w:rsid w:val="00B91B1E"/>
    <w:rsid w:val="00B91CBA"/>
    <w:rsid w:val="00B930AD"/>
    <w:rsid w:val="00B94A7F"/>
    <w:rsid w:val="00B954D9"/>
    <w:rsid w:val="00B9781E"/>
    <w:rsid w:val="00BA00B7"/>
    <w:rsid w:val="00BA0569"/>
    <w:rsid w:val="00BA0B57"/>
    <w:rsid w:val="00BA1283"/>
    <w:rsid w:val="00BA1E28"/>
    <w:rsid w:val="00BA2323"/>
    <w:rsid w:val="00BA30EF"/>
    <w:rsid w:val="00BA46C3"/>
    <w:rsid w:val="00BA4A65"/>
    <w:rsid w:val="00BA4AF5"/>
    <w:rsid w:val="00BA4F19"/>
    <w:rsid w:val="00BA5B73"/>
    <w:rsid w:val="00BA68AD"/>
    <w:rsid w:val="00BA74E7"/>
    <w:rsid w:val="00BB05A8"/>
    <w:rsid w:val="00BB0D07"/>
    <w:rsid w:val="00BB2DA9"/>
    <w:rsid w:val="00BB32D2"/>
    <w:rsid w:val="00BB4CCC"/>
    <w:rsid w:val="00BB546E"/>
    <w:rsid w:val="00BB5681"/>
    <w:rsid w:val="00BB578F"/>
    <w:rsid w:val="00BB6687"/>
    <w:rsid w:val="00BB6D30"/>
    <w:rsid w:val="00BB77FD"/>
    <w:rsid w:val="00BC1924"/>
    <w:rsid w:val="00BC53F5"/>
    <w:rsid w:val="00BC658A"/>
    <w:rsid w:val="00BC75BA"/>
    <w:rsid w:val="00BC7D07"/>
    <w:rsid w:val="00BD070B"/>
    <w:rsid w:val="00BD0A52"/>
    <w:rsid w:val="00BD1381"/>
    <w:rsid w:val="00BD16B3"/>
    <w:rsid w:val="00BD2179"/>
    <w:rsid w:val="00BD6201"/>
    <w:rsid w:val="00BD63D8"/>
    <w:rsid w:val="00BD6C57"/>
    <w:rsid w:val="00BD6EE6"/>
    <w:rsid w:val="00BD7426"/>
    <w:rsid w:val="00BE00DA"/>
    <w:rsid w:val="00BE0C2A"/>
    <w:rsid w:val="00BE2496"/>
    <w:rsid w:val="00BE2A5E"/>
    <w:rsid w:val="00BE4154"/>
    <w:rsid w:val="00BF0139"/>
    <w:rsid w:val="00BF1A01"/>
    <w:rsid w:val="00BF3C5E"/>
    <w:rsid w:val="00BF3F4E"/>
    <w:rsid w:val="00BF3F8B"/>
    <w:rsid w:val="00BF6F2A"/>
    <w:rsid w:val="00BF737C"/>
    <w:rsid w:val="00C00A71"/>
    <w:rsid w:val="00C02264"/>
    <w:rsid w:val="00C03814"/>
    <w:rsid w:val="00C03B0F"/>
    <w:rsid w:val="00C03B5B"/>
    <w:rsid w:val="00C03D50"/>
    <w:rsid w:val="00C06176"/>
    <w:rsid w:val="00C07697"/>
    <w:rsid w:val="00C07D88"/>
    <w:rsid w:val="00C113C7"/>
    <w:rsid w:val="00C12E6D"/>
    <w:rsid w:val="00C12FBC"/>
    <w:rsid w:val="00C13522"/>
    <w:rsid w:val="00C149A9"/>
    <w:rsid w:val="00C15531"/>
    <w:rsid w:val="00C15929"/>
    <w:rsid w:val="00C17C5F"/>
    <w:rsid w:val="00C20588"/>
    <w:rsid w:val="00C21B3A"/>
    <w:rsid w:val="00C21BFA"/>
    <w:rsid w:val="00C22931"/>
    <w:rsid w:val="00C22E2B"/>
    <w:rsid w:val="00C22FDA"/>
    <w:rsid w:val="00C236C8"/>
    <w:rsid w:val="00C270CB"/>
    <w:rsid w:val="00C27AA1"/>
    <w:rsid w:val="00C30151"/>
    <w:rsid w:val="00C30698"/>
    <w:rsid w:val="00C30E5C"/>
    <w:rsid w:val="00C3134D"/>
    <w:rsid w:val="00C31AA9"/>
    <w:rsid w:val="00C32BAF"/>
    <w:rsid w:val="00C33528"/>
    <w:rsid w:val="00C338C5"/>
    <w:rsid w:val="00C33951"/>
    <w:rsid w:val="00C35732"/>
    <w:rsid w:val="00C3658F"/>
    <w:rsid w:val="00C36D5B"/>
    <w:rsid w:val="00C41E5C"/>
    <w:rsid w:val="00C43496"/>
    <w:rsid w:val="00C456A8"/>
    <w:rsid w:val="00C45B62"/>
    <w:rsid w:val="00C4663F"/>
    <w:rsid w:val="00C50B23"/>
    <w:rsid w:val="00C51CC2"/>
    <w:rsid w:val="00C5423E"/>
    <w:rsid w:val="00C627DA"/>
    <w:rsid w:val="00C64D4A"/>
    <w:rsid w:val="00C64D86"/>
    <w:rsid w:val="00C65029"/>
    <w:rsid w:val="00C650E9"/>
    <w:rsid w:val="00C66BAD"/>
    <w:rsid w:val="00C66F35"/>
    <w:rsid w:val="00C7031E"/>
    <w:rsid w:val="00C70F65"/>
    <w:rsid w:val="00C73328"/>
    <w:rsid w:val="00C742F0"/>
    <w:rsid w:val="00C764CC"/>
    <w:rsid w:val="00C76574"/>
    <w:rsid w:val="00C770FF"/>
    <w:rsid w:val="00C77A3A"/>
    <w:rsid w:val="00C77CC3"/>
    <w:rsid w:val="00C81A8B"/>
    <w:rsid w:val="00C84522"/>
    <w:rsid w:val="00C84755"/>
    <w:rsid w:val="00C84784"/>
    <w:rsid w:val="00C84AE0"/>
    <w:rsid w:val="00C857E8"/>
    <w:rsid w:val="00C86803"/>
    <w:rsid w:val="00C86CB1"/>
    <w:rsid w:val="00C875EE"/>
    <w:rsid w:val="00C87726"/>
    <w:rsid w:val="00C9177E"/>
    <w:rsid w:val="00C918A7"/>
    <w:rsid w:val="00C93334"/>
    <w:rsid w:val="00C9470A"/>
    <w:rsid w:val="00C95848"/>
    <w:rsid w:val="00CA1E1A"/>
    <w:rsid w:val="00CA2027"/>
    <w:rsid w:val="00CA3AA7"/>
    <w:rsid w:val="00CA3F7D"/>
    <w:rsid w:val="00CA459B"/>
    <w:rsid w:val="00CA4D2A"/>
    <w:rsid w:val="00CA5ADF"/>
    <w:rsid w:val="00CA6A5B"/>
    <w:rsid w:val="00CA7438"/>
    <w:rsid w:val="00CA7904"/>
    <w:rsid w:val="00CB09FF"/>
    <w:rsid w:val="00CB2117"/>
    <w:rsid w:val="00CB3C05"/>
    <w:rsid w:val="00CB3E81"/>
    <w:rsid w:val="00CB41BD"/>
    <w:rsid w:val="00CB444B"/>
    <w:rsid w:val="00CB52C2"/>
    <w:rsid w:val="00CB5695"/>
    <w:rsid w:val="00CB5862"/>
    <w:rsid w:val="00CB5EAF"/>
    <w:rsid w:val="00CB5EF2"/>
    <w:rsid w:val="00CB79BB"/>
    <w:rsid w:val="00CC06A4"/>
    <w:rsid w:val="00CC0B24"/>
    <w:rsid w:val="00CC0C7C"/>
    <w:rsid w:val="00CC1D63"/>
    <w:rsid w:val="00CC1EB4"/>
    <w:rsid w:val="00CC3870"/>
    <w:rsid w:val="00CC4310"/>
    <w:rsid w:val="00CC4449"/>
    <w:rsid w:val="00CC47FF"/>
    <w:rsid w:val="00CC4CC2"/>
    <w:rsid w:val="00CC66AF"/>
    <w:rsid w:val="00CC6832"/>
    <w:rsid w:val="00CC733F"/>
    <w:rsid w:val="00CD0AAB"/>
    <w:rsid w:val="00CD188D"/>
    <w:rsid w:val="00CD1D4D"/>
    <w:rsid w:val="00CD2496"/>
    <w:rsid w:val="00CD649B"/>
    <w:rsid w:val="00CD7582"/>
    <w:rsid w:val="00CE1024"/>
    <w:rsid w:val="00CE1D25"/>
    <w:rsid w:val="00CE23C4"/>
    <w:rsid w:val="00CE458C"/>
    <w:rsid w:val="00CE47D6"/>
    <w:rsid w:val="00CE6853"/>
    <w:rsid w:val="00CE720D"/>
    <w:rsid w:val="00CE79C7"/>
    <w:rsid w:val="00CF0CED"/>
    <w:rsid w:val="00CF1664"/>
    <w:rsid w:val="00CF3DA3"/>
    <w:rsid w:val="00CF46A0"/>
    <w:rsid w:val="00CF4C43"/>
    <w:rsid w:val="00CF61B1"/>
    <w:rsid w:val="00CF7A85"/>
    <w:rsid w:val="00D003F4"/>
    <w:rsid w:val="00D02BD1"/>
    <w:rsid w:val="00D0606C"/>
    <w:rsid w:val="00D060EB"/>
    <w:rsid w:val="00D06147"/>
    <w:rsid w:val="00D065ED"/>
    <w:rsid w:val="00D0664E"/>
    <w:rsid w:val="00D07276"/>
    <w:rsid w:val="00D0788D"/>
    <w:rsid w:val="00D109D7"/>
    <w:rsid w:val="00D10CAD"/>
    <w:rsid w:val="00D12C15"/>
    <w:rsid w:val="00D13C61"/>
    <w:rsid w:val="00D14347"/>
    <w:rsid w:val="00D14ED6"/>
    <w:rsid w:val="00D15841"/>
    <w:rsid w:val="00D16A39"/>
    <w:rsid w:val="00D16F7B"/>
    <w:rsid w:val="00D21079"/>
    <w:rsid w:val="00D213F0"/>
    <w:rsid w:val="00D22896"/>
    <w:rsid w:val="00D22CE2"/>
    <w:rsid w:val="00D23A0A"/>
    <w:rsid w:val="00D24493"/>
    <w:rsid w:val="00D245D3"/>
    <w:rsid w:val="00D248F5"/>
    <w:rsid w:val="00D2588B"/>
    <w:rsid w:val="00D25BAD"/>
    <w:rsid w:val="00D26CF3"/>
    <w:rsid w:val="00D270D3"/>
    <w:rsid w:val="00D27736"/>
    <w:rsid w:val="00D27BC6"/>
    <w:rsid w:val="00D30715"/>
    <w:rsid w:val="00D30A18"/>
    <w:rsid w:val="00D31113"/>
    <w:rsid w:val="00D35053"/>
    <w:rsid w:val="00D3704A"/>
    <w:rsid w:val="00D370D7"/>
    <w:rsid w:val="00D4097E"/>
    <w:rsid w:val="00D41992"/>
    <w:rsid w:val="00D41F0C"/>
    <w:rsid w:val="00D43383"/>
    <w:rsid w:val="00D4370B"/>
    <w:rsid w:val="00D43E18"/>
    <w:rsid w:val="00D4504F"/>
    <w:rsid w:val="00D451BE"/>
    <w:rsid w:val="00D45492"/>
    <w:rsid w:val="00D45E7B"/>
    <w:rsid w:val="00D463A1"/>
    <w:rsid w:val="00D468F6"/>
    <w:rsid w:val="00D50804"/>
    <w:rsid w:val="00D51325"/>
    <w:rsid w:val="00D518F4"/>
    <w:rsid w:val="00D521C1"/>
    <w:rsid w:val="00D5236B"/>
    <w:rsid w:val="00D52544"/>
    <w:rsid w:val="00D56F4E"/>
    <w:rsid w:val="00D57743"/>
    <w:rsid w:val="00D62359"/>
    <w:rsid w:val="00D6283F"/>
    <w:rsid w:val="00D63F73"/>
    <w:rsid w:val="00D6403B"/>
    <w:rsid w:val="00D659C1"/>
    <w:rsid w:val="00D666CE"/>
    <w:rsid w:val="00D67151"/>
    <w:rsid w:val="00D67F6C"/>
    <w:rsid w:val="00D71008"/>
    <w:rsid w:val="00D71ECE"/>
    <w:rsid w:val="00D7227C"/>
    <w:rsid w:val="00D72581"/>
    <w:rsid w:val="00D72AFD"/>
    <w:rsid w:val="00D74834"/>
    <w:rsid w:val="00D7530B"/>
    <w:rsid w:val="00D7610D"/>
    <w:rsid w:val="00D776E8"/>
    <w:rsid w:val="00D77C8D"/>
    <w:rsid w:val="00D77F74"/>
    <w:rsid w:val="00D80CED"/>
    <w:rsid w:val="00D85B7F"/>
    <w:rsid w:val="00D85E30"/>
    <w:rsid w:val="00D870E4"/>
    <w:rsid w:val="00D900EC"/>
    <w:rsid w:val="00D91B86"/>
    <w:rsid w:val="00D92BA9"/>
    <w:rsid w:val="00D94100"/>
    <w:rsid w:val="00D95153"/>
    <w:rsid w:val="00D96499"/>
    <w:rsid w:val="00D97116"/>
    <w:rsid w:val="00D97AE1"/>
    <w:rsid w:val="00DA00A9"/>
    <w:rsid w:val="00DA0DF7"/>
    <w:rsid w:val="00DA2744"/>
    <w:rsid w:val="00DA2CD0"/>
    <w:rsid w:val="00DA3F37"/>
    <w:rsid w:val="00DA4183"/>
    <w:rsid w:val="00DA41D7"/>
    <w:rsid w:val="00DA5935"/>
    <w:rsid w:val="00DA6485"/>
    <w:rsid w:val="00DA6A18"/>
    <w:rsid w:val="00DA6A45"/>
    <w:rsid w:val="00DA6EE1"/>
    <w:rsid w:val="00DA76E5"/>
    <w:rsid w:val="00DB03F1"/>
    <w:rsid w:val="00DB1A33"/>
    <w:rsid w:val="00DB1B5B"/>
    <w:rsid w:val="00DB2A7D"/>
    <w:rsid w:val="00DB3CC0"/>
    <w:rsid w:val="00DB6385"/>
    <w:rsid w:val="00DB651A"/>
    <w:rsid w:val="00DB6872"/>
    <w:rsid w:val="00DC0A7E"/>
    <w:rsid w:val="00DC0E69"/>
    <w:rsid w:val="00DC1E5D"/>
    <w:rsid w:val="00DC21D4"/>
    <w:rsid w:val="00DC26A4"/>
    <w:rsid w:val="00DC3DDF"/>
    <w:rsid w:val="00DC537F"/>
    <w:rsid w:val="00DC5799"/>
    <w:rsid w:val="00DC62FF"/>
    <w:rsid w:val="00DD1345"/>
    <w:rsid w:val="00DD2EB4"/>
    <w:rsid w:val="00DD3097"/>
    <w:rsid w:val="00DD3110"/>
    <w:rsid w:val="00DD3258"/>
    <w:rsid w:val="00DD369D"/>
    <w:rsid w:val="00DD51FD"/>
    <w:rsid w:val="00DD7153"/>
    <w:rsid w:val="00DD7262"/>
    <w:rsid w:val="00DD7C65"/>
    <w:rsid w:val="00DE0256"/>
    <w:rsid w:val="00DE093C"/>
    <w:rsid w:val="00DE206A"/>
    <w:rsid w:val="00DE3A0B"/>
    <w:rsid w:val="00DE3DC7"/>
    <w:rsid w:val="00DE4CF1"/>
    <w:rsid w:val="00DE5278"/>
    <w:rsid w:val="00DE7725"/>
    <w:rsid w:val="00DE7B91"/>
    <w:rsid w:val="00DF0523"/>
    <w:rsid w:val="00DF2526"/>
    <w:rsid w:val="00DF2CC6"/>
    <w:rsid w:val="00DF543A"/>
    <w:rsid w:val="00DF571F"/>
    <w:rsid w:val="00DF64D6"/>
    <w:rsid w:val="00DF79F2"/>
    <w:rsid w:val="00E00740"/>
    <w:rsid w:val="00E02FCE"/>
    <w:rsid w:val="00E0334B"/>
    <w:rsid w:val="00E03CB0"/>
    <w:rsid w:val="00E04F3E"/>
    <w:rsid w:val="00E07B01"/>
    <w:rsid w:val="00E07BFC"/>
    <w:rsid w:val="00E104D0"/>
    <w:rsid w:val="00E11B23"/>
    <w:rsid w:val="00E12BBA"/>
    <w:rsid w:val="00E13C44"/>
    <w:rsid w:val="00E155D5"/>
    <w:rsid w:val="00E15B68"/>
    <w:rsid w:val="00E162A4"/>
    <w:rsid w:val="00E16781"/>
    <w:rsid w:val="00E16AE8"/>
    <w:rsid w:val="00E16E03"/>
    <w:rsid w:val="00E17B92"/>
    <w:rsid w:val="00E216E7"/>
    <w:rsid w:val="00E21B69"/>
    <w:rsid w:val="00E2225F"/>
    <w:rsid w:val="00E2288D"/>
    <w:rsid w:val="00E22E32"/>
    <w:rsid w:val="00E22FDB"/>
    <w:rsid w:val="00E24256"/>
    <w:rsid w:val="00E2538F"/>
    <w:rsid w:val="00E30A0E"/>
    <w:rsid w:val="00E30EBE"/>
    <w:rsid w:val="00E3108D"/>
    <w:rsid w:val="00E3246B"/>
    <w:rsid w:val="00E33409"/>
    <w:rsid w:val="00E33B10"/>
    <w:rsid w:val="00E33E3D"/>
    <w:rsid w:val="00E34057"/>
    <w:rsid w:val="00E3613A"/>
    <w:rsid w:val="00E36C70"/>
    <w:rsid w:val="00E37793"/>
    <w:rsid w:val="00E37E46"/>
    <w:rsid w:val="00E40518"/>
    <w:rsid w:val="00E40908"/>
    <w:rsid w:val="00E41F50"/>
    <w:rsid w:val="00E430B6"/>
    <w:rsid w:val="00E4360B"/>
    <w:rsid w:val="00E43BF2"/>
    <w:rsid w:val="00E44550"/>
    <w:rsid w:val="00E44679"/>
    <w:rsid w:val="00E46584"/>
    <w:rsid w:val="00E46613"/>
    <w:rsid w:val="00E47662"/>
    <w:rsid w:val="00E47E9F"/>
    <w:rsid w:val="00E50A59"/>
    <w:rsid w:val="00E514AB"/>
    <w:rsid w:val="00E51845"/>
    <w:rsid w:val="00E53281"/>
    <w:rsid w:val="00E53DE0"/>
    <w:rsid w:val="00E54C5F"/>
    <w:rsid w:val="00E54D77"/>
    <w:rsid w:val="00E55D6E"/>
    <w:rsid w:val="00E56FA1"/>
    <w:rsid w:val="00E60980"/>
    <w:rsid w:val="00E62223"/>
    <w:rsid w:val="00E625E4"/>
    <w:rsid w:val="00E651FF"/>
    <w:rsid w:val="00E70501"/>
    <w:rsid w:val="00E715BD"/>
    <w:rsid w:val="00E715E4"/>
    <w:rsid w:val="00E7284D"/>
    <w:rsid w:val="00E72F5A"/>
    <w:rsid w:val="00E736E4"/>
    <w:rsid w:val="00E75288"/>
    <w:rsid w:val="00E80E97"/>
    <w:rsid w:val="00E82EA1"/>
    <w:rsid w:val="00E857DD"/>
    <w:rsid w:val="00E865E3"/>
    <w:rsid w:val="00E869F1"/>
    <w:rsid w:val="00E8731C"/>
    <w:rsid w:val="00E87C1C"/>
    <w:rsid w:val="00E87CA5"/>
    <w:rsid w:val="00E90EC2"/>
    <w:rsid w:val="00E912B1"/>
    <w:rsid w:val="00E918F3"/>
    <w:rsid w:val="00E91B11"/>
    <w:rsid w:val="00E94109"/>
    <w:rsid w:val="00E94874"/>
    <w:rsid w:val="00E949FD"/>
    <w:rsid w:val="00E951D5"/>
    <w:rsid w:val="00EA03E3"/>
    <w:rsid w:val="00EA20F2"/>
    <w:rsid w:val="00EA23B4"/>
    <w:rsid w:val="00EA3267"/>
    <w:rsid w:val="00EA41D1"/>
    <w:rsid w:val="00EA52EE"/>
    <w:rsid w:val="00EA539A"/>
    <w:rsid w:val="00EA5A96"/>
    <w:rsid w:val="00EA61D6"/>
    <w:rsid w:val="00EA6EA3"/>
    <w:rsid w:val="00EA7AE4"/>
    <w:rsid w:val="00EB5C8F"/>
    <w:rsid w:val="00EB7FE9"/>
    <w:rsid w:val="00EC00AA"/>
    <w:rsid w:val="00EC00EE"/>
    <w:rsid w:val="00EC01B5"/>
    <w:rsid w:val="00EC0B1E"/>
    <w:rsid w:val="00EC1B1B"/>
    <w:rsid w:val="00EC1C4A"/>
    <w:rsid w:val="00EC2EB9"/>
    <w:rsid w:val="00EC3E48"/>
    <w:rsid w:val="00EC48B7"/>
    <w:rsid w:val="00EC5D7A"/>
    <w:rsid w:val="00EC6280"/>
    <w:rsid w:val="00EC6B5D"/>
    <w:rsid w:val="00EC7C15"/>
    <w:rsid w:val="00ED0ADD"/>
    <w:rsid w:val="00ED1A8D"/>
    <w:rsid w:val="00ED317E"/>
    <w:rsid w:val="00ED3518"/>
    <w:rsid w:val="00ED37E0"/>
    <w:rsid w:val="00ED3EAD"/>
    <w:rsid w:val="00ED4713"/>
    <w:rsid w:val="00ED5244"/>
    <w:rsid w:val="00ED5FE9"/>
    <w:rsid w:val="00ED64BC"/>
    <w:rsid w:val="00ED7E46"/>
    <w:rsid w:val="00EE0FC4"/>
    <w:rsid w:val="00EE3A7D"/>
    <w:rsid w:val="00EE3ECA"/>
    <w:rsid w:val="00EE58BB"/>
    <w:rsid w:val="00EE5A38"/>
    <w:rsid w:val="00EF08B5"/>
    <w:rsid w:val="00EF16EF"/>
    <w:rsid w:val="00EF1770"/>
    <w:rsid w:val="00EF1F9C"/>
    <w:rsid w:val="00EF3362"/>
    <w:rsid w:val="00EF409F"/>
    <w:rsid w:val="00EF5443"/>
    <w:rsid w:val="00EF59F8"/>
    <w:rsid w:val="00EF6CBE"/>
    <w:rsid w:val="00EF7A7F"/>
    <w:rsid w:val="00F00642"/>
    <w:rsid w:val="00F014E5"/>
    <w:rsid w:val="00F032E7"/>
    <w:rsid w:val="00F03947"/>
    <w:rsid w:val="00F05B56"/>
    <w:rsid w:val="00F05C45"/>
    <w:rsid w:val="00F069C9"/>
    <w:rsid w:val="00F122EA"/>
    <w:rsid w:val="00F1233E"/>
    <w:rsid w:val="00F12979"/>
    <w:rsid w:val="00F1354E"/>
    <w:rsid w:val="00F14C7F"/>
    <w:rsid w:val="00F14EEA"/>
    <w:rsid w:val="00F154F6"/>
    <w:rsid w:val="00F15925"/>
    <w:rsid w:val="00F16277"/>
    <w:rsid w:val="00F1658B"/>
    <w:rsid w:val="00F171C2"/>
    <w:rsid w:val="00F1748F"/>
    <w:rsid w:val="00F176E6"/>
    <w:rsid w:val="00F179B8"/>
    <w:rsid w:val="00F21515"/>
    <w:rsid w:val="00F2166E"/>
    <w:rsid w:val="00F23F44"/>
    <w:rsid w:val="00F241BA"/>
    <w:rsid w:val="00F24911"/>
    <w:rsid w:val="00F255F5"/>
    <w:rsid w:val="00F25A23"/>
    <w:rsid w:val="00F27FA1"/>
    <w:rsid w:val="00F30BEC"/>
    <w:rsid w:val="00F3130A"/>
    <w:rsid w:val="00F3192F"/>
    <w:rsid w:val="00F32442"/>
    <w:rsid w:val="00F32CBA"/>
    <w:rsid w:val="00F33614"/>
    <w:rsid w:val="00F34147"/>
    <w:rsid w:val="00F353BD"/>
    <w:rsid w:val="00F359CB"/>
    <w:rsid w:val="00F364E6"/>
    <w:rsid w:val="00F37A52"/>
    <w:rsid w:val="00F37A81"/>
    <w:rsid w:val="00F4065B"/>
    <w:rsid w:val="00F40ADA"/>
    <w:rsid w:val="00F40BD9"/>
    <w:rsid w:val="00F40C85"/>
    <w:rsid w:val="00F41093"/>
    <w:rsid w:val="00F42984"/>
    <w:rsid w:val="00F43088"/>
    <w:rsid w:val="00F44577"/>
    <w:rsid w:val="00F44909"/>
    <w:rsid w:val="00F4505F"/>
    <w:rsid w:val="00F456AF"/>
    <w:rsid w:val="00F475BA"/>
    <w:rsid w:val="00F47975"/>
    <w:rsid w:val="00F479D6"/>
    <w:rsid w:val="00F50009"/>
    <w:rsid w:val="00F51CE3"/>
    <w:rsid w:val="00F52533"/>
    <w:rsid w:val="00F526FF"/>
    <w:rsid w:val="00F53ECA"/>
    <w:rsid w:val="00F540E0"/>
    <w:rsid w:val="00F54E28"/>
    <w:rsid w:val="00F576AD"/>
    <w:rsid w:val="00F57A59"/>
    <w:rsid w:val="00F57F36"/>
    <w:rsid w:val="00F60AFF"/>
    <w:rsid w:val="00F61A8E"/>
    <w:rsid w:val="00F649AC"/>
    <w:rsid w:val="00F65DB4"/>
    <w:rsid w:val="00F67426"/>
    <w:rsid w:val="00F67595"/>
    <w:rsid w:val="00F67A12"/>
    <w:rsid w:val="00F70CF7"/>
    <w:rsid w:val="00F71327"/>
    <w:rsid w:val="00F72A39"/>
    <w:rsid w:val="00F73A38"/>
    <w:rsid w:val="00F7455E"/>
    <w:rsid w:val="00F7543F"/>
    <w:rsid w:val="00F75653"/>
    <w:rsid w:val="00F75B4F"/>
    <w:rsid w:val="00F77000"/>
    <w:rsid w:val="00F7712C"/>
    <w:rsid w:val="00F77377"/>
    <w:rsid w:val="00F80132"/>
    <w:rsid w:val="00F804F3"/>
    <w:rsid w:val="00F80722"/>
    <w:rsid w:val="00F81193"/>
    <w:rsid w:val="00F83515"/>
    <w:rsid w:val="00F84FD3"/>
    <w:rsid w:val="00F85DBE"/>
    <w:rsid w:val="00F913B2"/>
    <w:rsid w:val="00F92AE7"/>
    <w:rsid w:val="00F92E20"/>
    <w:rsid w:val="00F939B8"/>
    <w:rsid w:val="00F93AF3"/>
    <w:rsid w:val="00F93B6D"/>
    <w:rsid w:val="00F95F3A"/>
    <w:rsid w:val="00F96E69"/>
    <w:rsid w:val="00F972EE"/>
    <w:rsid w:val="00F97EA7"/>
    <w:rsid w:val="00FA0E0D"/>
    <w:rsid w:val="00FA190E"/>
    <w:rsid w:val="00FA1FB3"/>
    <w:rsid w:val="00FA396B"/>
    <w:rsid w:val="00FA525A"/>
    <w:rsid w:val="00FA5463"/>
    <w:rsid w:val="00FA5E63"/>
    <w:rsid w:val="00FA6ADC"/>
    <w:rsid w:val="00FA7FE5"/>
    <w:rsid w:val="00FB037C"/>
    <w:rsid w:val="00FB3068"/>
    <w:rsid w:val="00FB415B"/>
    <w:rsid w:val="00FB45A2"/>
    <w:rsid w:val="00FB52E9"/>
    <w:rsid w:val="00FB61D4"/>
    <w:rsid w:val="00FB72B4"/>
    <w:rsid w:val="00FB7324"/>
    <w:rsid w:val="00FC346D"/>
    <w:rsid w:val="00FC3528"/>
    <w:rsid w:val="00FC378A"/>
    <w:rsid w:val="00FC419D"/>
    <w:rsid w:val="00FC4E11"/>
    <w:rsid w:val="00FC734D"/>
    <w:rsid w:val="00FD10F6"/>
    <w:rsid w:val="00FD2AC8"/>
    <w:rsid w:val="00FD3033"/>
    <w:rsid w:val="00FD30F3"/>
    <w:rsid w:val="00FD31C5"/>
    <w:rsid w:val="00FD39F5"/>
    <w:rsid w:val="00FD4F63"/>
    <w:rsid w:val="00FD59C0"/>
    <w:rsid w:val="00FD63E7"/>
    <w:rsid w:val="00FD65B5"/>
    <w:rsid w:val="00FD7EED"/>
    <w:rsid w:val="00FE192D"/>
    <w:rsid w:val="00FE1E00"/>
    <w:rsid w:val="00FE55FD"/>
    <w:rsid w:val="00FE5B36"/>
    <w:rsid w:val="00FE67BB"/>
    <w:rsid w:val="00FE7A66"/>
    <w:rsid w:val="00FF2438"/>
    <w:rsid w:val="00FF2734"/>
    <w:rsid w:val="00FF39F6"/>
    <w:rsid w:val="00FF3DDA"/>
    <w:rsid w:val="00FF496E"/>
    <w:rsid w:val="00FF5F26"/>
    <w:rsid w:val="00FF68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FA98B9"/>
  <w15:docId w15:val="{833A7FEC-69FA-418B-ADB4-F54077B0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1"/>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57619E"/>
    <w:rPr>
      <w:rFonts w:eastAsia="Times New Roman" w:cs="Arial"/>
      <w:sz w:val="18"/>
      <w:szCs w:val="18"/>
    </w:rPr>
  </w:style>
  <w:style w:type="character" w:customStyle="1" w:styleId="FootnoteTextChar">
    <w:name w:val="Footnote Text Char"/>
    <w:basedOn w:val="DefaultParagraphFont"/>
    <w:link w:val="FootnoteText"/>
    <w:uiPriority w:val="99"/>
    <w:semiHidden/>
    <w:rsid w:val="0057619E"/>
    <w:rPr>
      <w:rFonts w:eastAsia="Times New Roman"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2">
    <w:name w:val="Mention2"/>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1">
    <w:name w:val="Smart Hyperlink1"/>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 w:type="table" w:customStyle="1" w:styleId="TableGridLight1">
    <w:name w:val="Table Grid Light1"/>
    <w:basedOn w:val="TableNormal"/>
    <w:uiPriority w:val="40"/>
    <w:locked/>
    <w:rsid w:val="002B1C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table2">
    <w:name w:val="BE - table2"/>
    <w:basedOn w:val="TableGrid"/>
    <w:uiPriority w:val="99"/>
    <w:rsid w:val="003A3BCA"/>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37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466244171">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45607572">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673532646">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871578340">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080059740">
      <w:bodyDiv w:val="1"/>
      <w:marLeft w:val="0"/>
      <w:marRight w:val="0"/>
      <w:marTop w:val="0"/>
      <w:marBottom w:val="0"/>
      <w:divBdr>
        <w:top w:val="none" w:sz="0" w:space="0" w:color="auto"/>
        <w:left w:val="none" w:sz="0" w:space="0" w:color="auto"/>
        <w:bottom w:val="none" w:sz="0" w:space="0" w:color="auto"/>
        <w:right w:val="none" w:sz="0" w:space="0" w:color="auto"/>
      </w:divBdr>
    </w:div>
    <w:div w:id="1093160963">
      <w:bodyDiv w:val="1"/>
      <w:marLeft w:val="0"/>
      <w:marRight w:val="0"/>
      <w:marTop w:val="0"/>
      <w:marBottom w:val="0"/>
      <w:divBdr>
        <w:top w:val="none" w:sz="0" w:space="0" w:color="auto"/>
        <w:left w:val="none" w:sz="0" w:space="0" w:color="auto"/>
        <w:bottom w:val="none" w:sz="0" w:space="0" w:color="auto"/>
        <w:right w:val="none" w:sz="0" w:space="0" w:color="auto"/>
      </w:divBdr>
    </w:div>
    <w:div w:id="1128738019">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268350071">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89719700">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 w:id="1775977393">
      <w:bodyDiv w:val="1"/>
      <w:marLeft w:val="0"/>
      <w:marRight w:val="0"/>
      <w:marTop w:val="0"/>
      <w:marBottom w:val="0"/>
      <w:divBdr>
        <w:top w:val="none" w:sz="0" w:space="0" w:color="auto"/>
        <w:left w:val="none" w:sz="0" w:space="0" w:color="auto"/>
        <w:bottom w:val="none" w:sz="0" w:space="0" w:color="auto"/>
        <w:right w:val="none" w:sz="0" w:space="0" w:color="auto"/>
      </w:divBdr>
    </w:div>
    <w:div w:id="19506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images.magnetmail.net/images/clients/ISRIID/attach/ENIndonesiaGovtJointDecreeonRPimportsEN.pdf" TargetMode="External"/><Relationship Id="rId13" Type="http://schemas.openxmlformats.org/officeDocument/2006/relationships/hyperlink" Target="https://vanbanphapluat.co/decision-28-2020-qd-ttg-the-list-of-waste-permitted-for-import-as-production-materials" TargetMode="External"/><Relationship Id="rId18" Type="http://schemas.openxmlformats.org/officeDocument/2006/relationships/hyperlink" Target="https://www.thesundaily.my/opinion/becoming-a-leader-tackling-plastic-waste-DC6466588" TargetMode="External"/><Relationship Id="rId26" Type="http://schemas.openxmlformats.org/officeDocument/2006/relationships/hyperlink" Target="http://www.commerce.gov.pk/wp-content/uploads/2020/09/Import-Policy-Order-25-09-2020.pdf" TargetMode="External"/><Relationship Id="rId3" Type="http://schemas.openxmlformats.org/officeDocument/2006/relationships/hyperlink" Target="https://www.australianmining.com.au/news/australian-copper-production-declines-in-2020/" TargetMode="External"/><Relationship Id="rId21" Type="http://schemas.openxmlformats.org/officeDocument/2006/relationships/hyperlink" Target="https://www.bangkokpost.com/life/social-and-lifestyle/2042171/the-year-nature-bounced-back" TargetMode="External"/><Relationship Id="rId7" Type="http://schemas.openxmlformats.org/officeDocument/2006/relationships/hyperlink" Target="https://global-recycling.info/archives/5425" TargetMode="External"/><Relationship Id="rId12" Type="http://schemas.openxmlformats.org/officeDocument/2006/relationships/hyperlink" Target="http://extwprlegs1.fao.org/docs/pdf/bgd171057.pdf" TargetMode="External"/><Relationship Id="rId17" Type="http://schemas.openxmlformats.org/officeDocument/2006/relationships/hyperlink" Target="https://www.reuters.com/article/us-malaysia-environment-plastic-idUSKBN2BG0ZL" TargetMode="External"/><Relationship Id="rId25" Type="http://schemas.openxmlformats.org/officeDocument/2006/relationships/hyperlink" Target="https://www.koreatimes.co.kr/www/nation/2020/06/371_292052.html" TargetMode="External"/><Relationship Id="rId2" Type="http://schemas.openxmlformats.org/officeDocument/2006/relationships/hyperlink" Target="https://www.abc.net.au/news/2021-05-27/iron-ore-price-at-record-high-but-australia-china-tensions-loom/100166932" TargetMode="External"/><Relationship Id="rId16" Type="http://schemas.openxmlformats.org/officeDocument/2006/relationships/hyperlink" Target="https://www.spglobal.com/platts/en/market-insights/latest-news/metals/022019-vietnams-jan-scrap-imports-plunge-amid-stricter-government-rules" TargetMode="External"/><Relationship Id="rId20" Type="http://schemas.openxmlformats.org/officeDocument/2006/relationships/hyperlink" Target="https://www.rebnews.com/thailand-considering-plastic-import-ban-from-1-january-2022/" TargetMode="External"/><Relationship Id="rId1" Type="http://schemas.openxmlformats.org/officeDocument/2006/relationships/hyperlink" Target="https://www.abs.gov.au/statistics/economy/international-trade/international-merchandise-trade-preliminary-australia/latest-release" TargetMode="External"/><Relationship Id="rId6" Type="http://schemas.openxmlformats.org/officeDocument/2006/relationships/hyperlink" Target="https://recyclinginternational.com/bir-convention/growing-fears-of-global-recycling-infrastructure-collapse/36136/" TargetMode="External"/><Relationship Id="rId11" Type="http://schemas.openxmlformats.org/officeDocument/2006/relationships/hyperlink" Target="https://www.metalbulletin.com/Article/3983295/FOCUS-India-mulls-over-self-sufficient-future-without-imported-scrap.html" TargetMode="External"/><Relationship Id="rId24" Type="http://schemas.openxmlformats.org/officeDocument/2006/relationships/hyperlink" Target="https://business.inquirer.net/315509/s-korea-to-phase-out-industrial-waste-imports" TargetMode="External"/><Relationship Id="rId5" Type="http://schemas.openxmlformats.org/officeDocument/2006/relationships/hyperlink" Target="http://www.earththailand.org/en/article/715" TargetMode="External"/><Relationship Id="rId15"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23" Type="http://schemas.openxmlformats.org/officeDocument/2006/relationships/hyperlink" Target="http://www.businesskorea.co.kr/news/articleView.html?idxno=58078" TargetMode="External"/><Relationship Id="rId10" Type="http://schemas.openxmlformats.org/officeDocument/2006/relationships/hyperlink" Target="https://www.wastedive.com/news/india-enforce-contamination-rate-inspections-paper-imports/570427/" TargetMode="External"/><Relationship Id="rId19" Type="http://schemas.openxmlformats.org/officeDocument/2006/relationships/hyperlink" Target="https://images.magnetmail.net/images/clients/ISRIID/attach/20201124ChinaSWimportbanEN.pdf" TargetMode="External"/><Relationship Id="rId4" Type="http://schemas.openxmlformats.org/officeDocument/2006/relationships/hyperlink" Target="https://en.antaranews.com/news/177746/recycling-industry-processing-just-one-third-of-nations-waste-govt" TargetMode="External"/><Relationship Id="rId9" Type="http://schemas.openxmlformats.org/officeDocument/2006/relationships/hyperlink" Target="https://www.businesstoday.in/current/policy/india-bans-import-of-plastic-waste-from-august-this-year-to-curb-pollution/story/358778.html" TargetMode="External"/><Relationship Id="rId14" Type="http://schemas.openxmlformats.org/officeDocument/2006/relationships/hyperlink" Target="https://www.cciclondon.com/portal/article/index/cat_id/35/id/286.html" TargetMode="External"/><Relationship Id="rId22" Type="http://schemas.openxmlformats.org/officeDocument/2006/relationships/hyperlink" Target="http://www.taipeitimes.com/News/taiwan/archives/2018/10/02/20037015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4.xml><?xml version="1.0" encoding="utf-8"?>
<root>
  <reviewers>Name Surname, Name Surname</reviewers>
  <projnumber>1234</projnumber>
  <contractdate>2018-01-01T00:00:00</contractdate>
  <infocurrent>2017-07-01T00:00:00</infocurrent>
  <copyright/>
</root>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2" ma:contentTypeDescription="Create a new document." ma:contentTypeScope="" ma:versionID="679fd235f2e52f711cc918d3c6a7adc2">
  <xsd:schema xmlns:xsd="http://www.w3.org/2001/XMLSchema" xmlns:xs="http://www.w3.org/2001/XMLSchema" xmlns:p="http://schemas.microsoft.com/office/2006/metadata/properties" xmlns:ns2="ac7ce04e-ea5d-4d46-bab0-39b1fa6a6f36" targetNamespace="http://schemas.microsoft.com/office/2006/metadata/properties" ma:root="true" ma:fieldsID="459038f077884b135300fb5f2bc6d86f"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8B79E7-06B1-401D-B83A-58A8A1C0C3A5}">
  <ds:schemaRefs>
    <ds:schemaRef ds:uri="http://schemas.microsoft.com/sharepoint/v3/contenttype/forms"/>
  </ds:schemaRefs>
</ds:datastoreItem>
</file>

<file path=customXml/itemProps3.xml><?xml version="1.0" encoding="utf-8"?>
<ds:datastoreItem xmlns:ds="http://schemas.openxmlformats.org/officeDocument/2006/customXml" ds:itemID="{60D061E0-1B91-4254-B6E7-DE85A0BCB424}">
  <ds:schemaRefs>
    <ds:schemaRef ds:uri="http://schemas.openxmlformats.org/officeDocument/2006/bibliography"/>
  </ds:schemaRefs>
</ds:datastoreItem>
</file>

<file path=customXml/itemProps4.xml><?xml version="1.0" encoding="utf-8"?>
<ds:datastoreItem xmlns:ds="http://schemas.openxmlformats.org/officeDocument/2006/customXml" ds:itemID="{A510F670-9325-470C-97D0-A9A4BC3018FA}">
  <ds:schemaRefs/>
</ds:datastoreItem>
</file>

<file path=customXml/itemProps5.xml><?xml version="1.0" encoding="utf-8"?>
<ds:datastoreItem xmlns:ds="http://schemas.openxmlformats.org/officeDocument/2006/customXml" ds:itemID="{6040A215-B830-40C0-91EC-5EE3078176A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c7ce04e-ea5d-4d46-bab0-39b1fa6a6f36"/>
    <ds:schemaRef ds:uri="http://www.w3.org/XML/1998/namespace"/>
    <ds:schemaRef ds:uri="http://purl.org/dc/dcmitype/"/>
  </ds:schemaRefs>
</ds:datastoreItem>
</file>

<file path=customXml/itemProps6.xml><?xml version="1.0" encoding="utf-8"?>
<ds:datastoreItem xmlns:ds="http://schemas.openxmlformats.org/officeDocument/2006/customXml" ds:itemID="{D4F65923-723D-42C4-8553-7474AA9D3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Exports of Australian waste and recovered materials in May 2021</vt:lpstr>
    </vt:vector>
  </TitlesOfParts>
  <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of Australian waste and recovered materials in May 2021</dc:title>
  <dc:creator>Sally@blueenvironment.com.au</dc:creator>
  <cp:keywords>Copyright</cp:keywords>
  <cp:revision>10</cp:revision>
  <cp:lastPrinted>2021-08-16T06:39:00Z</cp:lastPrinted>
  <dcterms:created xsi:type="dcterms:W3CDTF">2021-08-16T06:08:00Z</dcterms:created>
  <dcterms:modified xsi:type="dcterms:W3CDTF">2021-08-29T11:21:00Z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