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D9768" w14:textId="4EF0493D" w:rsidR="00C944F8" w:rsidRDefault="00C944F8" w:rsidP="00C944F8">
      <w:pPr>
        <w:pStyle w:val="Heading4"/>
        <w:ind w:left="1361"/>
      </w:pPr>
    </w:p>
    <w:p w14:paraId="244F9E32" w14:textId="70895E83" w:rsidR="00C944F8" w:rsidRDefault="00323DA9" w:rsidP="00323DA9">
      <w:pPr>
        <w:pStyle w:val="ReportTitle"/>
        <w:ind w:left="1361"/>
      </w:pPr>
      <w:r>
        <w:t>Waste Glass Industry Standards</w:t>
      </w:r>
    </w:p>
    <w:p w14:paraId="1D74B9F6" w14:textId="77777777" w:rsidR="00C944F8" w:rsidRDefault="00C944F8" w:rsidP="00C944F8">
      <w:pPr>
        <w:pStyle w:val="ReportTitle"/>
        <w:ind w:left="1361"/>
      </w:pPr>
    </w:p>
    <w:p w14:paraId="220EC505" w14:textId="76248C3C" w:rsidR="00C944F8" w:rsidRDefault="00711CA4" w:rsidP="00C944F8">
      <w:pPr>
        <w:pStyle w:val="Reportsubtitle"/>
        <w:ind w:left="1361"/>
      </w:pPr>
      <w:r>
        <w:t>Snapshot</w:t>
      </w:r>
      <w:r w:rsidR="00323DA9">
        <w:t xml:space="preserve"> of MRA Consulting Group’s Report</w:t>
      </w:r>
    </w:p>
    <w:p w14:paraId="2BA92291" w14:textId="1B6ABA12" w:rsidR="00C944F8" w:rsidRDefault="007B0D92" w:rsidP="00C944F8">
      <w:pPr>
        <w:pStyle w:val="Reportsubtitle"/>
        <w:ind w:left="1361"/>
      </w:pPr>
      <w:r>
        <w:t xml:space="preserve">February </w:t>
      </w:r>
      <w:r w:rsidR="00476C11">
        <w:t>2021</w:t>
      </w:r>
    </w:p>
    <w:p w14:paraId="129FCEAC" w14:textId="77777777" w:rsidR="007A252C" w:rsidRDefault="007A252C" w:rsidP="007A252C">
      <w:pPr>
        <w:pStyle w:val="Heading1"/>
      </w:pPr>
    </w:p>
    <w:p w14:paraId="17C86697" w14:textId="77777777" w:rsidR="007A252C" w:rsidRDefault="007A252C" w:rsidP="007A252C"/>
    <w:p w14:paraId="7E147AFB" w14:textId="77777777" w:rsidR="007A252C" w:rsidRPr="007A252C" w:rsidRDefault="007A252C" w:rsidP="007A252C"/>
    <w:p w14:paraId="72BEDE00" w14:textId="77777777" w:rsidR="007A252C" w:rsidRDefault="007A252C" w:rsidP="007A252C">
      <w:pPr>
        <w:sectPr w:rsidR="007A252C" w:rsidSect="00C944F8">
          <w:headerReference w:type="even" r:id="rId8"/>
          <w:footerReference w:type="default" r:id="rId9"/>
          <w:headerReference w:type="first" r:id="rId10"/>
          <w:footerReference w:type="first" r:id="rId11"/>
          <w:pgSz w:w="11906" w:h="16838" w:code="9"/>
          <w:pgMar w:top="3969" w:right="1276" w:bottom="567" w:left="1418" w:header="425" w:footer="425" w:gutter="0"/>
          <w:pgNumType w:start="1"/>
          <w:cols w:space="708"/>
          <w:titlePg/>
          <w:docGrid w:linePitch="360"/>
        </w:sectPr>
      </w:pPr>
    </w:p>
    <w:sdt>
      <w:sdtPr>
        <w:rPr>
          <w:rFonts w:eastAsia="Calibri" w:cs="Times New Roman"/>
          <w:b/>
          <w:bCs w:val="0"/>
          <w:caps/>
          <w:color w:val="auto"/>
          <w:sz w:val="22"/>
          <w:szCs w:val="22"/>
          <w:lang w:val="en-AU"/>
        </w:rPr>
        <w:id w:val="9750151"/>
        <w:docPartObj>
          <w:docPartGallery w:val="Table of Contents"/>
          <w:docPartUnique/>
        </w:docPartObj>
      </w:sdtPr>
      <w:sdtEndPr>
        <w:rPr>
          <w:b w:val="0"/>
          <w:caps w:val="0"/>
        </w:rPr>
      </w:sdtEndPr>
      <w:sdtContent>
        <w:p w14:paraId="1F5798B8" w14:textId="77777777" w:rsidR="00D5672F" w:rsidRDefault="00D5672F" w:rsidP="00D5672F">
          <w:pPr>
            <w:pStyle w:val="TOCHeading"/>
          </w:pPr>
          <w:r w:rsidRPr="005525F2">
            <w:t>Contents</w:t>
          </w:r>
        </w:p>
        <w:p w14:paraId="17FB9E88" w14:textId="6C90DE4A" w:rsidR="006A7048" w:rsidRDefault="004D208A">
          <w:pPr>
            <w:pStyle w:val="TOC1"/>
            <w:tabs>
              <w:tab w:val="right" w:leader="dot" w:pos="9202"/>
            </w:tabs>
            <w:rPr>
              <w:rFonts w:asciiTheme="minorHAnsi" w:eastAsiaTheme="minorEastAsia" w:hAnsiTheme="minorHAnsi" w:cstheme="minorBidi"/>
              <w:b w:val="0"/>
              <w:noProof/>
              <w:lang w:eastAsia="en-AU"/>
            </w:rPr>
          </w:pPr>
          <w:r>
            <w:fldChar w:fldCharType="begin"/>
          </w:r>
          <w:r w:rsidR="00D5672F">
            <w:instrText xml:space="preserve"> TOC \o "1-3" \h \z \u </w:instrText>
          </w:r>
          <w:r>
            <w:fldChar w:fldCharType="separate"/>
          </w:r>
          <w:hyperlink w:anchor="_Toc54265057" w:history="1">
            <w:r w:rsidR="006A7048" w:rsidRPr="006A474E">
              <w:rPr>
                <w:rStyle w:val="Hyperlink"/>
                <w:noProof/>
              </w:rPr>
              <w:t>Introduction</w:t>
            </w:r>
            <w:r w:rsidR="006A7048">
              <w:rPr>
                <w:noProof/>
                <w:webHidden/>
              </w:rPr>
              <w:tab/>
            </w:r>
            <w:r w:rsidR="006A7048">
              <w:rPr>
                <w:noProof/>
                <w:webHidden/>
              </w:rPr>
              <w:fldChar w:fldCharType="begin"/>
            </w:r>
            <w:r w:rsidR="006A7048">
              <w:rPr>
                <w:noProof/>
                <w:webHidden/>
              </w:rPr>
              <w:instrText xml:space="preserve"> PAGEREF _Toc54265057 \h </w:instrText>
            </w:r>
            <w:r w:rsidR="006A7048">
              <w:rPr>
                <w:noProof/>
                <w:webHidden/>
              </w:rPr>
            </w:r>
            <w:r w:rsidR="006A7048">
              <w:rPr>
                <w:noProof/>
                <w:webHidden/>
              </w:rPr>
              <w:fldChar w:fldCharType="separate"/>
            </w:r>
            <w:r w:rsidR="006A7048">
              <w:rPr>
                <w:noProof/>
                <w:webHidden/>
              </w:rPr>
              <w:t>1</w:t>
            </w:r>
            <w:r w:rsidR="006A7048">
              <w:rPr>
                <w:noProof/>
                <w:webHidden/>
              </w:rPr>
              <w:fldChar w:fldCharType="end"/>
            </w:r>
          </w:hyperlink>
        </w:p>
        <w:p w14:paraId="2AFD8C1E" w14:textId="4168859D" w:rsidR="006A7048" w:rsidRDefault="00103639">
          <w:pPr>
            <w:pStyle w:val="TOC2"/>
            <w:tabs>
              <w:tab w:val="right" w:leader="dot" w:pos="9202"/>
            </w:tabs>
            <w:rPr>
              <w:rFonts w:asciiTheme="minorHAnsi" w:eastAsiaTheme="minorEastAsia" w:hAnsiTheme="minorHAnsi" w:cstheme="minorBidi"/>
              <w:noProof/>
              <w:lang w:eastAsia="en-AU"/>
            </w:rPr>
          </w:pPr>
          <w:hyperlink w:anchor="_Toc54265058" w:history="1">
            <w:r w:rsidR="006A7048" w:rsidRPr="006A474E">
              <w:rPr>
                <w:rStyle w:val="Hyperlink"/>
                <w:noProof/>
              </w:rPr>
              <w:t>Waste Export Ban</w:t>
            </w:r>
            <w:r w:rsidR="006A7048">
              <w:rPr>
                <w:noProof/>
                <w:webHidden/>
              </w:rPr>
              <w:tab/>
            </w:r>
            <w:r w:rsidR="006A7048">
              <w:rPr>
                <w:noProof/>
                <w:webHidden/>
              </w:rPr>
              <w:fldChar w:fldCharType="begin"/>
            </w:r>
            <w:r w:rsidR="006A7048">
              <w:rPr>
                <w:noProof/>
                <w:webHidden/>
              </w:rPr>
              <w:instrText xml:space="preserve"> PAGEREF _Toc54265058 \h </w:instrText>
            </w:r>
            <w:r w:rsidR="006A7048">
              <w:rPr>
                <w:noProof/>
                <w:webHidden/>
              </w:rPr>
            </w:r>
            <w:r w:rsidR="006A7048">
              <w:rPr>
                <w:noProof/>
                <w:webHidden/>
              </w:rPr>
              <w:fldChar w:fldCharType="separate"/>
            </w:r>
            <w:r w:rsidR="006A7048">
              <w:rPr>
                <w:noProof/>
                <w:webHidden/>
              </w:rPr>
              <w:t>1</w:t>
            </w:r>
            <w:r w:rsidR="006A7048">
              <w:rPr>
                <w:noProof/>
                <w:webHidden/>
              </w:rPr>
              <w:fldChar w:fldCharType="end"/>
            </w:r>
          </w:hyperlink>
        </w:p>
        <w:p w14:paraId="5BF52407" w14:textId="58E4EF83" w:rsidR="006A7048" w:rsidRDefault="00103639">
          <w:pPr>
            <w:pStyle w:val="TOC2"/>
            <w:tabs>
              <w:tab w:val="right" w:leader="dot" w:pos="9202"/>
            </w:tabs>
            <w:rPr>
              <w:rFonts w:asciiTheme="minorHAnsi" w:eastAsiaTheme="minorEastAsia" w:hAnsiTheme="minorHAnsi" w:cstheme="minorBidi"/>
              <w:noProof/>
              <w:lang w:eastAsia="en-AU"/>
            </w:rPr>
          </w:pPr>
          <w:hyperlink w:anchor="_Toc54265059" w:history="1">
            <w:r w:rsidR="006A7048" w:rsidRPr="006A474E">
              <w:rPr>
                <w:rStyle w:val="Hyperlink"/>
                <w:noProof/>
              </w:rPr>
              <w:t>MRA Consulting Group’s Report</w:t>
            </w:r>
            <w:r w:rsidR="006A7048">
              <w:rPr>
                <w:noProof/>
                <w:webHidden/>
              </w:rPr>
              <w:tab/>
            </w:r>
            <w:r w:rsidR="006A7048">
              <w:rPr>
                <w:noProof/>
                <w:webHidden/>
              </w:rPr>
              <w:fldChar w:fldCharType="begin"/>
            </w:r>
            <w:r w:rsidR="006A7048">
              <w:rPr>
                <w:noProof/>
                <w:webHidden/>
              </w:rPr>
              <w:instrText xml:space="preserve"> PAGEREF _Toc54265059 \h </w:instrText>
            </w:r>
            <w:r w:rsidR="006A7048">
              <w:rPr>
                <w:noProof/>
                <w:webHidden/>
              </w:rPr>
            </w:r>
            <w:r w:rsidR="006A7048">
              <w:rPr>
                <w:noProof/>
                <w:webHidden/>
              </w:rPr>
              <w:fldChar w:fldCharType="separate"/>
            </w:r>
            <w:r w:rsidR="006A7048">
              <w:rPr>
                <w:noProof/>
                <w:webHidden/>
              </w:rPr>
              <w:t>1</w:t>
            </w:r>
            <w:r w:rsidR="006A7048">
              <w:rPr>
                <w:noProof/>
                <w:webHidden/>
              </w:rPr>
              <w:fldChar w:fldCharType="end"/>
            </w:r>
          </w:hyperlink>
        </w:p>
        <w:p w14:paraId="6674052B" w14:textId="31AAD214" w:rsidR="006A7048" w:rsidRDefault="00103639">
          <w:pPr>
            <w:pStyle w:val="TOC1"/>
            <w:tabs>
              <w:tab w:val="right" w:leader="dot" w:pos="9202"/>
            </w:tabs>
            <w:rPr>
              <w:rFonts w:asciiTheme="minorHAnsi" w:eastAsiaTheme="minorEastAsia" w:hAnsiTheme="minorHAnsi" w:cstheme="minorBidi"/>
              <w:b w:val="0"/>
              <w:noProof/>
              <w:lang w:eastAsia="en-AU"/>
            </w:rPr>
          </w:pPr>
          <w:hyperlink w:anchor="_Toc54265060" w:history="1">
            <w:r w:rsidR="006A7048" w:rsidRPr="006A474E">
              <w:rPr>
                <w:rStyle w:val="Hyperlink"/>
                <w:noProof/>
              </w:rPr>
              <w:t>Snapshot</w:t>
            </w:r>
            <w:r w:rsidR="006A7048">
              <w:rPr>
                <w:noProof/>
                <w:webHidden/>
              </w:rPr>
              <w:tab/>
            </w:r>
            <w:r w:rsidR="006A7048">
              <w:rPr>
                <w:noProof/>
                <w:webHidden/>
              </w:rPr>
              <w:fldChar w:fldCharType="begin"/>
            </w:r>
            <w:r w:rsidR="006A7048">
              <w:rPr>
                <w:noProof/>
                <w:webHidden/>
              </w:rPr>
              <w:instrText xml:space="preserve"> PAGEREF _Toc54265060 \h </w:instrText>
            </w:r>
            <w:r w:rsidR="006A7048">
              <w:rPr>
                <w:noProof/>
                <w:webHidden/>
              </w:rPr>
            </w:r>
            <w:r w:rsidR="006A7048">
              <w:rPr>
                <w:noProof/>
                <w:webHidden/>
              </w:rPr>
              <w:fldChar w:fldCharType="separate"/>
            </w:r>
            <w:r w:rsidR="006A7048">
              <w:rPr>
                <w:noProof/>
                <w:webHidden/>
              </w:rPr>
              <w:t>2</w:t>
            </w:r>
            <w:r w:rsidR="006A7048">
              <w:rPr>
                <w:noProof/>
                <w:webHidden/>
              </w:rPr>
              <w:fldChar w:fldCharType="end"/>
            </w:r>
          </w:hyperlink>
        </w:p>
        <w:p w14:paraId="0BF740A7" w14:textId="537CA26F" w:rsidR="006A7048" w:rsidRDefault="00103639">
          <w:pPr>
            <w:pStyle w:val="TOC2"/>
            <w:tabs>
              <w:tab w:val="right" w:leader="dot" w:pos="9202"/>
            </w:tabs>
            <w:rPr>
              <w:rFonts w:asciiTheme="minorHAnsi" w:eastAsiaTheme="minorEastAsia" w:hAnsiTheme="minorHAnsi" w:cstheme="minorBidi"/>
              <w:noProof/>
              <w:lang w:eastAsia="en-AU"/>
            </w:rPr>
          </w:pPr>
          <w:hyperlink w:anchor="_Toc54265061" w:history="1">
            <w:r w:rsidR="006A7048" w:rsidRPr="006A474E">
              <w:rPr>
                <w:rStyle w:val="Hyperlink"/>
                <w:noProof/>
              </w:rPr>
              <w:t>Producting and Consumption of Glass Packaging</w:t>
            </w:r>
            <w:r w:rsidR="006A7048">
              <w:rPr>
                <w:noProof/>
                <w:webHidden/>
              </w:rPr>
              <w:tab/>
            </w:r>
            <w:r w:rsidR="006A7048">
              <w:rPr>
                <w:noProof/>
                <w:webHidden/>
              </w:rPr>
              <w:fldChar w:fldCharType="begin"/>
            </w:r>
            <w:r w:rsidR="006A7048">
              <w:rPr>
                <w:noProof/>
                <w:webHidden/>
              </w:rPr>
              <w:instrText xml:space="preserve"> PAGEREF _Toc54265061 \h </w:instrText>
            </w:r>
            <w:r w:rsidR="006A7048">
              <w:rPr>
                <w:noProof/>
                <w:webHidden/>
              </w:rPr>
            </w:r>
            <w:r w:rsidR="006A7048">
              <w:rPr>
                <w:noProof/>
                <w:webHidden/>
              </w:rPr>
              <w:fldChar w:fldCharType="separate"/>
            </w:r>
            <w:r w:rsidR="006A7048">
              <w:rPr>
                <w:noProof/>
                <w:webHidden/>
              </w:rPr>
              <w:t>2</w:t>
            </w:r>
            <w:r w:rsidR="006A7048">
              <w:rPr>
                <w:noProof/>
                <w:webHidden/>
              </w:rPr>
              <w:fldChar w:fldCharType="end"/>
            </w:r>
          </w:hyperlink>
        </w:p>
        <w:p w14:paraId="27780E14" w14:textId="1FC4D18B" w:rsidR="006A7048" w:rsidRDefault="00103639">
          <w:pPr>
            <w:pStyle w:val="TOC2"/>
            <w:tabs>
              <w:tab w:val="right" w:leader="dot" w:pos="9202"/>
            </w:tabs>
            <w:rPr>
              <w:rFonts w:asciiTheme="minorHAnsi" w:eastAsiaTheme="minorEastAsia" w:hAnsiTheme="minorHAnsi" w:cstheme="minorBidi"/>
              <w:noProof/>
              <w:lang w:eastAsia="en-AU"/>
            </w:rPr>
          </w:pPr>
          <w:hyperlink w:anchor="_Toc54265062" w:history="1">
            <w:r w:rsidR="006A7048" w:rsidRPr="006A474E">
              <w:rPr>
                <w:rStyle w:val="Hyperlink"/>
                <w:noProof/>
              </w:rPr>
              <w:t>Waste Glass Recovery</w:t>
            </w:r>
            <w:r w:rsidR="006A7048">
              <w:rPr>
                <w:noProof/>
                <w:webHidden/>
              </w:rPr>
              <w:tab/>
            </w:r>
            <w:r w:rsidR="006A7048">
              <w:rPr>
                <w:noProof/>
                <w:webHidden/>
              </w:rPr>
              <w:fldChar w:fldCharType="begin"/>
            </w:r>
            <w:r w:rsidR="006A7048">
              <w:rPr>
                <w:noProof/>
                <w:webHidden/>
              </w:rPr>
              <w:instrText xml:space="preserve"> PAGEREF _Toc54265062 \h </w:instrText>
            </w:r>
            <w:r w:rsidR="006A7048">
              <w:rPr>
                <w:noProof/>
                <w:webHidden/>
              </w:rPr>
            </w:r>
            <w:r w:rsidR="006A7048">
              <w:rPr>
                <w:noProof/>
                <w:webHidden/>
              </w:rPr>
              <w:fldChar w:fldCharType="separate"/>
            </w:r>
            <w:r w:rsidR="006A7048">
              <w:rPr>
                <w:noProof/>
                <w:webHidden/>
              </w:rPr>
              <w:t>2</w:t>
            </w:r>
            <w:r w:rsidR="006A7048">
              <w:rPr>
                <w:noProof/>
                <w:webHidden/>
              </w:rPr>
              <w:fldChar w:fldCharType="end"/>
            </w:r>
          </w:hyperlink>
        </w:p>
        <w:p w14:paraId="43C0CCB6" w14:textId="33624F7B" w:rsidR="006A7048" w:rsidRDefault="00103639">
          <w:pPr>
            <w:pStyle w:val="TOC2"/>
            <w:tabs>
              <w:tab w:val="right" w:leader="dot" w:pos="9202"/>
            </w:tabs>
            <w:rPr>
              <w:rFonts w:asciiTheme="minorHAnsi" w:eastAsiaTheme="minorEastAsia" w:hAnsiTheme="minorHAnsi" w:cstheme="minorBidi"/>
              <w:noProof/>
              <w:lang w:eastAsia="en-AU"/>
            </w:rPr>
          </w:pPr>
          <w:hyperlink w:anchor="_Toc54265063" w:history="1">
            <w:r w:rsidR="006A7048" w:rsidRPr="006A474E">
              <w:rPr>
                <w:rStyle w:val="Hyperlink"/>
                <w:noProof/>
              </w:rPr>
              <w:t>Waste Glass Products</w:t>
            </w:r>
            <w:r w:rsidR="006A7048">
              <w:rPr>
                <w:noProof/>
                <w:webHidden/>
              </w:rPr>
              <w:tab/>
            </w:r>
            <w:r w:rsidR="006A7048">
              <w:rPr>
                <w:noProof/>
                <w:webHidden/>
              </w:rPr>
              <w:fldChar w:fldCharType="begin"/>
            </w:r>
            <w:r w:rsidR="006A7048">
              <w:rPr>
                <w:noProof/>
                <w:webHidden/>
              </w:rPr>
              <w:instrText xml:space="preserve"> PAGEREF _Toc54265063 \h </w:instrText>
            </w:r>
            <w:r w:rsidR="006A7048">
              <w:rPr>
                <w:noProof/>
                <w:webHidden/>
              </w:rPr>
            </w:r>
            <w:r w:rsidR="006A7048">
              <w:rPr>
                <w:noProof/>
                <w:webHidden/>
              </w:rPr>
              <w:fldChar w:fldCharType="separate"/>
            </w:r>
            <w:r w:rsidR="006A7048">
              <w:rPr>
                <w:noProof/>
                <w:webHidden/>
              </w:rPr>
              <w:t>3</w:t>
            </w:r>
            <w:r w:rsidR="006A7048">
              <w:rPr>
                <w:noProof/>
                <w:webHidden/>
              </w:rPr>
              <w:fldChar w:fldCharType="end"/>
            </w:r>
          </w:hyperlink>
        </w:p>
        <w:p w14:paraId="567A4BD7" w14:textId="63892AEE" w:rsidR="006A7048" w:rsidRDefault="00103639">
          <w:pPr>
            <w:pStyle w:val="TOC2"/>
            <w:tabs>
              <w:tab w:val="right" w:leader="dot" w:pos="9202"/>
            </w:tabs>
            <w:rPr>
              <w:rFonts w:asciiTheme="minorHAnsi" w:eastAsiaTheme="minorEastAsia" w:hAnsiTheme="minorHAnsi" w:cstheme="minorBidi"/>
              <w:noProof/>
              <w:lang w:eastAsia="en-AU"/>
            </w:rPr>
          </w:pPr>
          <w:hyperlink w:anchor="_Toc54265064" w:history="1">
            <w:r w:rsidR="006A7048" w:rsidRPr="006A474E">
              <w:rPr>
                <w:rStyle w:val="Hyperlink"/>
                <w:noProof/>
              </w:rPr>
              <w:t>Domestic Demand for Glass Cullet and Glass Sand</w:t>
            </w:r>
            <w:r w:rsidR="006A7048">
              <w:rPr>
                <w:noProof/>
                <w:webHidden/>
              </w:rPr>
              <w:tab/>
            </w:r>
            <w:r w:rsidR="006A7048">
              <w:rPr>
                <w:noProof/>
                <w:webHidden/>
              </w:rPr>
              <w:fldChar w:fldCharType="begin"/>
            </w:r>
            <w:r w:rsidR="006A7048">
              <w:rPr>
                <w:noProof/>
                <w:webHidden/>
              </w:rPr>
              <w:instrText xml:space="preserve"> PAGEREF _Toc54265064 \h </w:instrText>
            </w:r>
            <w:r w:rsidR="006A7048">
              <w:rPr>
                <w:noProof/>
                <w:webHidden/>
              </w:rPr>
            </w:r>
            <w:r w:rsidR="006A7048">
              <w:rPr>
                <w:noProof/>
                <w:webHidden/>
              </w:rPr>
              <w:fldChar w:fldCharType="separate"/>
            </w:r>
            <w:r w:rsidR="006A7048">
              <w:rPr>
                <w:noProof/>
                <w:webHidden/>
              </w:rPr>
              <w:t>4</w:t>
            </w:r>
            <w:r w:rsidR="006A7048">
              <w:rPr>
                <w:noProof/>
                <w:webHidden/>
              </w:rPr>
              <w:fldChar w:fldCharType="end"/>
            </w:r>
          </w:hyperlink>
        </w:p>
        <w:p w14:paraId="2CBC5C43" w14:textId="719E7121" w:rsidR="006A7048" w:rsidRDefault="00103639">
          <w:pPr>
            <w:pStyle w:val="TOC2"/>
            <w:tabs>
              <w:tab w:val="right" w:leader="dot" w:pos="9202"/>
            </w:tabs>
            <w:rPr>
              <w:rFonts w:asciiTheme="minorHAnsi" w:eastAsiaTheme="minorEastAsia" w:hAnsiTheme="minorHAnsi" w:cstheme="minorBidi"/>
              <w:noProof/>
              <w:lang w:eastAsia="en-AU"/>
            </w:rPr>
          </w:pPr>
          <w:hyperlink w:anchor="_Toc54265065" w:history="1">
            <w:r w:rsidR="006A7048" w:rsidRPr="006A474E">
              <w:rPr>
                <w:rStyle w:val="Hyperlink"/>
                <w:noProof/>
              </w:rPr>
              <w:t>Waste Glass Exports</w:t>
            </w:r>
            <w:r w:rsidR="006A7048">
              <w:rPr>
                <w:noProof/>
                <w:webHidden/>
              </w:rPr>
              <w:tab/>
            </w:r>
            <w:r w:rsidR="006A7048">
              <w:rPr>
                <w:noProof/>
                <w:webHidden/>
              </w:rPr>
              <w:fldChar w:fldCharType="begin"/>
            </w:r>
            <w:r w:rsidR="006A7048">
              <w:rPr>
                <w:noProof/>
                <w:webHidden/>
              </w:rPr>
              <w:instrText xml:space="preserve"> PAGEREF _Toc54265065 \h </w:instrText>
            </w:r>
            <w:r w:rsidR="006A7048">
              <w:rPr>
                <w:noProof/>
                <w:webHidden/>
              </w:rPr>
            </w:r>
            <w:r w:rsidR="006A7048">
              <w:rPr>
                <w:noProof/>
                <w:webHidden/>
              </w:rPr>
              <w:fldChar w:fldCharType="separate"/>
            </w:r>
            <w:r w:rsidR="006A7048">
              <w:rPr>
                <w:noProof/>
                <w:webHidden/>
              </w:rPr>
              <w:t>4</w:t>
            </w:r>
            <w:r w:rsidR="006A7048">
              <w:rPr>
                <w:noProof/>
                <w:webHidden/>
              </w:rPr>
              <w:fldChar w:fldCharType="end"/>
            </w:r>
          </w:hyperlink>
        </w:p>
        <w:p w14:paraId="512C320F" w14:textId="4B808F54" w:rsidR="006A7048" w:rsidRDefault="00103639">
          <w:pPr>
            <w:pStyle w:val="TOC2"/>
            <w:tabs>
              <w:tab w:val="right" w:leader="dot" w:pos="9202"/>
            </w:tabs>
            <w:rPr>
              <w:rFonts w:asciiTheme="minorHAnsi" w:eastAsiaTheme="minorEastAsia" w:hAnsiTheme="minorHAnsi" w:cstheme="minorBidi"/>
              <w:noProof/>
              <w:lang w:eastAsia="en-AU"/>
            </w:rPr>
          </w:pPr>
          <w:hyperlink w:anchor="_Toc54265066" w:history="1">
            <w:r w:rsidR="006A7048" w:rsidRPr="006A474E">
              <w:rPr>
                <w:rStyle w:val="Hyperlink"/>
                <w:noProof/>
              </w:rPr>
              <w:t>Waste Glass Standards and Specifications</w:t>
            </w:r>
            <w:r w:rsidR="006A7048">
              <w:rPr>
                <w:noProof/>
                <w:webHidden/>
              </w:rPr>
              <w:tab/>
            </w:r>
            <w:r w:rsidR="006A7048">
              <w:rPr>
                <w:noProof/>
                <w:webHidden/>
              </w:rPr>
              <w:fldChar w:fldCharType="begin"/>
            </w:r>
            <w:r w:rsidR="006A7048">
              <w:rPr>
                <w:noProof/>
                <w:webHidden/>
              </w:rPr>
              <w:instrText xml:space="preserve"> PAGEREF _Toc54265066 \h </w:instrText>
            </w:r>
            <w:r w:rsidR="006A7048">
              <w:rPr>
                <w:noProof/>
                <w:webHidden/>
              </w:rPr>
            </w:r>
            <w:r w:rsidR="006A7048">
              <w:rPr>
                <w:noProof/>
                <w:webHidden/>
              </w:rPr>
              <w:fldChar w:fldCharType="separate"/>
            </w:r>
            <w:r w:rsidR="006A7048">
              <w:rPr>
                <w:noProof/>
                <w:webHidden/>
              </w:rPr>
              <w:t>5</w:t>
            </w:r>
            <w:r w:rsidR="006A7048">
              <w:rPr>
                <w:noProof/>
                <w:webHidden/>
              </w:rPr>
              <w:fldChar w:fldCharType="end"/>
            </w:r>
          </w:hyperlink>
        </w:p>
        <w:p w14:paraId="27893A60" w14:textId="571A2DE1" w:rsidR="006A7048" w:rsidRDefault="00103639">
          <w:pPr>
            <w:pStyle w:val="TOC3"/>
            <w:tabs>
              <w:tab w:val="right" w:leader="dot" w:pos="9202"/>
            </w:tabs>
            <w:rPr>
              <w:rFonts w:asciiTheme="minorHAnsi" w:eastAsiaTheme="minorEastAsia" w:hAnsiTheme="minorHAnsi" w:cstheme="minorBidi"/>
              <w:i w:val="0"/>
              <w:noProof/>
              <w:lang w:eastAsia="en-AU"/>
            </w:rPr>
          </w:pPr>
          <w:hyperlink w:anchor="_Toc54265067" w:history="1">
            <w:r w:rsidR="006A7048" w:rsidRPr="006A474E">
              <w:rPr>
                <w:rStyle w:val="Hyperlink"/>
                <w:noProof/>
              </w:rPr>
              <w:t>Parameters</w:t>
            </w:r>
            <w:r w:rsidR="006A7048">
              <w:rPr>
                <w:noProof/>
                <w:webHidden/>
              </w:rPr>
              <w:tab/>
            </w:r>
            <w:r w:rsidR="006A7048">
              <w:rPr>
                <w:noProof/>
                <w:webHidden/>
              </w:rPr>
              <w:fldChar w:fldCharType="begin"/>
            </w:r>
            <w:r w:rsidR="006A7048">
              <w:rPr>
                <w:noProof/>
                <w:webHidden/>
              </w:rPr>
              <w:instrText xml:space="preserve"> PAGEREF _Toc54265067 \h </w:instrText>
            </w:r>
            <w:r w:rsidR="006A7048">
              <w:rPr>
                <w:noProof/>
                <w:webHidden/>
              </w:rPr>
            </w:r>
            <w:r w:rsidR="006A7048">
              <w:rPr>
                <w:noProof/>
                <w:webHidden/>
              </w:rPr>
              <w:fldChar w:fldCharType="separate"/>
            </w:r>
            <w:r w:rsidR="006A7048">
              <w:rPr>
                <w:noProof/>
                <w:webHidden/>
              </w:rPr>
              <w:t>5</w:t>
            </w:r>
            <w:r w:rsidR="006A7048">
              <w:rPr>
                <w:noProof/>
                <w:webHidden/>
              </w:rPr>
              <w:fldChar w:fldCharType="end"/>
            </w:r>
          </w:hyperlink>
        </w:p>
        <w:p w14:paraId="56912EF2" w14:textId="57EF2610" w:rsidR="006A7048" w:rsidRDefault="00103639">
          <w:pPr>
            <w:pStyle w:val="TOC3"/>
            <w:tabs>
              <w:tab w:val="right" w:leader="dot" w:pos="9202"/>
            </w:tabs>
            <w:rPr>
              <w:rFonts w:asciiTheme="minorHAnsi" w:eastAsiaTheme="minorEastAsia" w:hAnsiTheme="minorHAnsi" w:cstheme="minorBidi"/>
              <w:i w:val="0"/>
              <w:noProof/>
              <w:lang w:eastAsia="en-AU"/>
            </w:rPr>
          </w:pPr>
          <w:hyperlink w:anchor="_Toc54265068" w:history="1">
            <w:r w:rsidR="006A7048" w:rsidRPr="006A474E">
              <w:rPr>
                <w:rStyle w:val="Hyperlink"/>
                <w:noProof/>
              </w:rPr>
              <w:t>Furnace Ready Glass Standards</w:t>
            </w:r>
            <w:r w:rsidR="006A7048">
              <w:rPr>
                <w:noProof/>
                <w:webHidden/>
              </w:rPr>
              <w:tab/>
            </w:r>
            <w:r w:rsidR="006A7048">
              <w:rPr>
                <w:noProof/>
                <w:webHidden/>
              </w:rPr>
              <w:fldChar w:fldCharType="begin"/>
            </w:r>
            <w:r w:rsidR="006A7048">
              <w:rPr>
                <w:noProof/>
                <w:webHidden/>
              </w:rPr>
              <w:instrText xml:space="preserve"> PAGEREF _Toc54265068 \h </w:instrText>
            </w:r>
            <w:r w:rsidR="006A7048">
              <w:rPr>
                <w:noProof/>
                <w:webHidden/>
              </w:rPr>
            </w:r>
            <w:r w:rsidR="006A7048">
              <w:rPr>
                <w:noProof/>
                <w:webHidden/>
              </w:rPr>
              <w:fldChar w:fldCharType="separate"/>
            </w:r>
            <w:r w:rsidR="006A7048">
              <w:rPr>
                <w:noProof/>
                <w:webHidden/>
              </w:rPr>
              <w:t>6</w:t>
            </w:r>
            <w:r w:rsidR="006A7048">
              <w:rPr>
                <w:noProof/>
                <w:webHidden/>
              </w:rPr>
              <w:fldChar w:fldCharType="end"/>
            </w:r>
          </w:hyperlink>
        </w:p>
        <w:p w14:paraId="1AC2CAFD" w14:textId="729FAA81" w:rsidR="006A7048" w:rsidRDefault="00103639">
          <w:pPr>
            <w:pStyle w:val="TOC3"/>
            <w:tabs>
              <w:tab w:val="right" w:leader="dot" w:pos="9202"/>
            </w:tabs>
            <w:rPr>
              <w:rFonts w:asciiTheme="minorHAnsi" w:eastAsiaTheme="minorEastAsia" w:hAnsiTheme="minorHAnsi" w:cstheme="minorBidi"/>
              <w:i w:val="0"/>
              <w:noProof/>
              <w:lang w:eastAsia="en-AU"/>
            </w:rPr>
          </w:pPr>
          <w:hyperlink w:anchor="_Toc54265069" w:history="1">
            <w:r w:rsidR="006A7048" w:rsidRPr="006A474E">
              <w:rPr>
                <w:rStyle w:val="Hyperlink"/>
                <w:noProof/>
              </w:rPr>
              <w:t>Non-Furnace Ready Glass Standards</w:t>
            </w:r>
            <w:r w:rsidR="006A7048">
              <w:rPr>
                <w:noProof/>
                <w:webHidden/>
              </w:rPr>
              <w:tab/>
            </w:r>
            <w:r w:rsidR="006A7048">
              <w:rPr>
                <w:noProof/>
                <w:webHidden/>
              </w:rPr>
              <w:fldChar w:fldCharType="begin"/>
            </w:r>
            <w:r w:rsidR="006A7048">
              <w:rPr>
                <w:noProof/>
                <w:webHidden/>
              </w:rPr>
              <w:instrText xml:space="preserve"> PAGEREF _Toc54265069 \h </w:instrText>
            </w:r>
            <w:r w:rsidR="006A7048">
              <w:rPr>
                <w:noProof/>
                <w:webHidden/>
              </w:rPr>
            </w:r>
            <w:r w:rsidR="006A7048">
              <w:rPr>
                <w:noProof/>
                <w:webHidden/>
              </w:rPr>
              <w:fldChar w:fldCharType="separate"/>
            </w:r>
            <w:r w:rsidR="006A7048">
              <w:rPr>
                <w:noProof/>
                <w:webHidden/>
              </w:rPr>
              <w:t>10</w:t>
            </w:r>
            <w:r w:rsidR="006A7048">
              <w:rPr>
                <w:noProof/>
                <w:webHidden/>
              </w:rPr>
              <w:fldChar w:fldCharType="end"/>
            </w:r>
          </w:hyperlink>
        </w:p>
        <w:p w14:paraId="3DF213EB" w14:textId="57659782" w:rsidR="006A7048" w:rsidRDefault="00103639">
          <w:pPr>
            <w:pStyle w:val="TOC3"/>
            <w:tabs>
              <w:tab w:val="right" w:leader="dot" w:pos="9202"/>
            </w:tabs>
            <w:rPr>
              <w:rFonts w:asciiTheme="minorHAnsi" w:eastAsiaTheme="minorEastAsia" w:hAnsiTheme="minorHAnsi" w:cstheme="minorBidi"/>
              <w:i w:val="0"/>
              <w:noProof/>
              <w:lang w:eastAsia="en-AU"/>
            </w:rPr>
          </w:pPr>
          <w:hyperlink w:anchor="_Toc54265070" w:history="1">
            <w:r w:rsidR="006A7048" w:rsidRPr="006A474E">
              <w:rPr>
                <w:rStyle w:val="Hyperlink"/>
                <w:noProof/>
              </w:rPr>
              <w:t>Machinery and Facilities</w:t>
            </w:r>
            <w:r w:rsidR="006A7048">
              <w:rPr>
                <w:noProof/>
                <w:webHidden/>
              </w:rPr>
              <w:tab/>
            </w:r>
            <w:r w:rsidR="006A7048">
              <w:rPr>
                <w:noProof/>
                <w:webHidden/>
              </w:rPr>
              <w:fldChar w:fldCharType="begin"/>
            </w:r>
            <w:r w:rsidR="006A7048">
              <w:rPr>
                <w:noProof/>
                <w:webHidden/>
              </w:rPr>
              <w:instrText xml:space="preserve"> PAGEREF _Toc54265070 \h </w:instrText>
            </w:r>
            <w:r w:rsidR="006A7048">
              <w:rPr>
                <w:noProof/>
                <w:webHidden/>
              </w:rPr>
            </w:r>
            <w:r w:rsidR="006A7048">
              <w:rPr>
                <w:noProof/>
                <w:webHidden/>
              </w:rPr>
              <w:fldChar w:fldCharType="separate"/>
            </w:r>
            <w:r w:rsidR="006A7048">
              <w:rPr>
                <w:noProof/>
                <w:webHidden/>
              </w:rPr>
              <w:t>11</w:t>
            </w:r>
            <w:r w:rsidR="006A7048">
              <w:rPr>
                <w:noProof/>
                <w:webHidden/>
              </w:rPr>
              <w:fldChar w:fldCharType="end"/>
            </w:r>
          </w:hyperlink>
        </w:p>
        <w:p w14:paraId="0AF2E734" w14:textId="37492FF7" w:rsidR="006A7048" w:rsidRDefault="00103639">
          <w:pPr>
            <w:pStyle w:val="TOC2"/>
            <w:tabs>
              <w:tab w:val="right" w:leader="dot" w:pos="9202"/>
            </w:tabs>
            <w:rPr>
              <w:rFonts w:asciiTheme="minorHAnsi" w:eastAsiaTheme="minorEastAsia" w:hAnsiTheme="minorHAnsi" w:cstheme="minorBidi"/>
              <w:noProof/>
              <w:lang w:eastAsia="en-AU"/>
            </w:rPr>
          </w:pPr>
          <w:hyperlink w:anchor="_Toc54265071" w:history="1">
            <w:r w:rsidR="006A7048" w:rsidRPr="006A474E">
              <w:rPr>
                <w:rStyle w:val="Hyperlink"/>
                <w:noProof/>
              </w:rPr>
              <w:t>Hazardous Waste Act 1989</w:t>
            </w:r>
            <w:r w:rsidR="006A7048">
              <w:rPr>
                <w:noProof/>
                <w:webHidden/>
              </w:rPr>
              <w:tab/>
            </w:r>
            <w:r w:rsidR="006A7048">
              <w:rPr>
                <w:noProof/>
                <w:webHidden/>
              </w:rPr>
              <w:fldChar w:fldCharType="begin"/>
            </w:r>
            <w:r w:rsidR="006A7048">
              <w:rPr>
                <w:noProof/>
                <w:webHidden/>
              </w:rPr>
              <w:instrText xml:space="preserve"> PAGEREF _Toc54265071 \h </w:instrText>
            </w:r>
            <w:r w:rsidR="006A7048">
              <w:rPr>
                <w:noProof/>
                <w:webHidden/>
              </w:rPr>
            </w:r>
            <w:r w:rsidR="006A7048">
              <w:rPr>
                <w:noProof/>
                <w:webHidden/>
              </w:rPr>
              <w:fldChar w:fldCharType="separate"/>
            </w:r>
            <w:r w:rsidR="006A7048">
              <w:rPr>
                <w:noProof/>
                <w:webHidden/>
              </w:rPr>
              <w:t>11</w:t>
            </w:r>
            <w:r w:rsidR="006A7048">
              <w:rPr>
                <w:noProof/>
                <w:webHidden/>
              </w:rPr>
              <w:fldChar w:fldCharType="end"/>
            </w:r>
          </w:hyperlink>
        </w:p>
        <w:p w14:paraId="239C7EA6" w14:textId="380E805B" w:rsidR="006A7048" w:rsidRDefault="00103639">
          <w:pPr>
            <w:pStyle w:val="TOC1"/>
            <w:tabs>
              <w:tab w:val="right" w:leader="dot" w:pos="9202"/>
            </w:tabs>
            <w:rPr>
              <w:rFonts w:asciiTheme="minorHAnsi" w:eastAsiaTheme="minorEastAsia" w:hAnsiTheme="minorHAnsi" w:cstheme="minorBidi"/>
              <w:b w:val="0"/>
              <w:noProof/>
              <w:lang w:eastAsia="en-AU"/>
            </w:rPr>
          </w:pPr>
          <w:hyperlink w:anchor="_Toc54265072" w:history="1">
            <w:r w:rsidR="006A7048" w:rsidRPr="006A474E">
              <w:rPr>
                <w:rStyle w:val="Hyperlink"/>
                <w:noProof/>
              </w:rPr>
              <w:t>Reference List</w:t>
            </w:r>
            <w:r w:rsidR="006A7048">
              <w:rPr>
                <w:noProof/>
                <w:webHidden/>
              </w:rPr>
              <w:tab/>
            </w:r>
            <w:r w:rsidR="006A7048">
              <w:rPr>
                <w:noProof/>
                <w:webHidden/>
              </w:rPr>
              <w:fldChar w:fldCharType="begin"/>
            </w:r>
            <w:r w:rsidR="006A7048">
              <w:rPr>
                <w:noProof/>
                <w:webHidden/>
              </w:rPr>
              <w:instrText xml:space="preserve"> PAGEREF _Toc54265072 \h </w:instrText>
            </w:r>
            <w:r w:rsidR="006A7048">
              <w:rPr>
                <w:noProof/>
                <w:webHidden/>
              </w:rPr>
            </w:r>
            <w:r w:rsidR="006A7048">
              <w:rPr>
                <w:noProof/>
                <w:webHidden/>
              </w:rPr>
              <w:fldChar w:fldCharType="separate"/>
            </w:r>
            <w:r w:rsidR="006A7048">
              <w:rPr>
                <w:noProof/>
                <w:webHidden/>
              </w:rPr>
              <w:t>16</w:t>
            </w:r>
            <w:r w:rsidR="006A7048">
              <w:rPr>
                <w:noProof/>
                <w:webHidden/>
              </w:rPr>
              <w:fldChar w:fldCharType="end"/>
            </w:r>
          </w:hyperlink>
        </w:p>
        <w:p w14:paraId="662DA349" w14:textId="76291D2D" w:rsidR="00D5672F" w:rsidRDefault="004D208A" w:rsidP="00D5672F">
          <w:r>
            <w:fldChar w:fldCharType="end"/>
          </w:r>
        </w:p>
      </w:sdtContent>
    </w:sdt>
    <w:p w14:paraId="7FDE0A92" w14:textId="77777777" w:rsidR="007A252C" w:rsidRPr="007A252C" w:rsidRDefault="007A252C" w:rsidP="007A252C"/>
    <w:p w14:paraId="04488831" w14:textId="77777777" w:rsidR="00190F10" w:rsidRDefault="00190F10" w:rsidP="00190F10"/>
    <w:p w14:paraId="6D9D6ABB" w14:textId="77777777" w:rsidR="00190F10" w:rsidRDefault="00190F10" w:rsidP="00190F10">
      <w:pPr>
        <w:sectPr w:rsidR="00190F10" w:rsidSect="003A7D43">
          <w:headerReference w:type="first" r:id="rId12"/>
          <w:footerReference w:type="first" r:id="rId13"/>
          <w:pgSz w:w="11906" w:h="16838" w:code="9"/>
          <w:pgMar w:top="1418" w:right="1276" w:bottom="567" w:left="1418" w:header="425" w:footer="425" w:gutter="0"/>
          <w:cols w:space="708"/>
          <w:titlePg/>
          <w:docGrid w:linePitch="360"/>
        </w:sectPr>
      </w:pPr>
    </w:p>
    <w:p w14:paraId="76F0232F" w14:textId="44F02994" w:rsidR="00622957" w:rsidRDefault="00FD69C6" w:rsidP="007A252C">
      <w:pPr>
        <w:pStyle w:val="Heading1"/>
      </w:pPr>
      <w:bookmarkStart w:id="0" w:name="_Toc54265057"/>
      <w:r>
        <w:lastRenderedPageBreak/>
        <w:t>Glossary</w:t>
      </w:r>
    </w:p>
    <w:p w14:paraId="4C77DB72" w14:textId="2D2A8599" w:rsidR="00FD69C6" w:rsidRDefault="00FD69C6" w:rsidP="00FD69C6"/>
    <w:tbl>
      <w:tblPr>
        <w:tblStyle w:val="ListTable3-Accent1"/>
        <w:tblW w:w="0" w:type="auto"/>
        <w:tblLook w:val="04A0" w:firstRow="1" w:lastRow="0" w:firstColumn="1" w:lastColumn="0" w:noHBand="0" w:noVBand="1"/>
      </w:tblPr>
      <w:tblGrid>
        <w:gridCol w:w="4601"/>
        <w:gridCol w:w="4601"/>
      </w:tblGrid>
      <w:tr w:rsidR="00DC01AE" w14:paraId="2586A023" w14:textId="77777777" w:rsidTr="00476C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4D0FF8B1" w14:textId="5A309A57" w:rsidR="00FD69C6" w:rsidRDefault="00FD69C6" w:rsidP="00476C11">
            <w:pPr>
              <w:spacing w:before="120" w:after="120"/>
            </w:pPr>
            <w:r>
              <w:t xml:space="preserve">Terminology </w:t>
            </w:r>
          </w:p>
        </w:tc>
        <w:tc>
          <w:tcPr>
            <w:tcW w:w="0" w:type="dxa"/>
          </w:tcPr>
          <w:p w14:paraId="78C4809B" w14:textId="17749058" w:rsidR="00FD69C6" w:rsidRDefault="00FD69C6" w:rsidP="00476C11">
            <w:pPr>
              <w:spacing w:before="120" w:after="120"/>
              <w:cnfStyle w:val="100000000000" w:firstRow="1" w:lastRow="0" w:firstColumn="0" w:lastColumn="0" w:oddVBand="0" w:evenVBand="0" w:oddHBand="0" w:evenHBand="0" w:firstRowFirstColumn="0" w:firstRowLastColumn="0" w:lastRowFirstColumn="0" w:lastRowLastColumn="0"/>
            </w:pPr>
            <w:r>
              <w:t>Definition</w:t>
            </w:r>
          </w:p>
        </w:tc>
      </w:tr>
      <w:tr w:rsidR="00DC01AE" w14:paraId="16D65AAE" w14:textId="77777777" w:rsidTr="00476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1" w:type="dxa"/>
            <w:vAlign w:val="center"/>
          </w:tcPr>
          <w:p w14:paraId="38BA32DC" w14:textId="41A43734" w:rsidR="00FD69C6" w:rsidRPr="00476C11" w:rsidRDefault="00DC01AE" w:rsidP="00476C11">
            <w:pPr>
              <w:spacing w:before="120" w:after="120"/>
              <w:rPr>
                <w:b w:val="0"/>
                <w:bCs w:val="0"/>
              </w:rPr>
            </w:pPr>
            <w:r w:rsidRPr="00476C11">
              <w:rPr>
                <w:b w:val="0"/>
                <w:bCs w:val="0"/>
              </w:rPr>
              <w:t>ACOR</w:t>
            </w:r>
          </w:p>
        </w:tc>
        <w:tc>
          <w:tcPr>
            <w:tcW w:w="4601" w:type="dxa"/>
            <w:vAlign w:val="center"/>
          </w:tcPr>
          <w:p w14:paraId="5A3DFB16" w14:textId="51B80511" w:rsidR="00FD69C6" w:rsidRDefault="00DC01AE" w:rsidP="00476C11">
            <w:pPr>
              <w:spacing w:before="120" w:after="120"/>
              <w:cnfStyle w:val="000000100000" w:firstRow="0" w:lastRow="0" w:firstColumn="0" w:lastColumn="0" w:oddVBand="0" w:evenVBand="0" w:oddHBand="1" w:evenHBand="0" w:firstRowFirstColumn="0" w:firstRowLastColumn="0" w:lastRowFirstColumn="0" w:lastRowLastColumn="0"/>
            </w:pPr>
            <w:r>
              <w:t>Australian Council of Recycling</w:t>
            </w:r>
          </w:p>
        </w:tc>
      </w:tr>
      <w:tr w:rsidR="00FD69C6" w14:paraId="2372BB94" w14:textId="77777777" w:rsidTr="00476C11">
        <w:tc>
          <w:tcPr>
            <w:cnfStyle w:val="001000000000" w:firstRow="0" w:lastRow="0" w:firstColumn="1" w:lastColumn="0" w:oddVBand="0" w:evenVBand="0" w:oddHBand="0" w:evenHBand="0" w:firstRowFirstColumn="0" w:firstRowLastColumn="0" w:lastRowFirstColumn="0" w:lastRowLastColumn="0"/>
            <w:tcW w:w="0" w:type="dxa"/>
            <w:vAlign w:val="center"/>
          </w:tcPr>
          <w:p w14:paraId="386176F7" w14:textId="53E5ACFA" w:rsidR="00FD69C6" w:rsidRPr="00476C11" w:rsidRDefault="006F428E" w:rsidP="00476C11">
            <w:pPr>
              <w:spacing w:before="120" w:after="120"/>
              <w:rPr>
                <w:b w:val="0"/>
                <w:bCs w:val="0"/>
              </w:rPr>
            </w:pPr>
            <w:r w:rsidRPr="00476C11">
              <w:rPr>
                <w:b w:val="0"/>
                <w:bCs w:val="0"/>
              </w:rPr>
              <w:t>CDS</w:t>
            </w:r>
          </w:p>
        </w:tc>
        <w:tc>
          <w:tcPr>
            <w:tcW w:w="0" w:type="dxa"/>
            <w:vAlign w:val="center"/>
          </w:tcPr>
          <w:p w14:paraId="0E1DAC96" w14:textId="013FF8B7" w:rsidR="00FD69C6" w:rsidRDefault="006F428E" w:rsidP="00476C11">
            <w:pPr>
              <w:spacing w:before="120" w:after="120"/>
              <w:cnfStyle w:val="000000000000" w:firstRow="0" w:lastRow="0" w:firstColumn="0" w:lastColumn="0" w:oddVBand="0" w:evenVBand="0" w:oddHBand="0" w:evenHBand="0" w:firstRowFirstColumn="0" w:firstRowLastColumn="0" w:lastRowFirstColumn="0" w:lastRowLastColumn="0"/>
            </w:pPr>
            <w:r>
              <w:t>Container Deposit Scheme</w:t>
            </w:r>
          </w:p>
        </w:tc>
      </w:tr>
      <w:tr w:rsidR="00DC01AE" w14:paraId="5AA9ED18" w14:textId="77777777" w:rsidTr="00476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1" w:type="dxa"/>
            <w:vAlign w:val="center"/>
          </w:tcPr>
          <w:p w14:paraId="0392E261" w14:textId="282FE98C" w:rsidR="00FD69C6" w:rsidRPr="00476C11" w:rsidRDefault="00736B88" w:rsidP="00476C11">
            <w:pPr>
              <w:spacing w:before="120" w:after="120"/>
              <w:rPr>
                <w:b w:val="0"/>
                <w:bCs w:val="0"/>
              </w:rPr>
            </w:pPr>
            <w:r w:rsidRPr="00476C11">
              <w:rPr>
                <w:b w:val="0"/>
                <w:bCs w:val="0"/>
              </w:rPr>
              <w:t>COAG</w:t>
            </w:r>
          </w:p>
        </w:tc>
        <w:tc>
          <w:tcPr>
            <w:tcW w:w="4601" w:type="dxa"/>
            <w:vAlign w:val="center"/>
          </w:tcPr>
          <w:p w14:paraId="35034CE6" w14:textId="63FE808F" w:rsidR="00FD69C6" w:rsidRDefault="00736B88" w:rsidP="00476C11">
            <w:pPr>
              <w:spacing w:before="120" w:after="120"/>
              <w:cnfStyle w:val="000000100000" w:firstRow="0" w:lastRow="0" w:firstColumn="0" w:lastColumn="0" w:oddVBand="0" w:evenVBand="0" w:oddHBand="1" w:evenHBand="0" w:firstRowFirstColumn="0" w:firstRowLastColumn="0" w:lastRowFirstColumn="0" w:lastRowLastColumn="0"/>
            </w:pPr>
            <w:r>
              <w:t>C</w:t>
            </w:r>
            <w:r w:rsidRPr="00736B88">
              <w:t>ouncil of Australian Governments</w:t>
            </w:r>
          </w:p>
        </w:tc>
      </w:tr>
      <w:tr w:rsidR="00FD69C6" w14:paraId="360385C3" w14:textId="77777777" w:rsidTr="00476C11">
        <w:tc>
          <w:tcPr>
            <w:cnfStyle w:val="001000000000" w:firstRow="0" w:lastRow="0" w:firstColumn="1" w:lastColumn="0" w:oddVBand="0" w:evenVBand="0" w:oddHBand="0" w:evenHBand="0" w:firstRowFirstColumn="0" w:firstRowLastColumn="0" w:lastRowFirstColumn="0" w:lastRowLastColumn="0"/>
            <w:tcW w:w="0" w:type="dxa"/>
            <w:vAlign w:val="center"/>
          </w:tcPr>
          <w:p w14:paraId="43F98DE1" w14:textId="3DF851E8" w:rsidR="00FD69C6" w:rsidRPr="00476C11" w:rsidRDefault="003D590D" w:rsidP="00476C11">
            <w:pPr>
              <w:spacing w:before="120" w:after="120"/>
              <w:rPr>
                <w:b w:val="0"/>
                <w:bCs w:val="0"/>
              </w:rPr>
            </w:pPr>
            <w:r w:rsidRPr="00476C11">
              <w:rPr>
                <w:b w:val="0"/>
                <w:bCs w:val="0"/>
              </w:rPr>
              <w:t>CRT</w:t>
            </w:r>
          </w:p>
        </w:tc>
        <w:tc>
          <w:tcPr>
            <w:tcW w:w="0" w:type="dxa"/>
            <w:vAlign w:val="center"/>
          </w:tcPr>
          <w:p w14:paraId="57C4DA9C" w14:textId="6FE3F022" w:rsidR="00FD69C6" w:rsidRDefault="003D590D" w:rsidP="00476C11">
            <w:pPr>
              <w:spacing w:before="120" w:after="120"/>
              <w:cnfStyle w:val="000000000000" w:firstRow="0" w:lastRow="0" w:firstColumn="0" w:lastColumn="0" w:oddVBand="0" w:evenVBand="0" w:oddHBand="0" w:evenHBand="0" w:firstRowFirstColumn="0" w:firstRowLastColumn="0" w:lastRowFirstColumn="0" w:lastRowLastColumn="0"/>
            </w:pPr>
            <w:r>
              <w:t xml:space="preserve">Cathode </w:t>
            </w:r>
            <w:r w:rsidR="001B5C01">
              <w:t>R</w:t>
            </w:r>
            <w:r>
              <w:t xml:space="preserve">ay </w:t>
            </w:r>
            <w:r w:rsidR="001B5C01">
              <w:t>T</w:t>
            </w:r>
            <w:r>
              <w:t>ube</w:t>
            </w:r>
          </w:p>
        </w:tc>
      </w:tr>
      <w:tr w:rsidR="00DC01AE" w14:paraId="7C73467D" w14:textId="77777777" w:rsidTr="00476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1" w:type="dxa"/>
            <w:vAlign w:val="center"/>
          </w:tcPr>
          <w:p w14:paraId="402F63AE" w14:textId="3CBF250C" w:rsidR="00FD69C6" w:rsidRPr="00476C11" w:rsidRDefault="00666578" w:rsidP="00476C11">
            <w:pPr>
              <w:spacing w:before="120" w:after="120"/>
              <w:rPr>
                <w:b w:val="0"/>
                <w:bCs w:val="0"/>
              </w:rPr>
            </w:pPr>
            <w:r w:rsidRPr="00476C11">
              <w:rPr>
                <w:b w:val="0"/>
                <w:bCs w:val="0"/>
              </w:rPr>
              <w:t>EU</w:t>
            </w:r>
          </w:p>
        </w:tc>
        <w:tc>
          <w:tcPr>
            <w:tcW w:w="4601" w:type="dxa"/>
            <w:vAlign w:val="center"/>
          </w:tcPr>
          <w:p w14:paraId="750FDBE1" w14:textId="13BB3D91" w:rsidR="00FD69C6" w:rsidRDefault="00666578" w:rsidP="00476C11">
            <w:pPr>
              <w:spacing w:before="120" w:after="120"/>
              <w:cnfStyle w:val="000000100000" w:firstRow="0" w:lastRow="0" w:firstColumn="0" w:lastColumn="0" w:oddVBand="0" w:evenVBand="0" w:oddHBand="1" w:evenHBand="0" w:firstRowFirstColumn="0" w:firstRowLastColumn="0" w:lastRowFirstColumn="0" w:lastRowLastColumn="0"/>
            </w:pPr>
            <w:r>
              <w:t>European Union</w:t>
            </w:r>
          </w:p>
        </w:tc>
      </w:tr>
      <w:tr w:rsidR="00B41D0A" w14:paraId="445B37DC" w14:textId="77777777" w:rsidTr="00476C11">
        <w:tc>
          <w:tcPr>
            <w:cnfStyle w:val="001000000000" w:firstRow="0" w:lastRow="0" w:firstColumn="1" w:lastColumn="0" w:oddVBand="0" w:evenVBand="0" w:oddHBand="0" w:evenHBand="0" w:firstRowFirstColumn="0" w:firstRowLastColumn="0" w:lastRowFirstColumn="0" w:lastRowLastColumn="0"/>
            <w:tcW w:w="4601" w:type="dxa"/>
            <w:vAlign w:val="center"/>
          </w:tcPr>
          <w:p w14:paraId="5C09AE1F" w14:textId="394FCD72" w:rsidR="00B41D0A" w:rsidRPr="00476C11" w:rsidRDefault="00B41D0A" w:rsidP="00476C11">
            <w:pPr>
              <w:spacing w:before="120" w:after="120"/>
              <w:rPr>
                <w:b w:val="0"/>
                <w:bCs w:val="0"/>
              </w:rPr>
            </w:pPr>
            <w:r w:rsidRPr="00476C11">
              <w:rPr>
                <w:b w:val="0"/>
                <w:bCs w:val="0"/>
              </w:rPr>
              <w:t>I</w:t>
            </w:r>
            <w:r w:rsidR="00CA30CE" w:rsidRPr="00476C11">
              <w:rPr>
                <w:b w:val="0"/>
                <w:bCs w:val="0"/>
              </w:rPr>
              <w:t>SRI</w:t>
            </w:r>
          </w:p>
        </w:tc>
        <w:tc>
          <w:tcPr>
            <w:tcW w:w="4601" w:type="dxa"/>
            <w:vAlign w:val="center"/>
          </w:tcPr>
          <w:p w14:paraId="7A69B53F" w14:textId="75655122" w:rsidR="00B41D0A" w:rsidRDefault="00B41D0A" w:rsidP="00476C11">
            <w:pPr>
              <w:spacing w:before="120" w:after="120"/>
              <w:cnfStyle w:val="000000000000" w:firstRow="0" w:lastRow="0" w:firstColumn="0" w:lastColumn="0" w:oddVBand="0" w:evenVBand="0" w:oddHBand="0" w:evenHBand="0" w:firstRowFirstColumn="0" w:firstRowLastColumn="0" w:lastRowFirstColumn="0" w:lastRowLastColumn="0"/>
            </w:pPr>
            <w:r w:rsidRPr="0053532C">
              <w:t>Institute of Scrap Recycling Industries</w:t>
            </w:r>
          </w:p>
        </w:tc>
      </w:tr>
      <w:tr w:rsidR="0023077E" w14:paraId="409EAE89" w14:textId="77777777" w:rsidTr="00476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1" w:type="dxa"/>
            <w:vAlign w:val="center"/>
          </w:tcPr>
          <w:p w14:paraId="5849B3FA" w14:textId="2C1BCAB6" w:rsidR="0023077E" w:rsidRPr="00476C11" w:rsidRDefault="001B775A" w:rsidP="00476C11">
            <w:pPr>
              <w:spacing w:before="120" w:after="120"/>
              <w:rPr>
                <w:b w:val="0"/>
                <w:bCs w:val="0"/>
              </w:rPr>
            </w:pPr>
            <w:r w:rsidRPr="00476C11">
              <w:rPr>
                <w:b w:val="0"/>
                <w:bCs w:val="0"/>
              </w:rPr>
              <w:t>RCG</w:t>
            </w:r>
          </w:p>
        </w:tc>
        <w:tc>
          <w:tcPr>
            <w:tcW w:w="4601" w:type="dxa"/>
            <w:vAlign w:val="center"/>
          </w:tcPr>
          <w:p w14:paraId="1E8A745C" w14:textId="32C968D3" w:rsidR="0023077E" w:rsidRPr="0053532C" w:rsidRDefault="001B775A" w:rsidP="00476C11">
            <w:pPr>
              <w:spacing w:before="120" w:after="120"/>
              <w:cnfStyle w:val="000000100000" w:firstRow="0" w:lastRow="0" w:firstColumn="0" w:lastColumn="0" w:oddVBand="0" w:evenVBand="0" w:oddHBand="1" w:evenHBand="0" w:firstRowFirstColumn="0" w:firstRowLastColumn="0" w:lastRowFirstColumn="0" w:lastRowLastColumn="0"/>
            </w:pPr>
            <w:r>
              <w:t>R</w:t>
            </w:r>
            <w:r w:rsidRPr="006003E7">
              <w:t xml:space="preserve">ecycled </w:t>
            </w:r>
            <w:r>
              <w:t>C</w:t>
            </w:r>
            <w:r w:rsidRPr="006003E7">
              <w:t xml:space="preserve">rushed </w:t>
            </w:r>
            <w:r>
              <w:t>G</w:t>
            </w:r>
            <w:r w:rsidRPr="006003E7">
              <w:t>lass</w:t>
            </w:r>
          </w:p>
        </w:tc>
      </w:tr>
      <w:tr w:rsidR="00FD69C6" w14:paraId="72FC4EED" w14:textId="77777777" w:rsidTr="00476C11">
        <w:tc>
          <w:tcPr>
            <w:cnfStyle w:val="001000000000" w:firstRow="0" w:lastRow="0" w:firstColumn="1" w:lastColumn="0" w:oddVBand="0" w:evenVBand="0" w:oddHBand="0" w:evenHBand="0" w:firstRowFirstColumn="0" w:firstRowLastColumn="0" w:lastRowFirstColumn="0" w:lastRowLastColumn="0"/>
            <w:tcW w:w="0" w:type="dxa"/>
            <w:vAlign w:val="center"/>
          </w:tcPr>
          <w:p w14:paraId="6D641E12" w14:textId="6950BB7D" w:rsidR="00FD69C6" w:rsidRPr="00476C11" w:rsidRDefault="009A14D5" w:rsidP="00476C11">
            <w:pPr>
              <w:spacing w:before="120" w:after="120"/>
              <w:rPr>
                <w:b w:val="0"/>
                <w:bCs w:val="0"/>
              </w:rPr>
            </w:pPr>
            <w:r>
              <w:rPr>
                <w:b w:val="0"/>
                <w:bCs w:val="0"/>
              </w:rPr>
              <w:t>NSW</w:t>
            </w:r>
          </w:p>
        </w:tc>
        <w:tc>
          <w:tcPr>
            <w:tcW w:w="0" w:type="dxa"/>
            <w:vAlign w:val="center"/>
          </w:tcPr>
          <w:p w14:paraId="34E291B3" w14:textId="51450DFD" w:rsidR="00FD69C6" w:rsidRDefault="009A14D5" w:rsidP="00476C11">
            <w:pPr>
              <w:spacing w:before="120" w:after="120"/>
              <w:cnfStyle w:val="000000000000" w:firstRow="0" w:lastRow="0" w:firstColumn="0" w:lastColumn="0" w:oddVBand="0" w:evenVBand="0" w:oddHBand="0" w:evenHBand="0" w:firstRowFirstColumn="0" w:firstRowLastColumn="0" w:lastRowFirstColumn="0" w:lastRowLastColumn="0"/>
            </w:pPr>
            <w:r>
              <w:t>New South Wales</w:t>
            </w:r>
          </w:p>
        </w:tc>
      </w:tr>
      <w:tr w:rsidR="00DC01AE" w14:paraId="53C4AF55" w14:textId="77777777" w:rsidTr="00476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1" w:type="dxa"/>
            <w:vAlign w:val="center"/>
          </w:tcPr>
          <w:p w14:paraId="546CBE33" w14:textId="6C640449" w:rsidR="00FD69C6" w:rsidRPr="00476C11" w:rsidRDefault="002E34E5" w:rsidP="00476C11">
            <w:pPr>
              <w:spacing w:before="120" w:after="120"/>
              <w:rPr>
                <w:b w:val="0"/>
                <w:bCs w:val="0"/>
              </w:rPr>
            </w:pPr>
            <w:r>
              <w:rPr>
                <w:b w:val="0"/>
                <w:bCs w:val="0"/>
              </w:rPr>
              <w:t>PPM</w:t>
            </w:r>
          </w:p>
        </w:tc>
        <w:tc>
          <w:tcPr>
            <w:tcW w:w="4601" w:type="dxa"/>
            <w:vAlign w:val="center"/>
          </w:tcPr>
          <w:p w14:paraId="6AC99E24" w14:textId="4EB4CC10" w:rsidR="00FD69C6" w:rsidRDefault="002E34E5" w:rsidP="00476C11">
            <w:pPr>
              <w:spacing w:before="120" w:after="120"/>
              <w:cnfStyle w:val="000000100000" w:firstRow="0" w:lastRow="0" w:firstColumn="0" w:lastColumn="0" w:oddVBand="0" w:evenVBand="0" w:oddHBand="1" w:evenHBand="0" w:firstRowFirstColumn="0" w:firstRowLastColumn="0" w:lastRowFirstColumn="0" w:lastRowLastColumn="0"/>
            </w:pPr>
            <w:r>
              <w:t xml:space="preserve">Parts </w:t>
            </w:r>
            <w:r w:rsidR="001B5C01">
              <w:t>P</w:t>
            </w:r>
            <w:r>
              <w:t xml:space="preserve">er </w:t>
            </w:r>
            <w:r w:rsidR="001B5C01">
              <w:t>M</w:t>
            </w:r>
            <w:r>
              <w:t>illion</w:t>
            </w:r>
          </w:p>
        </w:tc>
      </w:tr>
      <w:tr w:rsidR="00D25B97" w14:paraId="5C9A1A1A" w14:textId="77777777" w:rsidTr="00476C11">
        <w:tc>
          <w:tcPr>
            <w:cnfStyle w:val="001000000000" w:firstRow="0" w:lastRow="0" w:firstColumn="1" w:lastColumn="0" w:oddVBand="0" w:evenVBand="0" w:oddHBand="0" w:evenHBand="0" w:firstRowFirstColumn="0" w:firstRowLastColumn="0" w:lastRowFirstColumn="0" w:lastRowLastColumn="0"/>
            <w:tcW w:w="4601" w:type="dxa"/>
            <w:vAlign w:val="center"/>
          </w:tcPr>
          <w:p w14:paraId="651F7A26" w14:textId="280F6A6B" w:rsidR="00D25B97" w:rsidRDefault="00D25B97" w:rsidP="00476C11">
            <w:pPr>
              <w:spacing w:before="120" w:after="120"/>
              <w:rPr>
                <w:b w:val="0"/>
                <w:bCs w:val="0"/>
              </w:rPr>
            </w:pPr>
            <w:r>
              <w:rPr>
                <w:b w:val="0"/>
                <w:bCs w:val="0"/>
              </w:rPr>
              <w:t>USD</w:t>
            </w:r>
          </w:p>
        </w:tc>
        <w:tc>
          <w:tcPr>
            <w:tcW w:w="4601" w:type="dxa"/>
            <w:vAlign w:val="center"/>
          </w:tcPr>
          <w:p w14:paraId="039DED02" w14:textId="16601960" w:rsidR="00D25B97" w:rsidRDefault="00D25B97" w:rsidP="00476C11">
            <w:pPr>
              <w:spacing w:before="120" w:after="120"/>
              <w:cnfStyle w:val="000000000000" w:firstRow="0" w:lastRow="0" w:firstColumn="0" w:lastColumn="0" w:oddVBand="0" w:evenVBand="0" w:oddHBand="0" w:evenHBand="0" w:firstRowFirstColumn="0" w:firstRowLastColumn="0" w:lastRowFirstColumn="0" w:lastRowLastColumn="0"/>
            </w:pPr>
            <w:r>
              <w:t>United States Dollar</w:t>
            </w:r>
          </w:p>
        </w:tc>
      </w:tr>
    </w:tbl>
    <w:p w14:paraId="5354089C" w14:textId="77777777" w:rsidR="00FD69C6" w:rsidRPr="00FD69C6" w:rsidRDefault="00FD69C6" w:rsidP="00476C11"/>
    <w:p w14:paraId="35ABA0CC" w14:textId="77777777" w:rsidR="00622957" w:rsidRDefault="00622957" w:rsidP="00476C11"/>
    <w:p w14:paraId="244C7FDE" w14:textId="77777777" w:rsidR="00622957" w:rsidRDefault="00622957" w:rsidP="00476C11"/>
    <w:p w14:paraId="08CEE7A5" w14:textId="77777777" w:rsidR="00622957" w:rsidRDefault="00622957" w:rsidP="00476C11"/>
    <w:p w14:paraId="0A940A87" w14:textId="77777777" w:rsidR="00622957" w:rsidRDefault="00622957" w:rsidP="00476C11"/>
    <w:p w14:paraId="6AEBFA42" w14:textId="77777777" w:rsidR="00622957" w:rsidRDefault="00622957" w:rsidP="00476C11"/>
    <w:p w14:paraId="2D7A4755" w14:textId="3EF75E30" w:rsidR="0029291B" w:rsidRDefault="0029291B" w:rsidP="0029291B"/>
    <w:p w14:paraId="32E54043" w14:textId="1FDF289A" w:rsidR="0029291B" w:rsidRDefault="0029291B" w:rsidP="0029291B"/>
    <w:p w14:paraId="4F2562C0" w14:textId="684A528A" w:rsidR="0029291B" w:rsidRDefault="0029291B" w:rsidP="0029291B"/>
    <w:p w14:paraId="064D5C77" w14:textId="60E0FD06" w:rsidR="0029291B" w:rsidRDefault="0029291B" w:rsidP="0029291B"/>
    <w:p w14:paraId="6DB06F2F" w14:textId="46BB8E35" w:rsidR="0029291B" w:rsidRDefault="0029291B" w:rsidP="0029291B"/>
    <w:p w14:paraId="244B7061" w14:textId="77777777" w:rsidR="0029291B" w:rsidRPr="0029291B" w:rsidRDefault="0029291B" w:rsidP="00476C11"/>
    <w:p w14:paraId="6E2D5315" w14:textId="2748F1DF" w:rsidR="007A252C" w:rsidRDefault="00323DA9" w:rsidP="007A252C">
      <w:pPr>
        <w:pStyle w:val="Heading1"/>
      </w:pPr>
      <w:r>
        <w:lastRenderedPageBreak/>
        <w:t>Introduction</w:t>
      </w:r>
      <w:bookmarkEnd w:id="0"/>
    </w:p>
    <w:p w14:paraId="2C3D9DD1" w14:textId="42498CFD" w:rsidR="002423E1" w:rsidRDefault="002423E1" w:rsidP="002423E1">
      <w:pPr>
        <w:pStyle w:val="Heading2"/>
      </w:pPr>
      <w:bookmarkStart w:id="1" w:name="_Toc54265058"/>
      <w:r>
        <w:t>Waste Export Ban</w:t>
      </w:r>
      <w:bookmarkEnd w:id="1"/>
    </w:p>
    <w:p w14:paraId="05A12AA6" w14:textId="0F49D6AF" w:rsidR="00323DA9" w:rsidRDefault="00323DA9" w:rsidP="00323DA9">
      <w:r>
        <w:t xml:space="preserve">On 13 March 2020, the former Council of Australian Governments </w:t>
      </w:r>
      <w:r w:rsidR="00DF798B">
        <w:t xml:space="preserve">(COAG) </w:t>
      </w:r>
      <w:r>
        <w:t xml:space="preserve">agreed to ban the export of waste plastic, paper, </w:t>
      </w:r>
      <w:proofErr w:type="gramStart"/>
      <w:r>
        <w:t>glass</w:t>
      </w:r>
      <w:proofErr w:type="gramEnd"/>
      <w:r>
        <w:t xml:space="preserve"> and tyres. These </w:t>
      </w:r>
      <w:r w:rsidR="0098425E">
        <w:t xml:space="preserve">discarded </w:t>
      </w:r>
      <w:r>
        <w:t xml:space="preserve">materials have the potential to cause harm to human health and the environment. The ban will be </w:t>
      </w:r>
      <w:r w:rsidR="00347966">
        <w:t xml:space="preserve">a </w:t>
      </w:r>
      <w:r>
        <w:t>phased</w:t>
      </w:r>
      <w:r w:rsidR="0098425E">
        <w:t xml:space="preserve"> </w:t>
      </w:r>
      <w:proofErr w:type="spellStart"/>
      <w:proofErr w:type="gramStart"/>
      <w:r w:rsidR="0098425E">
        <w:t>process</w:t>
      </w:r>
      <w:r w:rsidR="00347966">
        <w:t>,</w:t>
      </w:r>
      <w:r>
        <w:t>start</w:t>
      </w:r>
      <w:r w:rsidR="00347966">
        <w:t>ing</w:t>
      </w:r>
      <w:proofErr w:type="spellEnd"/>
      <w:proofErr w:type="gramEnd"/>
      <w:r>
        <w:t xml:space="preserve"> with waste glass on 1 January 2021. The Department </w:t>
      </w:r>
      <w:r w:rsidR="00F40EB7">
        <w:t xml:space="preserve">of </w:t>
      </w:r>
      <w:r w:rsidR="005B23E4">
        <w:t xml:space="preserve">Agriculture, Water and the Environment (The Department) </w:t>
      </w:r>
      <w:proofErr w:type="gramStart"/>
      <w:r w:rsidR="0098425E">
        <w:t xml:space="preserve">will </w:t>
      </w:r>
      <w:r w:rsidR="00347966">
        <w:t xml:space="preserve"> continue</w:t>
      </w:r>
      <w:proofErr w:type="gramEnd"/>
      <w:r w:rsidR="00347966">
        <w:t xml:space="preserve"> </w:t>
      </w:r>
      <w:proofErr w:type="spellStart"/>
      <w:r w:rsidR="00347966">
        <w:t>toengage</w:t>
      </w:r>
      <w:proofErr w:type="spellEnd"/>
      <w:r w:rsidR="00347966">
        <w:t xml:space="preserve"> </w:t>
      </w:r>
      <w:r>
        <w:t xml:space="preserve">with industry to </w:t>
      </w:r>
      <w:r w:rsidR="00347966">
        <w:t>guide</w:t>
      </w:r>
      <w:r>
        <w:t xml:space="preserve"> implementation of the </w:t>
      </w:r>
      <w:r w:rsidR="0098425E">
        <w:t xml:space="preserve">waste export </w:t>
      </w:r>
      <w:r>
        <w:t>ban.</w:t>
      </w:r>
    </w:p>
    <w:p w14:paraId="62505C87" w14:textId="6D8F5746" w:rsidR="00323DA9" w:rsidRDefault="00323DA9" w:rsidP="00323DA9">
      <w:r>
        <w:t>From 1 January 2021, exporters will no longer be able to send unprocessed waste glass overseas</w:t>
      </w:r>
      <w:r w:rsidR="002E134A">
        <w:t xml:space="preserve">. </w:t>
      </w:r>
      <w:r w:rsidR="00372D93">
        <w:t>Companies operating in Australia</w:t>
      </w:r>
      <w:r>
        <w:t xml:space="preserve"> will need to hold a licence to export process</w:t>
      </w:r>
      <w:r w:rsidR="002E134A">
        <w:t>ed</w:t>
      </w:r>
      <w:r>
        <w:t xml:space="preserve"> waste glass. </w:t>
      </w:r>
      <w:r w:rsidR="002423E1">
        <w:t>To be granted a licence, exporters will be required to demonstrate that they can source or process waste glass to an appropriate standard and that the waste glass will be reused or remanufactured overseas, in addition to several other requirements</w:t>
      </w:r>
      <w:r w:rsidR="002423E1" w:rsidRPr="00372D93">
        <w:t>.</w:t>
      </w:r>
      <w:r w:rsidR="00372D93" w:rsidRPr="00372D93">
        <w:t xml:space="preserve"> There will be limited circumstances where these new rules do not apply, such as exports for personal use.</w:t>
      </w:r>
    </w:p>
    <w:p w14:paraId="193BC39B" w14:textId="48711D6A" w:rsidR="002423E1" w:rsidRDefault="002423E1" w:rsidP="002423E1">
      <w:pPr>
        <w:pStyle w:val="Heading2"/>
      </w:pPr>
      <w:bookmarkStart w:id="2" w:name="_Toc54265059"/>
      <w:r>
        <w:t>MRA Consulting Group’s Report</w:t>
      </w:r>
      <w:bookmarkEnd w:id="2"/>
    </w:p>
    <w:p w14:paraId="07FA026F" w14:textId="6AFA83FF" w:rsidR="002423E1" w:rsidRDefault="002423E1" w:rsidP="00323DA9">
      <w:r>
        <w:t xml:space="preserve">Prior to </w:t>
      </w:r>
      <w:r w:rsidR="002E134A">
        <w:t xml:space="preserve">the </w:t>
      </w:r>
      <w:r>
        <w:t xml:space="preserve">start of the export ban on waste glass, the Department commissioned </w:t>
      </w:r>
      <w:r w:rsidR="002E134A">
        <w:t>Mike Ritchie and Associates (</w:t>
      </w:r>
      <w:r>
        <w:t>MRA</w:t>
      </w:r>
      <w:r w:rsidR="002E134A">
        <w:t>)</w:t>
      </w:r>
      <w:r>
        <w:t xml:space="preserve"> Consulting Group in August 2020 to produce a report that set</w:t>
      </w:r>
      <w:r w:rsidR="00631E34">
        <w:t>s</w:t>
      </w:r>
      <w:r>
        <w:t xml:space="preserve"> out:</w:t>
      </w:r>
    </w:p>
    <w:p w14:paraId="5C52C50A" w14:textId="04CB6EB1" w:rsidR="00166530" w:rsidRDefault="002E134A" w:rsidP="00B945EC">
      <w:pPr>
        <w:pStyle w:val="ListParagraph"/>
        <w:numPr>
          <w:ilvl w:val="0"/>
          <w:numId w:val="7"/>
        </w:numPr>
        <w:ind w:left="426" w:hanging="426"/>
      </w:pPr>
      <w:r>
        <w:t>w</w:t>
      </w:r>
      <w:r w:rsidR="00166530" w:rsidRPr="00166530">
        <w:t xml:space="preserve">aste glass material flow and recycling, including likely reuses and remanufacture </w:t>
      </w:r>
      <w:proofErr w:type="gramStart"/>
      <w:r w:rsidR="00166530" w:rsidRPr="00166530">
        <w:t>processes</w:t>
      </w:r>
      <w:r w:rsidR="00166530">
        <w:t>;</w:t>
      </w:r>
      <w:proofErr w:type="gramEnd"/>
    </w:p>
    <w:p w14:paraId="7F452CF0" w14:textId="0B621D6C" w:rsidR="008E03A0" w:rsidRDefault="002E134A" w:rsidP="00B945EC">
      <w:pPr>
        <w:pStyle w:val="ListParagraph"/>
        <w:numPr>
          <w:ilvl w:val="0"/>
          <w:numId w:val="7"/>
        </w:numPr>
        <w:ind w:left="426" w:hanging="426"/>
      </w:pPr>
      <w:r>
        <w:t>t</w:t>
      </w:r>
      <w:r w:rsidR="00166530" w:rsidRPr="00166530">
        <w:t xml:space="preserve">he Australian waste glass market and export information, including prices and trading </w:t>
      </w:r>
      <w:proofErr w:type="gramStart"/>
      <w:r w:rsidR="00166530" w:rsidRPr="00166530">
        <w:t>dynamics;</w:t>
      </w:r>
      <w:proofErr w:type="gramEnd"/>
      <w:r w:rsidR="00166530" w:rsidRPr="00166530">
        <w:t xml:space="preserve"> </w:t>
      </w:r>
    </w:p>
    <w:p w14:paraId="44F0A067" w14:textId="27A6B8C9" w:rsidR="008E03A0" w:rsidRDefault="002E134A" w:rsidP="00B945EC">
      <w:pPr>
        <w:pStyle w:val="ListParagraph"/>
        <w:numPr>
          <w:ilvl w:val="0"/>
          <w:numId w:val="7"/>
        </w:numPr>
        <w:ind w:left="426" w:hanging="426"/>
      </w:pPr>
      <w:r>
        <w:t>s</w:t>
      </w:r>
      <w:r w:rsidR="00166530" w:rsidRPr="00166530">
        <w:t>tandards, specifications and guiding principles used in the industry for furnace ready and non</w:t>
      </w:r>
      <w:r w:rsidR="00631E34">
        <w:t>-</w:t>
      </w:r>
      <w:r w:rsidR="00166530" w:rsidRPr="00166530">
        <w:t xml:space="preserve">furnace ready waste </w:t>
      </w:r>
      <w:proofErr w:type="gramStart"/>
      <w:r w:rsidR="00166530" w:rsidRPr="00166530">
        <w:t>glass;</w:t>
      </w:r>
      <w:proofErr w:type="gramEnd"/>
      <w:r w:rsidR="00166530" w:rsidRPr="00166530">
        <w:t xml:space="preserve"> </w:t>
      </w:r>
    </w:p>
    <w:p w14:paraId="6ACD9F9C" w14:textId="4247A3E8" w:rsidR="008E03A0" w:rsidRDefault="002E134A" w:rsidP="00B945EC">
      <w:pPr>
        <w:pStyle w:val="ListParagraph"/>
        <w:numPr>
          <w:ilvl w:val="0"/>
          <w:numId w:val="7"/>
        </w:numPr>
        <w:ind w:left="426" w:hanging="426"/>
      </w:pPr>
      <w:r>
        <w:t>a</w:t>
      </w:r>
      <w:r w:rsidR="00166530" w:rsidRPr="00166530">
        <w:t>n overview of operations required to process glass to the standards identified; and</w:t>
      </w:r>
    </w:p>
    <w:p w14:paraId="3AC49072" w14:textId="5167E0CF" w:rsidR="008E03A0" w:rsidRDefault="002E134A" w:rsidP="00B945EC">
      <w:pPr>
        <w:pStyle w:val="ListParagraph"/>
        <w:numPr>
          <w:ilvl w:val="0"/>
          <w:numId w:val="7"/>
        </w:numPr>
        <w:ind w:left="426" w:hanging="426"/>
      </w:pPr>
      <w:r>
        <w:t>a</w:t>
      </w:r>
      <w:r w:rsidR="008E03A0">
        <w:t>ny overlap with</w:t>
      </w:r>
      <w:r w:rsidR="00166530" w:rsidRPr="00166530">
        <w:t xml:space="preserve"> the </w:t>
      </w:r>
      <w:r w:rsidR="00166530" w:rsidRPr="008E03A0">
        <w:rPr>
          <w:i/>
          <w:iCs/>
        </w:rPr>
        <w:t>Hazardous Waste (Regulation of Exports and Imports) Act 1989</w:t>
      </w:r>
      <w:r w:rsidR="00166530" w:rsidRPr="00166530">
        <w:t xml:space="preserve">. </w:t>
      </w:r>
    </w:p>
    <w:p w14:paraId="47793FBB" w14:textId="1EBDA7AE" w:rsidR="00486CC9" w:rsidRDefault="00486CC9" w:rsidP="008E03A0">
      <w:r>
        <w:t>Following extensive research and consultation with industry, MRA Consulting Group completed the report in September 2020. The report will be an important reference for the Department</w:t>
      </w:r>
      <w:r w:rsidR="00242ACE">
        <w:t>, including</w:t>
      </w:r>
      <w:r>
        <w:t xml:space="preserve"> when assessing waste glass licence applications as the waste export ban commences.</w:t>
      </w:r>
    </w:p>
    <w:p w14:paraId="19B39D85" w14:textId="6CD68936" w:rsidR="00166530" w:rsidRDefault="00166530" w:rsidP="00486CC9">
      <w:r>
        <w:t xml:space="preserve">The Department consulted with businesses referenced in the report. Multiple organisations identified </w:t>
      </w:r>
      <w:r w:rsidR="00242ACE">
        <w:t xml:space="preserve">that the report contained </w:t>
      </w:r>
      <w:r>
        <w:t xml:space="preserve">commercial-in-confidence </w:t>
      </w:r>
      <w:r w:rsidR="002E134A">
        <w:t>information</w:t>
      </w:r>
      <w:r>
        <w:t>. As such, the Department has decided to not publish the report</w:t>
      </w:r>
      <w:r w:rsidR="00242ACE">
        <w:t xml:space="preserve"> in full</w:t>
      </w:r>
      <w:r>
        <w:t>.</w:t>
      </w:r>
    </w:p>
    <w:p w14:paraId="5DD04E5D" w14:textId="17979DE7" w:rsidR="001B5C01" w:rsidRPr="00476C11" w:rsidRDefault="00166530" w:rsidP="00476C11">
      <w:r w:rsidRPr="00476C11">
        <w:t xml:space="preserve">The Australian Government has made commitments under the National Waste Policy Action Plan 2019 (and has a general </w:t>
      </w:r>
      <w:r w:rsidR="001B5C01">
        <w:t>preference</w:t>
      </w:r>
      <w:r w:rsidRPr="00476C11">
        <w:t xml:space="preserve">) to publish data and reports to support better consumer, </w:t>
      </w:r>
      <w:proofErr w:type="gramStart"/>
      <w:r w:rsidRPr="00476C11">
        <w:t>investment</w:t>
      </w:r>
      <w:proofErr w:type="gramEnd"/>
      <w:r w:rsidRPr="00476C11">
        <w:t xml:space="preserve"> and policy decisions. Recognising this, the Department has produced this </w:t>
      </w:r>
      <w:r w:rsidR="00791A35" w:rsidRPr="00476C11">
        <w:t>snapshot</w:t>
      </w:r>
      <w:r w:rsidRPr="00476C11">
        <w:t xml:space="preserve"> of the report to maximise public information while not breaching commercial-in-confidence and privacy obligations.</w:t>
      </w:r>
      <w:r w:rsidR="008E03A0" w:rsidRPr="00476C11">
        <w:t xml:space="preserve"> As such</w:t>
      </w:r>
      <w:r w:rsidR="00791A35" w:rsidRPr="00476C11">
        <w:t>,</w:t>
      </w:r>
      <w:r w:rsidR="008E03A0" w:rsidRPr="00476C11">
        <w:t xml:space="preserve"> this s</w:t>
      </w:r>
      <w:r w:rsidR="00791A35" w:rsidRPr="00476C11">
        <w:t>napshot</w:t>
      </w:r>
      <w:r w:rsidR="008E03A0" w:rsidRPr="00476C11">
        <w:t xml:space="preserve"> focuses on general industry practices and material flows and does not detail specific information on market conditions for </w:t>
      </w:r>
      <w:r w:rsidR="00DF1019" w:rsidRPr="00476C11">
        <w:t>individual</w:t>
      </w:r>
      <w:r w:rsidR="008E03A0" w:rsidRPr="00476C11">
        <w:t xml:space="preserve"> businesses </w:t>
      </w:r>
      <w:r w:rsidR="00DF1019" w:rsidRPr="00476C11">
        <w:t>n</w:t>
      </w:r>
      <w:r w:rsidR="008E03A0" w:rsidRPr="00476C11">
        <w:t>or their proprietary processes and technology.</w:t>
      </w:r>
    </w:p>
    <w:p w14:paraId="54099BB0" w14:textId="76A21B14" w:rsidR="00166530" w:rsidRDefault="00166530" w:rsidP="00166530">
      <w:pPr>
        <w:pStyle w:val="Heading1"/>
      </w:pPr>
      <w:bookmarkStart w:id="3" w:name="_Toc54265060"/>
      <w:r>
        <w:lastRenderedPageBreak/>
        <w:t>S</w:t>
      </w:r>
      <w:r w:rsidR="00711CA4">
        <w:t>napshot</w:t>
      </w:r>
      <w:bookmarkEnd w:id="3"/>
    </w:p>
    <w:p w14:paraId="325F4F5C" w14:textId="02DCDBA0" w:rsidR="00F02764" w:rsidRDefault="00F02764" w:rsidP="00F02764">
      <w:pPr>
        <w:pStyle w:val="Heading2"/>
      </w:pPr>
      <w:bookmarkStart w:id="4" w:name="_Toc54265061"/>
      <w:r>
        <w:t>Producti</w:t>
      </w:r>
      <w:r w:rsidR="002E134A">
        <w:t>on</w:t>
      </w:r>
      <w:r>
        <w:t xml:space="preserve"> and Consumption of Glass Packaging</w:t>
      </w:r>
      <w:bookmarkEnd w:id="4"/>
    </w:p>
    <w:p w14:paraId="2C9D8761" w14:textId="717BF269" w:rsidR="00F02764" w:rsidRDefault="00F02764" w:rsidP="00F02764">
      <w:r w:rsidRPr="00750A83">
        <w:t>Glass packaging, in the form of bottles and jars, is produced using virgin materials (mainly sand, limestone and soda ash) and recycled glass material (cullet). Total glass packaging consumption in 2017-18 was reported to be approximately 1.3 million tonnes.</w:t>
      </w:r>
      <w:r>
        <w:rPr>
          <w:rStyle w:val="FootnoteReference"/>
        </w:rPr>
        <w:footnoteReference w:id="2"/>
      </w:r>
      <w:r w:rsidRPr="00750A83">
        <w:t xml:space="preserve"> 1.1 million tonnes of glass packaging were manufactured </w:t>
      </w:r>
      <w:proofErr w:type="gramStart"/>
      <w:r w:rsidRPr="00750A83">
        <w:t>domestically</w:t>
      </w:r>
      <w:proofErr w:type="gramEnd"/>
      <w:r w:rsidRPr="00750A83">
        <w:t xml:space="preserve"> and 158,000 tonnes were imported from overseas.</w:t>
      </w:r>
    </w:p>
    <w:p w14:paraId="1853B02D" w14:textId="5EDD0579" w:rsidR="00486CC9" w:rsidRDefault="00371A41" w:rsidP="00371A41">
      <w:pPr>
        <w:pStyle w:val="Heading2"/>
      </w:pPr>
      <w:bookmarkStart w:id="5" w:name="_Toc54265062"/>
      <w:r>
        <w:t>Waste Glass</w:t>
      </w:r>
      <w:r w:rsidR="00647328">
        <w:t xml:space="preserve"> </w:t>
      </w:r>
      <w:r w:rsidR="0095381A">
        <w:t>R</w:t>
      </w:r>
      <w:r w:rsidR="00E26C6F">
        <w:t>ecovery</w:t>
      </w:r>
      <w:bookmarkEnd w:id="5"/>
    </w:p>
    <w:p w14:paraId="515CEA30" w14:textId="179C4D24" w:rsidR="00C10C94" w:rsidRDefault="00236CBD" w:rsidP="00711CA4">
      <w:r>
        <w:t>N</w:t>
      </w:r>
      <w:r w:rsidR="003643CE">
        <w:t xml:space="preserve">early half </w:t>
      </w:r>
      <w:r>
        <w:t xml:space="preserve">of glass packaging consumed in Australia per year is </w:t>
      </w:r>
      <w:r w:rsidR="003643CE">
        <w:t>recycled.</w:t>
      </w:r>
      <w:r w:rsidR="003643CE">
        <w:rPr>
          <w:rStyle w:val="FootnoteReference"/>
        </w:rPr>
        <w:footnoteReference w:id="3"/>
      </w:r>
      <w:r w:rsidR="00197794">
        <w:t xml:space="preserve"> </w:t>
      </w:r>
      <w:r w:rsidR="00711CA4">
        <w:t xml:space="preserve">Most recycled glass is collected through the kerbside recycling system as part of a comingled mix of recyclable products. </w:t>
      </w:r>
      <w:r w:rsidR="009D0DC6">
        <w:t>Nearly all</w:t>
      </w:r>
      <w:r w:rsidR="00711CA4">
        <w:t xml:space="preserve"> states </w:t>
      </w:r>
      <w:r w:rsidR="003C55BC">
        <w:t xml:space="preserve">and territories </w:t>
      </w:r>
      <w:r w:rsidR="00711CA4">
        <w:t>have container deposit schemes (CDS) to collect recycled glass</w:t>
      </w:r>
      <w:r w:rsidR="00B545B6">
        <w:t>.</w:t>
      </w:r>
      <w:r w:rsidR="00711CA4">
        <w:t xml:space="preserve"> </w:t>
      </w:r>
      <w:r w:rsidR="00B545B6">
        <w:t>A</w:t>
      </w:r>
      <w:r w:rsidR="00711CA4">
        <w:t xml:space="preserve"> small proportion is </w:t>
      </w:r>
      <w:r w:rsidR="00B545B6">
        <w:t xml:space="preserve">also </w:t>
      </w:r>
      <w:r w:rsidR="00711CA4">
        <w:t>collected by major glass users</w:t>
      </w:r>
      <w:r w:rsidR="00B545B6">
        <w:t>,</w:t>
      </w:r>
      <w:r w:rsidR="00711CA4">
        <w:t xml:space="preserve"> such as pubs</w:t>
      </w:r>
      <w:r w:rsidR="009D77D6">
        <w:t xml:space="preserve"> and clubs</w:t>
      </w:r>
      <w:r w:rsidR="00711CA4">
        <w:t>.</w:t>
      </w:r>
      <w:r w:rsidR="00C10C94">
        <w:t xml:space="preserve"> </w:t>
      </w:r>
    </w:p>
    <w:p w14:paraId="3BBE371D" w14:textId="2593ADF8" w:rsidR="006D02CD" w:rsidRDefault="00711CA4" w:rsidP="00711CA4">
      <w:r>
        <w:t>Following collection, glass is delivered to a Materials Recycling Facility (MRF) for sorting. There are an estimated 94 MRFs Australia-wide</w:t>
      </w:r>
      <w:r w:rsidR="00D909CD">
        <w:t>.</w:t>
      </w:r>
      <w:r w:rsidR="00B545B6">
        <w:rPr>
          <w:rStyle w:val="FootnoteReference"/>
        </w:rPr>
        <w:footnoteReference w:id="4"/>
      </w:r>
      <w:r w:rsidR="006D02CD">
        <w:t xml:space="preserve"> </w:t>
      </w:r>
      <w:r>
        <w:t xml:space="preserve">Glass recycled through CDS and other separate collection methods is considered cleaner and may go to a MRF or straight to a beneficiation facility. The processes and equipment used to </w:t>
      </w:r>
      <w:proofErr w:type="gramStart"/>
      <w:r>
        <w:t>sort</w:t>
      </w:r>
      <w:proofErr w:type="gramEnd"/>
      <w:r>
        <w:t xml:space="preserve"> and process waste glass differs between facilities. </w:t>
      </w:r>
    </w:p>
    <w:p w14:paraId="42B74344" w14:textId="4649F679" w:rsidR="00486CC9" w:rsidRDefault="00711CA4" w:rsidP="00711CA4">
      <w:r>
        <w:t>For material collected from kerbside comingled recycling bins, glass is typically sorted and separated from other comingled recycling material at a</w:t>
      </w:r>
      <w:r w:rsidR="002E134A">
        <w:t>n</w:t>
      </w:r>
      <w:r>
        <w:t xml:space="preserve"> MRF. Depending on the processing equipment available at the facility, the separated glass may be colour sorted and crushed at the MRF or sent to a beneficiation plant to be processed.</w:t>
      </w:r>
    </w:p>
    <w:p w14:paraId="76333C83" w14:textId="38EC9F63" w:rsidR="00C55877" w:rsidRDefault="00C55877" w:rsidP="00711CA4">
      <w:r w:rsidRPr="00C55877">
        <w:t xml:space="preserve">Beneficiation is the process of sorting, </w:t>
      </w:r>
      <w:proofErr w:type="gramStart"/>
      <w:r w:rsidRPr="00C55877">
        <w:t>cleaning</w:t>
      </w:r>
      <w:proofErr w:type="gramEnd"/>
      <w:r w:rsidRPr="00C55877">
        <w:t xml:space="preserve"> and crushing glass. At the beneficiation plant, contaminants are removed from the feedstock: ferrous metals are removed by large magnets and nonferrous metals are removed via an eddy current. Contaminants such as plastic and paper are removed using negative or positive air pressure systems. Optical sorting is performed to remove other contaminants such as ceramics and to sort the glass by colour. Subsequently the glass is crushed. Burning and washing to remove sugars may be performed.</w:t>
      </w:r>
    </w:p>
    <w:p w14:paraId="68AB7A5F" w14:textId="681D0E1A" w:rsidR="008376C6" w:rsidRDefault="008376C6">
      <w:pPr>
        <w:spacing w:after="0" w:line="240" w:lineRule="auto"/>
      </w:pPr>
      <w:r>
        <w:br w:type="page"/>
      </w:r>
    </w:p>
    <w:tbl>
      <w:tblPr>
        <w:tblStyle w:val="TableGrid"/>
        <w:tblW w:w="0" w:type="auto"/>
        <w:tblLook w:val="04A0" w:firstRow="1" w:lastRow="0" w:firstColumn="1" w:lastColumn="0" w:noHBand="0" w:noVBand="1"/>
      </w:tblPr>
      <w:tblGrid>
        <w:gridCol w:w="1533"/>
        <w:gridCol w:w="1533"/>
        <w:gridCol w:w="1534"/>
        <w:gridCol w:w="1534"/>
        <w:gridCol w:w="1534"/>
        <w:gridCol w:w="1534"/>
      </w:tblGrid>
      <w:tr w:rsidR="00366174" w14:paraId="0CACE311" w14:textId="77777777" w:rsidTr="00116FE2">
        <w:trPr>
          <w:cnfStyle w:val="100000000000" w:firstRow="1" w:lastRow="0" w:firstColumn="0" w:lastColumn="0" w:oddVBand="0" w:evenVBand="0" w:oddHBand="0" w:evenHBand="0" w:firstRowFirstColumn="0" w:firstRowLastColumn="0" w:lastRowFirstColumn="0" w:lastRowLastColumn="0"/>
        </w:trPr>
        <w:tc>
          <w:tcPr>
            <w:tcW w:w="9202" w:type="dxa"/>
            <w:gridSpan w:val="6"/>
            <w:shd w:val="clear" w:color="auto" w:fill="548DD4" w:themeFill="text2" w:themeFillTint="99"/>
            <w:vAlign w:val="center"/>
          </w:tcPr>
          <w:p w14:paraId="076D71A1" w14:textId="3D6E3073" w:rsidR="00366174" w:rsidRPr="008376C6" w:rsidRDefault="00116FE2" w:rsidP="009C3355">
            <w:pPr>
              <w:spacing w:before="120" w:after="120"/>
              <w:jc w:val="center"/>
              <w:rPr>
                <w:b/>
                <w:bCs/>
                <w:color w:val="FFFFFF" w:themeColor="background1"/>
              </w:rPr>
            </w:pPr>
            <w:r w:rsidRPr="008376C6">
              <w:rPr>
                <w:b/>
                <w:bCs/>
                <w:color w:val="FFFFFF" w:themeColor="background1"/>
              </w:rPr>
              <w:lastRenderedPageBreak/>
              <w:t>Glass Packaging Recovery</w:t>
            </w:r>
            <w:r w:rsidR="008376C6" w:rsidRPr="008376C6">
              <w:rPr>
                <w:b/>
                <w:bCs/>
                <w:color w:val="FFFFFF" w:themeColor="background1"/>
              </w:rPr>
              <w:t xml:space="preserve"> in Tonnes</w:t>
            </w:r>
            <w:r w:rsidRPr="008376C6">
              <w:rPr>
                <w:b/>
                <w:bCs/>
                <w:color w:val="FFFFFF" w:themeColor="background1"/>
              </w:rPr>
              <w:t xml:space="preserve"> (2017-18)</w:t>
            </w:r>
            <w:r w:rsidR="0066472B">
              <w:rPr>
                <w:rStyle w:val="FootnoteReference"/>
                <w:b/>
                <w:bCs/>
                <w:color w:val="FFFFFF" w:themeColor="background1"/>
              </w:rPr>
              <w:footnoteReference w:id="5"/>
            </w:r>
          </w:p>
        </w:tc>
      </w:tr>
      <w:tr w:rsidR="009C3355" w14:paraId="37440321" w14:textId="77777777" w:rsidTr="00116FE2">
        <w:trPr>
          <w:cnfStyle w:val="000000100000" w:firstRow="0" w:lastRow="0" w:firstColumn="0" w:lastColumn="0" w:oddVBand="0" w:evenVBand="0" w:oddHBand="1" w:evenHBand="0" w:firstRowFirstColumn="0" w:firstRowLastColumn="0" w:lastRowFirstColumn="0" w:lastRowLastColumn="0"/>
        </w:trPr>
        <w:tc>
          <w:tcPr>
            <w:tcW w:w="1533" w:type="dxa"/>
            <w:shd w:val="clear" w:color="auto" w:fill="DBE5F1" w:themeFill="accent1" w:themeFillTint="33"/>
            <w:vAlign w:val="center"/>
          </w:tcPr>
          <w:p w14:paraId="46C5045A" w14:textId="32619F44" w:rsidR="009C3355" w:rsidRPr="00116FE2" w:rsidRDefault="009C3355" w:rsidP="009C3355">
            <w:pPr>
              <w:spacing w:before="120" w:after="120"/>
              <w:jc w:val="center"/>
              <w:rPr>
                <w:b/>
                <w:bCs/>
              </w:rPr>
            </w:pPr>
            <w:r w:rsidRPr="00116FE2">
              <w:rPr>
                <w:b/>
                <w:bCs/>
              </w:rPr>
              <w:t>T</w:t>
            </w:r>
            <w:r w:rsidR="00366174" w:rsidRPr="00116FE2">
              <w:rPr>
                <w:b/>
                <w:bCs/>
              </w:rPr>
              <w:t>ype</w:t>
            </w:r>
          </w:p>
        </w:tc>
        <w:tc>
          <w:tcPr>
            <w:tcW w:w="1533" w:type="dxa"/>
            <w:shd w:val="clear" w:color="auto" w:fill="DBE5F1" w:themeFill="accent1" w:themeFillTint="33"/>
            <w:vAlign w:val="center"/>
          </w:tcPr>
          <w:p w14:paraId="0F44CF1C" w14:textId="008219C1" w:rsidR="009C3355" w:rsidRPr="00116FE2" w:rsidRDefault="00366174" w:rsidP="009C3355">
            <w:pPr>
              <w:spacing w:before="120" w:after="120"/>
              <w:jc w:val="center"/>
              <w:rPr>
                <w:b/>
                <w:bCs/>
              </w:rPr>
            </w:pPr>
            <w:r w:rsidRPr="00116FE2">
              <w:rPr>
                <w:b/>
                <w:bCs/>
              </w:rPr>
              <w:t>Kerbside</w:t>
            </w:r>
            <w:r w:rsidR="00116FE2">
              <w:rPr>
                <w:b/>
                <w:bCs/>
              </w:rPr>
              <w:t xml:space="preserve"> Recycling</w:t>
            </w:r>
            <w:r w:rsidR="008272F1">
              <w:rPr>
                <w:b/>
                <w:bCs/>
              </w:rPr>
              <w:t xml:space="preserve"> (tonnes)</w:t>
            </w:r>
          </w:p>
        </w:tc>
        <w:tc>
          <w:tcPr>
            <w:tcW w:w="1534" w:type="dxa"/>
            <w:shd w:val="clear" w:color="auto" w:fill="DBE5F1" w:themeFill="accent1" w:themeFillTint="33"/>
            <w:vAlign w:val="center"/>
          </w:tcPr>
          <w:p w14:paraId="437C616F" w14:textId="77777777" w:rsidR="009C3355" w:rsidRDefault="00366174" w:rsidP="009C3355">
            <w:pPr>
              <w:spacing w:before="120" w:after="120"/>
              <w:jc w:val="center"/>
              <w:rPr>
                <w:b/>
                <w:bCs/>
              </w:rPr>
            </w:pPr>
            <w:r w:rsidRPr="00116FE2">
              <w:rPr>
                <w:b/>
                <w:bCs/>
              </w:rPr>
              <w:t>Pubs &amp; Clubs</w:t>
            </w:r>
          </w:p>
          <w:p w14:paraId="5DCA138D" w14:textId="23DF15DB" w:rsidR="009F5FE5" w:rsidRPr="00116FE2" w:rsidRDefault="009F5FE5" w:rsidP="009C3355">
            <w:pPr>
              <w:spacing w:before="120" w:after="120"/>
              <w:jc w:val="center"/>
              <w:rPr>
                <w:b/>
                <w:bCs/>
              </w:rPr>
            </w:pPr>
            <w:r>
              <w:rPr>
                <w:b/>
                <w:bCs/>
              </w:rPr>
              <w:t>(tonnes)</w:t>
            </w:r>
          </w:p>
        </w:tc>
        <w:tc>
          <w:tcPr>
            <w:tcW w:w="1534" w:type="dxa"/>
            <w:shd w:val="clear" w:color="auto" w:fill="DBE5F1" w:themeFill="accent1" w:themeFillTint="33"/>
            <w:vAlign w:val="center"/>
          </w:tcPr>
          <w:p w14:paraId="146406D6" w14:textId="77777777" w:rsidR="009C3355" w:rsidRDefault="00366174" w:rsidP="009C3355">
            <w:pPr>
              <w:spacing w:before="120" w:after="120"/>
              <w:jc w:val="center"/>
              <w:rPr>
                <w:b/>
                <w:bCs/>
              </w:rPr>
            </w:pPr>
            <w:r w:rsidRPr="00116FE2">
              <w:rPr>
                <w:b/>
                <w:bCs/>
              </w:rPr>
              <w:t>CDS</w:t>
            </w:r>
          </w:p>
          <w:p w14:paraId="2C5CF2C6" w14:textId="4DF726AD" w:rsidR="009F5FE5" w:rsidRPr="00116FE2" w:rsidRDefault="009F5FE5" w:rsidP="009C3355">
            <w:pPr>
              <w:spacing w:before="120" w:after="120"/>
              <w:jc w:val="center"/>
              <w:rPr>
                <w:b/>
                <w:bCs/>
              </w:rPr>
            </w:pPr>
            <w:r>
              <w:rPr>
                <w:b/>
                <w:bCs/>
              </w:rPr>
              <w:t>(tonnes)</w:t>
            </w:r>
          </w:p>
        </w:tc>
        <w:tc>
          <w:tcPr>
            <w:tcW w:w="1534" w:type="dxa"/>
            <w:shd w:val="clear" w:color="auto" w:fill="DBE5F1" w:themeFill="accent1" w:themeFillTint="33"/>
            <w:vAlign w:val="center"/>
          </w:tcPr>
          <w:p w14:paraId="1516CAF9" w14:textId="77777777" w:rsidR="009C3355" w:rsidRDefault="00366174" w:rsidP="009C3355">
            <w:pPr>
              <w:spacing w:before="120" w:after="120"/>
              <w:jc w:val="center"/>
              <w:rPr>
                <w:b/>
                <w:bCs/>
              </w:rPr>
            </w:pPr>
            <w:r w:rsidRPr="00116FE2">
              <w:rPr>
                <w:b/>
                <w:bCs/>
              </w:rPr>
              <w:t>Total</w:t>
            </w:r>
          </w:p>
          <w:p w14:paraId="04DA54A6" w14:textId="463DB233" w:rsidR="002F40EC" w:rsidRPr="00116FE2" w:rsidRDefault="002F40EC" w:rsidP="009C3355">
            <w:pPr>
              <w:spacing w:before="120" w:after="120"/>
              <w:jc w:val="center"/>
              <w:rPr>
                <w:b/>
                <w:bCs/>
              </w:rPr>
            </w:pPr>
            <w:r>
              <w:rPr>
                <w:b/>
                <w:bCs/>
              </w:rPr>
              <w:t>(tonnes)</w:t>
            </w:r>
          </w:p>
        </w:tc>
        <w:tc>
          <w:tcPr>
            <w:tcW w:w="1534" w:type="dxa"/>
            <w:shd w:val="clear" w:color="auto" w:fill="DBE5F1" w:themeFill="accent1" w:themeFillTint="33"/>
            <w:vAlign w:val="center"/>
          </w:tcPr>
          <w:p w14:paraId="46EE190E" w14:textId="3179A27C" w:rsidR="009C3355" w:rsidRPr="00116FE2" w:rsidRDefault="00366174" w:rsidP="009C3355">
            <w:pPr>
              <w:spacing w:before="120" w:after="120"/>
              <w:jc w:val="center"/>
              <w:rPr>
                <w:b/>
                <w:bCs/>
              </w:rPr>
            </w:pPr>
            <w:r w:rsidRPr="00116FE2">
              <w:rPr>
                <w:b/>
                <w:bCs/>
              </w:rPr>
              <w:t>Total (%)</w:t>
            </w:r>
          </w:p>
        </w:tc>
      </w:tr>
      <w:tr w:rsidR="009C3355" w14:paraId="088BBBD9" w14:textId="77777777" w:rsidTr="009C3355">
        <w:trPr>
          <w:cnfStyle w:val="000000010000" w:firstRow="0" w:lastRow="0" w:firstColumn="0" w:lastColumn="0" w:oddVBand="0" w:evenVBand="0" w:oddHBand="0" w:evenHBand="1" w:firstRowFirstColumn="0" w:firstRowLastColumn="0" w:lastRowFirstColumn="0" w:lastRowLastColumn="0"/>
        </w:trPr>
        <w:tc>
          <w:tcPr>
            <w:tcW w:w="1533" w:type="dxa"/>
            <w:vAlign w:val="center"/>
          </w:tcPr>
          <w:p w14:paraId="4738E90C" w14:textId="215EB9AB" w:rsidR="009C3355" w:rsidRPr="00721B4F" w:rsidRDefault="008376C6" w:rsidP="009C3355">
            <w:pPr>
              <w:spacing w:before="120" w:after="120"/>
              <w:jc w:val="center"/>
              <w:rPr>
                <w:b/>
                <w:bCs/>
              </w:rPr>
            </w:pPr>
            <w:r w:rsidRPr="00721B4F">
              <w:rPr>
                <w:b/>
                <w:bCs/>
              </w:rPr>
              <w:t>Amber</w:t>
            </w:r>
          </w:p>
        </w:tc>
        <w:tc>
          <w:tcPr>
            <w:tcW w:w="1533" w:type="dxa"/>
            <w:vAlign w:val="center"/>
          </w:tcPr>
          <w:p w14:paraId="6D5145F3" w14:textId="29B318C6" w:rsidR="009C3355" w:rsidRDefault="00721B4F" w:rsidP="009C3355">
            <w:pPr>
              <w:spacing w:before="120" w:after="120"/>
              <w:jc w:val="center"/>
            </w:pPr>
            <w:r>
              <w:t>101,000</w:t>
            </w:r>
          </w:p>
        </w:tc>
        <w:tc>
          <w:tcPr>
            <w:tcW w:w="1534" w:type="dxa"/>
            <w:vAlign w:val="center"/>
          </w:tcPr>
          <w:p w14:paraId="61F57E40" w14:textId="28EE9CD5" w:rsidR="009C3355" w:rsidRDefault="00721B4F" w:rsidP="009C3355">
            <w:pPr>
              <w:spacing w:before="120" w:after="120"/>
              <w:jc w:val="center"/>
            </w:pPr>
            <w:r>
              <w:t>2,000</w:t>
            </w:r>
          </w:p>
        </w:tc>
        <w:tc>
          <w:tcPr>
            <w:tcW w:w="1534" w:type="dxa"/>
            <w:vAlign w:val="center"/>
          </w:tcPr>
          <w:p w14:paraId="21F94A93" w14:textId="7E0451F1" w:rsidR="009C3355" w:rsidRDefault="00721B4F" w:rsidP="009C3355">
            <w:pPr>
              <w:spacing w:before="120" w:after="120"/>
              <w:jc w:val="center"/>
            </w:pPr>
            <w:r>
              <w:t>43,000</w:t>
            </w:r>
          </w:p>
        </w:tc>
        <w:tc>
          <w:tcPr>
            <w:tcW w:w="1534" w:type="dxa"/>
            <w:vAlign w:val="center"/>
          </w:tcPr>
          <w:p w14:paraId="73AE9D66" w14:textId="0E019B08" w:rsidR="009C3355" w:rsidRDefault="00721B4F" w:rsidP="009C3355">
            <w:pPr>
              <w:spacing w:before="120" w:after="120"/>
              <w:jc w:val="center"/>
            </w:pPr>
            <w:r>
              <w:t>146,000</w:t>
            </w:r>
          </w:p>
        </w:tc>
        <w:tc>
          <w:tcPr>
            <w:tcW w:w="1534" w:type="dxa"/>
            <w:vAlign w:val="center"/>
          </w:tcPr>
          <w:p w14:paraId="0CD95482" w14:textId="65E2E659" w:rsidR="009C3355" w:rsidRDefault="002855EB" w:rsidP="009C3355">
            <w:pPr>
              <w:spacing w:before="120" w:after="120"/>
              <w:jc w:val="center"/>
            </w:pPr>
            <w:r>
              <w:t>25%</w:t>
            </w:r>
          </w:p>
        </w:tc>
      </w:tr>
      <w:tr w:rsidR="009C3355" w14:paraId="00317618" w14:textId="77777777" w:rsidTr="009C3355">
        <w:trPr>
          <w:cnfStyle w:val="000000100000" w:firstRow="0" w:lastRow="0" w:firstColumn="0" w:lastColumn="0" w:oddVBand="0" w:evenVBand="0" w:oddHBand="1" w:evenHBand="0" w:firstRowFirstColumn="0" w:firstRowLastColumn="0" w:lastRowFirstColumn="0" w:lastRowLastColumn="0"/>
        </w:trPr>
        <w:tc>
          <w:tcPr>
            <w:tcW w:w="1533" w:type="dxa"/>
            <w:vAlign w:val="center"/>
          </w:tcPr>
          <w:p w14:paraId="73B22548" w14:textId="2D412A2B" w:rsidR="009C3355" w:rsidRPr="00721B4F" w:rsidRDefault="008376C6" w:rsidP="009C3355">
            <w:pPr>
              <w:spacing w:before="120" w:after="120"/>
              <w:jc w:val="center"/>
              <w:rPr>
                <w:b/>
                <w:bCs/>
              </w:rPr>
            </w:pPr>
            <w:r w:rsidRPr="00721B4F">
              <w:rPr>
                <w:b/>
                <w:bCs/>
              </w:rPr>
              <w:t>Flint</w:t>
            </w:r>
          </w:p>
        </w:tc>
        <w:tc>
          <w:tcPr>
            <w:tcW w:w="1533" w:type="dxa"/>
            <w:vAlign w:val="center"/>
          </w:tcPr>
          <w:p w14:paraId="144D36DE" w14:textId="469F9A81" w:rsidR="009C3355" w:rsidRDefault="002855EB" w:rsidP="009C3355">
            <w:pPr>
              <w:spacing w:before="120" w:after="120"/>
              <w:jc w:val="center"/>
            </w:pPr>
            <w:r>
              <w:t>115,000</w:t>
            </w:r>
          </w:p>
        </w:tc>
        <w:tc>
          <w:tcPr>
            <w:tcW w:w="1534" w:type="dxa"/>
            <w:vAlign w:val="center"/>
          </w:tcPr>
          <w:p w14:paraId="713E91ED" w14:textId="74B9423F" w:rsidR="009C3355" w:rsidRDefault="002855EB" w:rsidP="009C3355">
            <w:pPr>
              <w:spacing w:before="120" w:after="120"/>
              <w:jc w:val="center"/>
            </w:pPr>
            <w:r>
              <w:t>2,000</w:t>
            </w:r>
          </w:p>
        </w:tc>
        <w:tc>
          <w:tcPr>
            <w:tcW w:w="1534" w:type="dxa"/>
            <w:vAlign w:val="center"/>
          </w:tcPr>
          <w:p w14:paraId="0871228B" w14:textId="2C628725" w:rsidR="009C3355" w:rsidRDefault="002855EB" w:rsidP="009C3355">
            <w:pPr>
              <w:spacing w:before="120" w:after="120"/>
              <w:jc w:val="center"/>
            </w:pPr>
            <w:r>
              <w:t>46,000</w:t>
            </w:r>
          </w:p>
        </w:tc>
        <w:tc>
          <w:tcPr>
            <w:tcW w:w="1534" w:type="dxa"/>
            <w:vAlign w:val="center"/>
          </w:tcPr>
          <w:p w14:paraId="7746E245" w14:textId="60B75EB4" w:rsidR="009C3355" w:rsidRDefault="002855EB" w:rsidP="009C3355">
            <w:pPr>
              <w:spacing w:before="120" w:after="120"/>
              <w:jc w:val="center"/>
            </w:pPr>
            <w:r>
              <w:t>163,000</w:t>
            </w:r>
          </w:p>
        </w:tc>
        <w:tc>
          <w:tcPr>
            <w:tcW w:w="1534" w:type="dxa"/>
            <w:vAlign w:val="center"/>
          </w:tcPr>
          <w:p w14:paraId="75635E9C" w14:textId="2D5BDC3F" w:rsidR="009C3355" w:rsidRDefault="002855EB" w:rsidP="009C3355">
            <w:pPr>
              <w:spacing w:before="120" w:after="120"/>
              <w:jc w:val="center"/>
            </w:pPr>
            <w:r>
              <w:t>28%</w:t>
            </w:r>
          </w:p>
        </w:tc>
      </w:tr>
      <w:tr w:rsidR="009C3355" w14:paraId="7A4E9D8E" w14:textId="77777777" w:rsidTr="009C3355">
        <w:trPr>
          <w:cnfStyle w:val="000000010000" w:firstRow="0" w:lastRow="0" w:firstColumn="0" w:lastColumn="0" w:oddVBand="0" w:evenVBand="0" w:oddHBand="0" w:evenHBand="1" w:firstRowFirstColumn="0" w:firstRowLastColumn="0" w:lastRowFirstColumn="0" w:lastRowLastColumn="0"/>
        </w:trPr>
        <w:tc>
          <w:tcPr>
            <w:tcW w:w="1533" w:type="dxa"/>
            <w:vAlign w:val="center"/>
          </w:tcPr>
          <w:p w14:paraId="048C2E18" w14:textId="65B9E094" w:rsidR="009C3355" w:rsidRPr="00721B4F" w:rsidRDefault="008376C6" w:rsidP="009C3355">
            <w:pPr>
              <w:spacing w:before="120" w:after="120"/>
              <w:jc w:val="center"/>
              <w:rPr>
                <w:b/>
                <w:bCs/>
              </w:rPr>
            </w:pPr>
            <w:r w:rsidRPr="00721B4F">
              <w:rPr>
                <w:b/>
                <w:bCs/>
              </w:rPr>
              <w:t>Green</w:t>
            </w:r>
          </w:p>
        </w:tc>
        <w:tc>
          <w:tcPr>
            <w:tcW w:w="1533" w:type="dxa"/>
            <w:vAlign w:val="center"/>
          </w:tcPr>
          <w:p w14:paraId="10D10B1E" w14:textId="06666D26" w:rsidR="009C3355" w:rsidRDefault="002855EB" w:rsidP="009C3355">
            <w:pPr>
              <w:spacing w:before="120" w:after="120"/>
              <w:jc w:val="center"/>
            </w:pPr>
            <w:r>
              <w:t>100,000</w:t>
            </w:r>
          </w:p>
        </w:tc>
        <w:tc>
          <w:tcPr>
            <w:tcW w:w="1534" w:type="dxa"/>
            <w:vAlign w:val="center"/>
          </w:tcPr>
          <w:p w14:paraId="3EA428D2" w14:textId="7FA80B5B" w:rsidR="009C3355" w:rsidRDefault="002855EB" w:rsidP="009C3355">
            <w:pPr>
              <w:spacing w:before="120" w:after="120"/>
              <w:jc w:val="center"/>
            </w:pPr>
            <w:r>
              <w:t>2,000</w:t>
            </w:r>
          </w:p>
        </w:tc>
        <w:tc>
          <w:tcPr>
            <w:tcW w:w="1534" w:type="dxa"/>
            <w:vAlign w:val="center"/>
          </w:tcPr>
          <w:p w14:paraId="3ABEC64F" w14:textId="0BF4F179" w:rsidR="009C3355" w:rsidRDefault="002855EB" w:rsidP="009C3355">
            <w:pPr>
              <w:spacing w:before="120" w:after="120"/>
              <w:jc w:val="center"/>
            </w:pPr>
            <w:r>
              <w:t>36,000</w:t>
            </w:r>
          </w:p>
        </w:tc>
        <w:tc>
          <w:tcPr>
            <w:tcW w:w="1534" w:type="dxa"/>
            <w:vAlign w:val="center"/>
          </w:tcPr>
          <w:p w14:paraId="43CAA7E8" w14:textId="7ED9B87B" w:rsidR="009C3355" w:rsidRDefault="00A610B1" w:rsidP="009C3355">
            <w:pPr>
              <w:spacing w:before="120" w:after="120"/>
              <w:jc w:val="center"/>
            </w:pPr>
            <w:r>
              <w:t>138,000</w:t>
            </w:r>
          </w:p>
        </w:tc>
        <w:tc>
          <w:tcPr>
            <w:tcW w:w="1534" w:type="dxa"/>
            <w:vAlign w:val="center"/>
          </w:tcPr>
          <w:p w14:paraId="509835A3" w14:textId="2679FC37" w:rsidR="009C3355" w:rsidRDefault="00A610B1" w:rsidP="009C3355">
            <w:pPr>
              <w:spacing w:before="120" w:after="120"/>
              <w:jc w:val="center"/>
            </w:pPr>
            <w:r>
              <w:t>24%</w:t>
            </w:r>
          </w:p>
        </w:tc>
      </w:tr>
      <w:tr w:rsidR="009C3355" w14:paraId="5256C877" w14:textId="77777777" w:rsidTr="009C3355">
        <w:trPr>
          <w:cnfStyle w:val="000000100000" w:firstRow="0" w:lastRow="0" w:firstColumn="0" w:lastColumn="0" w:oddVBand="0" w:evenVBand="0" w:oddHBand="1" w:evenHBand="0" w:firstRowFirstColumn="0" w:firstRowLastColumn="0" w:lastRowFirstColumn="0" w:lastRowLastColumn="0"/>
        </w:trPr>
        <w:tc>
          <w:tcPr>
            <w:tcW w:w="1533" w:type="dxa"/>
            <w:vAlign w:val="center"/>
          </w:tcPr>
          <w:p w14:paraId="34FF4DA4" w14:textId="45512E7E" w:rsidR="009C3355" w:rsidRPr="00721B4F" w:rsidRDefault="008376C6" w:rsidP="009C3355">
            <w:pPr>
              <w:spacing w:before="120" w:after="120"/>
              <w:jc w:val="center"/>
              <w:rPr>
                <w:b/>
                <w:bCs/>
              </w:rPr>
            </w:pPr>
            <w:r w:rsidRPr="00721B4F">
              <w:rPr>
                <w:b/>
                <w:bCs/>
              </w:rPr>
              <w:t>Mixed</w:t>
            </w:r>
          </w:p>
        </w:tc>
        <w:tc>
          <w:tcPr>
            <w:tcW w:w="1533" w:type="dxa"/>
            <w:vAlign w:val="center"/>
          </w:tcPr>
          <w:p w14:paraId="41526C90" w14:textId="617659E8" w:rsidR="009C3355" w:rsidRDefault="00A610B1" w:rsidP="009C3355">
            <w:pPr>
              <w:spacing w:before="120" w:after="120"/>
              <w:jc w:val="center"/>
            </w:pPr>
            <w:r>
              <w:t>134,000</w:t>
            </w:r>
          </w:p>
        </w:tc>
        <w:tc>
          <w:tcPr>
            <w:tcW w:w="1534" w:type="dxa"/>
            <w:vAlign w:val="center"/>
          </w:tcPr>
          <w:p w14:paraId="121B9DF1" w14:textId="1463FB37" w:rsidR="009C3355" w:rsidRDefault="00A610B1" w:rsidP="009C3355">
            <w:pPr>
              <w:spacing w:before="120" w:after="120"/>
              <w:jc w:val="center"/>
            </w:pPr>
            <w:r>
              <w:t>0</w:t>
            </w:r>
          </w:p>
        </w:tc>
        <w:tc>
          <w:tcPr>
            <w:tcW w:w="1534" w:type="dxa"/>
            <w:vAlign w:val="center"/>
          </w:tcPr>
          <w:p w14:paraId="4886E0EB" w14:textId="5AA92FF7" w:rsidR="009C3355" w:rsidRDefault="00A610B1" w:rsidP="009C3355">
            <w:pPr>
              <w:spacing w:before="120" w:after="120"/>
              <w:jc w:val="center"/>
            </w:pPr>
            <w:r>
              <w:t>0</w:t>
            </w:r>
          </w:p>
        </w:tc>
        <w:tc>
          <w:tcPr>
            <w:tcW w:w="1534" w:type="dxa"/>
            <w:vAlign w:val="center"/>
          </w:tcPr>
          <w:p w14:paraId="796F8450" w14:textId="2400C517" w:rsidR="009C3355" w:rsidRDefault="00A610B1" w:rsidP="009C3355">
            <w:pPr>
              <w:spacing w:before="120" w:after="120"/>
              <w:jc w:val="center"/>
            </w:pPr>
            <w:r>
              <w:t>134,000</w:t>
            </w:r>
          </w:p>
        </w:tc>
        <w:tc>
          <w:tcPr>
            <w:tcW w:w="1534" w:type="dxa"/>
            <w:vAlign w:val="center"/>
          </w:tcPr>
          <w:p w14:paraId="4633F550" w14:textId="6496B345" w:rsidR="009C3355" w:rsidRDefault="00A610B1" w:rsidP="009C3355">
            <w:pPr>
              <w:spacing w:before="120" w:after="120"/>
              <w:jc w:val="center"/>
            </w:pPr>
            <w:r>
              <w:t>23%</w:t>
            </w:r>
          </w:p>
        </w:tc>
      </w:tr>
      <w:tr w:rsidR="009C3355" w14:paraId="7A2BA69A" w14:textId="77777777" w:rsidTr="009C3355">
        <w:trPr>
          <w:cnfStyle w:val="000000010000" w:firstRow="0" w:lastRow="0" w:firstColumn="0" w:lastColumn="0" w:oddVBand="0" w:evenVBand="0" w:oddHBand="0" w:evenHBand="1" w:firstRowFirstColumn="0" w:firstRowLastColumn="0" w:lastRowFirstColumn="0" w:lastRowLastColumn="0"/>
        </w:trPr>
        <w:tc>
          <w:tcPr>
            <w:tcW w:w="1533" w:type="dxa"/>
            <w:vAlign w:val="center"/>
          </w:tcPr>
          <w:p w14:paraId="6655653B" w14:textId="3A05043E" w:rsidR="009C3355" w:rsidRPr="00721B4F" w:rsidRDefault="008376C6" w:rsidP="009C3355">
            <w:pPr>
              <w:spacing w:before="120" w:after="120"/>
              <w:jc w:val="center"/>
              <w:rPr>
                <w:b/>
                <w:bCs/>
              </w:rPr>
            </w:pPr>
            <w:r w:rsidRPr="00721B4F">
              <w:rPr>
                <w:b/>
                <w:bCs/>
              </w:rPr>
              <w:t>Total</w:t>
            </w:r>
            <w:r w:rsidR="00B36203">
              <w:rPr>
                <w:b/>
                <w:bCs/>
              </w:rPr>
              <w:t xml:space="preserve"> (tonnes)</w:t>
            </w:r>
          </w:p>
        </w:tc>
        <w:tc>
          <w:tcPr>
            <w:tcW w:w="1533" w:type="dxa"/>
            <w:vAlign w:val="center"/>
          </w:tcPr>
          <w:p w14:paraId="751966C4" w14:textId="0C92A349" w:rsidR="009C3355" w:rsidRDefault="00A610B1" w:rsidP="009C3355">
            <w:pPr>
              <w:spacing w:before="120" w:after="120"/>
              <w:jc w:val="center"/>
            </w:pPr>
            <w:r>
              <w:t>450,000</w:t>
            </w:r>
          </w:p>
        </w:tc>
        <w:tc>
          <w:tcPr>
            <w:tcW w:w="1534" w:type="dxa"/>
            <w:vAlign w:val="center"/>
          </w:tcPr>
          <w:p w14:paraId="6A886157" w14:textId="623C688D" w:rsidR="009C3355" w:rsidRDefault="00A610B1" w:rsidP="009C3355">
            <w:pPr>
              <w:spacing w:before="120" w:after="120"/>
              <w:jc w:val="center"/>
            </w:pPr>
            <w:r>
              <w:t>6,000</w:t>
            </w:r>
          </w:p>
        </w:tc>
        <w:tc>
          <w:tcPr>
            <w:tcW w:w="1534" w:type="dxa"/>
            <w:vAlign w:val="center"/>
          </w:tcPr>
          <w:p w14:paraId="0D0B356E" w14:textId="6984642C" w:rsidR="009C3355" w:rsidRDefault="00A610B1" w:rsidP="009C3355">
            <w:pPr>
              <w:spacing w:before="120" w:after="120"/>
              <w:jc w:val="center"/>
            </w:pPr>
            <w:r>
              <w:t>125,000</w:t>
            </w:r>
          </w:p>
        </w:tc>
        <w:tc>
          <w:tcPr>
            <w:tcW w:w="1534" w:type="dxa"/>
            <w:vAlign w:val="center"/>
          </w:tcPr>
          <w:p w14:paraId="020D62E1" w14:textId="7A0A31DF" w:rsidR="009C3355" w:rsidRDefault="00A610B1" w:rsidP="009C3355">
            <w:pPr>
              <w:spacing w:before="120" w:after="120"/>
              <w:jc w:val="center"/>
            </w:pPr>
            <w:r>
              <w:t>581,000</w:t>
            </w:r>
          </w:p>
        </w:tc>
        <w:tc>
          <w:tcPr>
            <w:tcW w:w="1534" w:type="dxa"/>
            <w:vAlign w:val="center"/>
          </w:tcPr>
          <w:p w14:paraId="569701C4" w14:textId="3CEC49F6" w:rsidR="009C3355" w:rsidRDefault="00A610B1" w:rsidP="009C3355">
            <w:pPr>
              <w:spacing w:before="120" w:after="120"/>
              <w:jc w:val="center"/>
            </w:pPr>
            <w:r>
              <w:t>-</w:t>
            </w:r>
          </w:p>
        </w:tc>
      </w:tr>
      <w:tr w:rsidR="009C3355" w14:paraId="1928F5EB" w14:textId="77777777" w:rsidTr="009C3355">
        <w:trPr>
          <w:cnfStyle w:val="000000100000" w:firstRow="0" w:lastRow="0" w:firstColumn="0" w:lastColumn="0" w:oddVBand="0" w:evenVBand="0" w:oddHBand="1" w:evenHBand="0" w:firstRowFirstColumn="0" w:firstRowLastColumn="0" w:lastRowFirstColumn="0" w:lastRowLastColumn="0"/>
        </w:trPr>
        <w:tc>
          <w:tcPr>
            <w:tcW w:w="1533" w:type="dxa"/>
            <w:vAlign w:val="center"/>
          </w:tcPr>
          <w:p w14:paraId="77A35016" w14:textId="5100AF34" w:rsidR="009C3355" w:rsidRPr="00721B4F" w:rsidRDefault="008376C6" w:rsidP="009C3355">
            <w:pPr>
              <w:spacing w:before="120" w:after="120"/>
              <w:jc w:val="center"/>
              <w:rPr>
                <w:b/>
                <w:bCs/>
              </w:rPr>
            </w:pPr>
            <w:r w:rsidRPr="00721B4F">
              <w:rPr>
                <w:b/>
                <w:bCs/>
              </w:rPr>
              <w:t>Total (</w:t>
            </w:r>
            <w:r w:rsidR="00721B4F" w:rsidRPr="00721B4F">
              <w:rPr>
                <w:b/>
                <w:bCs/>
              </w:rPr>
              <w:t>%)</w:t>
            </w:r>
          </w:p>
        </w:tc>
        <w:tc>
          <w:tcPr>
            <w:tcW w:w="1533" w:type="dxa"/>
            <w:vAlign w:val="center"/>
          </w:tcPr>
          <w:p w14:paraId="4F445CCB" w14:textId="26F5487E" w:rsidR="009C3355" w:rsidRDefault="00A610B1" w:rsidP="009C3355">
            <w:pPr>
              <w:spacing w:before="120" w:after="120"/>
              <w:jc w:val="center"/>
            </w:pPr>
            <w:r>
              <w:t>77</w:t>
            </w:r>
            <w:r w:rsidR="00472CF2">
              <w:t>%</w:t>
            </w:r>
          </w:p>
        </w:tc>
        <w:tc>
          <w:tcPr>
            <w:tcW w:w="1534" w:type="dxa"/>
            <w:vAlign w:val="center"/>
          </w:tcPr>
          <w:p w14:paraId="0CA8BAE1" w14:textId="74B54650" w:rsidR="009C3355" w:rsidRDefault="00A610B1" w:rsidP="009C3355">
            <w:pPr>
              <w:spacing w:before="120" w:after="120"/>
              <w:jc w:val="center"/>
            </w:pPr>
            <w:r>
              <w:t>1%</w:t>
            </w:r>
          </w:p>
        </w:tc>
        <w:tc>
          <w:tcPr>
            <w:tcW w:w="1534" w:type="dxa"/>
            <w:vAlign w:val="center"/>
          </w:tcPr>
          <w:p w14:paraId="40160921" w14:textId="4FF7CE37" w:rsidR="009C3355" w:rsidRDefault="00A610B1" w:rsidP="009C3355">
            <w:pPr>
              <w:spacing w:before="120" w:after="120"/>
              <w:jc w:val="center"/>
            </w:pPr>
            <w:r>
              <w:t>22%</w:t>
            </w:r>
          </w:p>
        </w:tc>
        <w:tc>
          <w:tcPr>
            <w:tcW w:w="1534" w:type="dxa"/>
            <w:vAlign w:val="center"/>
          </w:tcPr>
          <w:p w14:paraId="28690417" w14:textId="7F22D733" w:rsidR="009C3355" w:rsidRDefault="00472CF2" w:rsidP="009C3355">
            <w:pPr>
              <w:spacing w:before="120" w:after="120"/>
              <w:jc w:val="center"/>
            </w:pPr>
            <w:r>
              <w:t>-</w:t>
            </w:r>
          </w:p>
        </w:tc>
        <w:tc>
          <w:tcPr>
            <w:tcW w:w="1534" w:type="dxa"/>
            <w:vAlign w:val="center"/>
          </w:tcPr>
          <w:p w14:paraId="5FCEBCAC" w14:textId="76A6ABDF" w:rsidR="009C3355" w:rsidRDefault="00472CF2" w:rsidP="009C3355">
            <w:pPr>
              <w:spacing w:before="120" w:after="120"/>
              <w:jc w:val="center"/>
            </w:pPr>
            <w:r>
              <w:t>-</w:t>
            </w:r>
          </w:p>
        </w:tc>
      </w:tr>
    </w:tbl>
    <w:p w14:paraId="33100BF0" w14:textId="680BDB92" w:rsidR="004022C5" w:rsidRPr="00323DA9" w:rsidRDefault="00C46A07" w:rsidP="00711CA4">
      <w:r>
        <w:t>Source: Australian Packa</w:t>
      </w:r>
      <w:r w:rsidR="001657E7">
        <w:t xml:space="preserve">ging Covenant Organisation </w:t>
      </w:r>
    </w:p>
    <w:p w14:paraId="5BD93CDF" w14:textId="16C2510E" w:rsidR="007A252C" w:rsidRDefault="00647328" w:rsidP="007A252C">
      <w:pPr>
        <w:pStyle w:val="Heading2"/>
      </w:pPr>
      <w:bookmarkStart w:id="6" w:name="_Toc54265063"/>
      <w:r>
        <w:t>Waste Glass Products</w:t>
      </w:r>
      <w:bookmarkEnd w:id="6"/>
    </w:p>
    <w:p w14:paraId="613CF09F" w14:textId="4F66AC08" w:rsidR="000E35F7" w:rsidRDefault="0019004D" w:rsidP="00647328">
      <w:r w:rsidRPr="0019004D">
        <w:t>Waste glass is generally in two forms: furnace ready and non-furnace ready. Furnace ready glass is sorted glass feedstock resulting from the beneficiation process of mixed container glass, consisting of glass pieces generally larger than 8mm in size (‘cullet’). Cullet cleaned of contaminants and sorted by colour (amber, flint, green) is considered furnace ready for further glass manufacturing.</w:t>
      </w:r>
    </w:p>
    <w:p w14:paraId="48917969" w14:textId="4ADA25DA" w:rsidR="003F778B" w:rsidRDefault="0019004D" w:rsidP="00647328">
      <w:r w:rsidRPr="0019004D">
        <w:t xml:space="preserve">Furnace ready glass can be reprocessed infinite times. Reprocessing involves melting the glass and mixing with virgin glass to manufacture new glass packaging products and glass fibre. The proportion of </w:t>
      </w:r>
      <w:r w:rsidR="002E134A">
        <w:t>recycled glass</w:t>
      </w:r>
      <w:r w:rsidRPr="0019004D">
        <w:t xml:space="preserve"> used to manufacture new glass packaging is limited as it can introduce impurities</w:t>
      </w:r>
      <w:r w:rsidR="00F26F18">
        <w:rPr>
          <w:rStyle w:val="FootnoteReference"/>
        </w:rPr>
        <w:footnoteReference w:id="6"/>
      </w:r>
      <w:r w:rsidRPr="0019004D">
        <w:t>. Over 60</w:t>
      </w:r>
      <w:r w:rsidR="006311FC">
        <w:t xml:space="preserve"> per cent</w:t>
      </w:r>
      <w:r w:rsidRPr="0019004D">
        <w:t xml:space="preserve"> of glass for manufacturing can be made up of high-quality </w:t>
      </w:r>
      <w:r w:rsidR="002E134A">
        <w:t>recycled glass</w:t>
      </w:r>
      <w:r w:rsidRPr="0019004D">
        <w:t xml:space="preserve">, however, the current </w:t>
      </w:r>
      <w:r w:rsidR="002E134A">
        <w:t xml:space="preserve">recycled </w:t>
      </w:r>
      <w:r w:rsidRPr="0019004D">
        <w:t>content is approximately 30</w:t>
      </w:r>
      <w:r w:rsidR="006311FC">
        <w:t xml:space="preserve"> to </w:t>
      </w:r>
      <w:r w:rsidRPr="0019004D">
        <w:t>3</w:t>
      </w:r>
      <w:r w:rsidR="00745D7C">
        <w:t>7 per cent.</w:t>
      </w:r>
      <w:r w:rsidR="00E33446">
        <w:rPr>
          <w:rStyle w:val="FootnoteReference"/>
        </w:rPr>
        <w:footnoteReference w:id="7"/>
      </w:r>
    </w:p>
    <w:p w14:paraId="3A7D1879" w14:textId="36C4C30B" w:rsidR="001406C7" w:rsidRDefault="0019004D" w:rsidP="00647328">
      <w:r w:rsidRPr="0019004D">
        <w:t xml:space="preserve">Non-furnace ready glass is generally made up of glass fines: unsorted material generally smaller than 8mm, left over following the sorting and beneficiation processes. Non-furnace ready glass can contain contamination such as small pieces of ceramics, </w:t>
      </w:r>
      <w:proofErr w:type="gramStart"/>
      <w:r w:rsidRPr="0019004D">
        <w:t>plastics</w:t>
      </w:r>
      <w:proofErr w:type="gramEnd"/>
      <w:r w:rsidRPr="0019004D">
        <w:t xml:space="preserve"> and metals and, due to their small size, are difficult to sort making the market value of this product low. The contaminants make this product non</w:t>
      </w:r>
      <w:r w:rsidR="00CF47E0">
        <w:t>-</w:t>
      </w:r>
      <w:r w:rsidRPr="0019004D">
        <w:t>furnace ready as they can damage the furnace equipment or reduce the quality of the recycled glass product.</w:t>
      </w:r>
      <w:r w:rsidR="00CF2D01">
        <w:t xml:space="preserve"> </w:t>
      </w:r>
      <w:r w:rsidR="00CF2D01" w:rsidRPr="0019004D">
        <w:t>Glass fines are commonly stored in stockpiles awaiting further processing.</w:t>
      </w:r>
    </w:p>
    <w:p w14:paraId="5BC9F79F" w14:textId="02FE58F1" w:rsidR="00BA4932" w:rsidRDefault="0019004D" w:rsidP="00647328">
      <w:r w:rsidRPr="0019004D">
        <w:lastRenderedPageBreak/>
        <w:t xml:space="preserve">Glass fines can be further processed into sand and aggregate substitutes for use in construction and other applications such as road base, pipe embedment and as a filter media for water quality projects. Fines used in these applications are non-recoverable and do not contribute to reducing demand for virgin glass in the manufacturing of glass packaging, however, this market </w:t>
      </w:r>
      <w:proofErr w:type="gramStart"/>
      <w:r w:rsidRPr="0019004D">
        <w:t>has the ability to</w:t>
      </w:r>
      <w:proofErr w:type="gramEnd"/>
      <w:r w:rsidRPr="0019004D">
        <w:t xml:space="preserve"> absorb large volumes of lower quality material</w:t>
      </w:r>
      <w:r w:rsidR="00D847E0">
        <w:t>.</w:t>
      </w:r>
      <w:r w:rsidR="00D847E0">
        <w:rPr>
          <w:rStyle w:val="FootnoteReference"/>
        </w:rPr>
        <w:footnoteReference w:id="8"/>
      </w:r>
    </w:p>
    <w:p w14:paraId="3253EE0D" w14:textId="6F6FCAFC" w:rsidR="00177B55" w:rsidRDefault="007431ED" w:rsidP="00E36C4D">
      <w:pPr>
        <w:pStyle w:val="Heading2"/>
      </w:pPr>
      <w:bookmarkStart w:id="7" w:name="_Toc54265064"/>
      <w:r>
        <w:t xml:space="preserve">Domestic </w:t>
      </w:r>
      <w:r w:rsidR="00E36C4D">
        <w:t>Demand for Glass Cullet</w:t>
      </w:r>
      <w:r w:rsidR="002C50DC">
        <w:t xml:space="preserve"> and Glass Sand</w:t>
      </w:r>
      <w:bookmarkEnd w:id="7"/>
    </w:p>
    <w:p w14:paraId="5E6A6E8C" w14:textId="5789A9AE" w:rsidR="00025722" w:rsidRDefault="00177B55" w:rsidP="00647328">
      <w:r w:rsidRPr="00177B55">
        <w:t>The glass container industry is interested in high quality beneficiated cullet for remanufacture into glass containers. However, availability of recycled glass product that meets quality specifications at a competitive price is limited. The price for recycled glass cullet is driven by the cost of virgin materials, imported glass packaging and alternative packaging materials, and the cost of beneficiating the collected glass.</w:t>
      </w:r>
      <w:r w:rsidR="002C50DC">
        <w:rPr>
          <w:rStyle w:val="FootnoteReference"/>
        </w:rPr>
        <w:footnoteReference w:id="9"/>
      </w:r>
      <w:r w:rsidRPr="00177B55">
        <w:t xml:space="preserve"> The demand for glass sand is more limited and inconsistent due to the nature of secondary uses</w:t>
      </w:r>
      <w:r w:rsidR="001B5C01">
        <w:t>.</w:t>
      </w:r>
    </w:p>
    <w:p w14:paraId="66851938" w14:textId="55BD3EA6" w:rsidR="006E4CF7" w:rsidRDefault="006E4CF7" w:rsidP="006E4CF7">
      <w:pPr>
        <w:pStyle w:val="Heading2"/>
      </w:pPr>
      <w:bookmarkStart w:id="8" w:name="_Toc54265065"/>
      <w:r>
        <w:t>Waste</w:t>
      </w:r>
      <w:r w:rsidR="007431ED">
        <w:t xml:space="preserve"> Glass</w:t>
      </w:r>
      <w:r>
        <w:t xml:space="preserve"> Exports</w:t>
      </w:r>
      <w:bookmarkEnd w:id="8"/>
    </w:p>
    <w:p w14:paraId="1B256937" w14:textId="77777777" w:rsidR="006E4CF7" w:rsidRDefault="006E4CF7" w:rsidP="006E4CF7">
      <w:r w:rsidRPr="00834BD9">
        <w:t>In 2018-19, 4.4 million tonnes of waste were exported from Australia</w:t>
      </w:r>
      <w:r>
        <w:t>,</w:t>
      </w:r>
      <w:r w:rsidRPr="00834BD9">
        <w:t xml:space="preserve"> including 1.4 million tonnes (32</w:t>
      </w:r>
      <w:r>
        <w:t xml:space="preserve"> per cent</w:t>
      </w:r>
      <w:r w:rsidRPr="00834BD9">
        <w:t xml:space="preserve">) of waste plastic, paper, </w:t>
      </w:r>
      <w:proofErr w:type="gramStart"/>
      <w:r w:rsidRPr="00834BD9">
        <w:t>glass</w:t>
      </w:r>
      <w:proofErr w:type="gramEnd"/>
      <w:r w:rsidRPr="00834BD9">
        <w:t xml:space="preserve"> and tyres. Waste glass is not exported on a large scale compared to other waste material, such as paper and plastics. Recovered glass packaging is predominantly used domestically with only 3</w:t>
      </w:r>
      <w:r>
        <w:t xml:space="preserve"> per cent</w:t>
      </w:r>
      <w:r w:rsidRPr="00834BD9">
        <w:t xml:space="preserve"> being exported overseas in 2017-18</w:t>
      </w:r>
      <w:r>
        <w:t>.</w:t>
      </w:r>
      <w:r>
        <w:rPr>
          <w:rStyle w:val="FootnoteReference"/>
        </w:rPr>
        <w:footnoteReference w:id="10"/>
      </w:r>
      <w:r>
        <w:t xml:space="preserve"> </w:t>
      </w:r>
      <w:r w:rsidRPr="00834BD9">
        <w:t>In 2019-20, approximately 26,000 tonnes of waste glass were exported, making up 0.7</w:t>
      </w:r>
      <w:r>
        <w:t xml:space="preserve"> per cent</w:t>
      </w:r>
      <w:r w:rsidRPr="00834BD9">
        <w:t xml:space="preserve"> of total tonnes and 0.0</w:t>
      </w:r>
      <w:r>
        <w:t>5 per cent</w:t>
      </w:r>
      <w:r w:rsidRPr="00834BD9">
        <w:t xml:space="preserve"> of the total value of waste exported from Australia. This is an increase from 16,100 tonnes in 2018-19 and 23,200 tonnes in 2017-18</w:t>
      </w:r>
      <w:r>
        <w:t>.</w:t>
      </w:r>
    </w:p>
    <w:p w14:paraId="0136C6BB" w14:textId="720A9B8A" w:rsidR="00315468" w:rsidRDefault="00315468" w:rsidP="00647328">
      <w:r w:rsidRPr="00315468">
        <w:t>Australia exported waste glass to a total of nine countries in 2018-19 and eight countries in 2019-20, with Malaysia importing the largest proportion (79</w:t>
      </w:r>
      <w:r>
        <w:t xml:space="preserve"> per cent</w:t>
      </w:r>
      <w:r w:rsidRPr="00315468">
        <w:t xml:space="preserve"> in 2018-19 and 43</w:t>
      </w:r>
      <w:r>
        <w:t xml:space="preserve"> per cent</w:t>
      </w:r>
      <w:r w:rsidRPr="00315468">
        <w:t xml:space="preserve"> in 2019-20) as of May 2020</w:t>
      </w:r>
      <w:r>
        <w:t>.</w:t>
      </w:r>
    </w:p>
    <w:tbl>
      <w:tblPr>
        <w:tblStyle w:val="TableGrid"/>
        <w:tblW w:w="0" w:type="auto"/>
        <w:tblLook w:val="04A0" w:firstRow="1" w:lastRow="0" w:firstColumn="1" w:lastColumn="0" w:noHBand="0" w:noVBand="1"/>
      </w:tblPr>
      <w:tblGrid>
        <w:gridCol w:w="3067"/>
        <w:gridCol w:w="3067"/>
        <w:gridCol w:w="3068"/>
      </w:tblGrid>
      <w:tr w:rsidR="002C7946" w14:paraId="5F070FBF" w14:textId="77777777" w:rsidTr="00124F3D">
        <w:trPr>
          <w:cnfStyle w:val="100000000000" w:firstRow="1" w:lastRow="0" w:firstColumn="0" w:lastColumn="0" w:oddVBand="0" w:evenVBand="0" w:oddHBand="0" w:evenHBand="0" w:firstRowFirstColumn="0" w:firstRowLastColumn="0" w:lastRowFirstColumn="0" w:lastRowLastColumn="0"/>
        </w:trPr>
        <w:tc>
          <w:tcPr>
            <w:tcW w:w="9202" w:type="dxa"/>
            <w:gridSpan w:val="3"/>
            <w:shd w:val="clear" w:color="auto" w:fill="4F81BD" w:themeFill="accent1"/>
            <w:vAlign w:val="center"/>
          </w:tcPr>
          <w:p w14:paraId="4EC46297" w14:textId="265DAE4A" w:rsidR="002C7946" w:rsidRDefault="00124F3D" w:rsidP="006202F7">
            <w:pPr>
              <w:spacing w:before="120" w:after="120"/>
              <w:jc w:val="center"/>
            </w:pPr>
            <w:r>
              <w:rPr>
                <w:b/>
                <w:bCs/>
                <w:color w:val="FFFFFF" w:themeColor="background1"/>
              </w:rPr>
              <w:t>Waste Glass Exports</w:t>
            </w:r>
            <w:r w:rsidRPr="008376C6">
              <w:rPr>
                <w:b/>
                <w:bCs/>
                <w:color w:val="FFFFFF" w:themeColor="background1"/>
              </w:rPr>
              <w:t xml:space="preserve"> (201</w:t>
            </w:r>
            <w:r>
              <w:rPr>
                <w:b/>
                <w:bCs/>
                <w:color w:val="FFFFFF" w:themeColor="background1"/>
              </w:rPr>
              <w:t>9</w:t>
            </w:r>
            <w:r w:rsidRPr="008376C6">
              <w:rPr>
                <w:b/>
                <w:bCs/>
                <w:color w:val="FFFFFF" w:themeColor="background1"/>
              </w:rPr>
              <w:t>-</w:t>
            </w:r>
            <w:r>
              <w:rPr>
                <w:b/>
                <w:bCs/>
                <w:color w:val="FFFFFF" w:themeColor="background1"/>
              </w:rPr>
              <w:t>20</w:t>
            </w:r>
            <w:r w:rsidRPr="008376C6">
              <w:rPr>
                <w:b/>
                <w:bCs/>
                <w:color w:val="FFFFFF" w:themeColor="background1"/>
              </w:rPr>
              <w:t>)</w:t>
            </w:r>
            <w:r w:rsidR="001F40AF">
              <w:rPr>
                <w:b/>
                <w:bCs/>
                <w:color w:val="FFFFFF" w:themeColor="background1"/>
              </w:rPr>
              <w:t xml:space="preserve"> – Top 5 </w:t>
            </w:r>
            <w:r w:rsidR="001A1006">
              <w:rPr>
                <w:b/>
                <w:bCs/>
                <w:color w:val="FFFFFF" w:themeColor="background1"/>
              </w:rPr>
              <w:t xml:space="preserve">Importing </w:t>
            </w:r>
            <w:r w:rsidR="001F40AF">
              <w:rPr>
                <w:b/>
                <w:bCs/>
                <w:color w:val="FFFFFF" w:themeColor="background1"/>
              </w:rPr>
              <w:t>Countries</w:t>
            </w:r>
          </w:p>
        </w:tc>
      </w:tr>
      <w:tr w:rsidR="006202F7" w14:paraId="78384BA9" w14:textId="77777777" w:rsidTr="002C7946">
        <w:trPr>
          <w:cnfStyle w:val="000000100000" w:firstRow="0" w:lastRow="0" w:firstColumn="0" w:lastColumn="0" w:oddVBand="0" w:evenVBand="0" w:oddHBand="1" w:evenHBand="0" w:firstRowFirstColumn="0" w:firstRowLastColumn="0" w:lastRowFirstColumn="0" w:lastRowLastColumn="0"/>
        </w:trPr>
        <w:tc>
          <w:tcPr>
            <w:tcW w:w="3067" w:type="dxa"/>
            <w:shd w:val="clear" w:color="auto" w:fill="DBE5F1" w:themeFill="accent1" w:themeFillTint="33"/>
            <w:vAlign w:val="center"/>
          </w:tcPr>
          <w:p w14:paraId="2CF40ADF" w14:textId="6077F138" w:rsidR="006202F7" w:rsidRPr="002C7946" w:rsidRDefault="006202F7" w:rsidP="006202F7">
            <w:pPr>
              <w:spacing w:before="120" w:after="120"/>
              <w:jc w:val="center"/>
              <w:rPr>
                <w:b/>
                <w:bCs/>
              </w:rPr>
            </w:pPr>
            <w:r w:rsidRPr="002C7946">
              <w:rPr>
                <w:b/>
                <w:bCs/>
              </w:rPr>
              <w:t>Country</w:t>
            </w:r>
          </w:p>
        </w:tc>
        <w:tc>
          <w:tcPr>
            <w:tcW w:w="3067" w:type="dxa"/>
            <w:shd w:val="clear" w:color="auto" w:fill="DBE5F1" w:themeFill="accent1" w:themeFillTint="33"/>
            <w:vAlign w:val="center"/>
          </w:tcPr>
          <w:p w14:paraId="2951E9D9" w14:textId="0C6ACB41" w:rsidR="006202F7" w:rsidRPr="002C7946" w:rsidRDefault="006202F7" w:rsidP="006202F7">
            <w:pPr>
              <w:spacing w:before="120" w:after="120"/>
              <w:jc w:val="center"/>
              <w:rPr>
                <w:b/>
                <w:bCs/>
              </w:rPr>
            </w:pPr>
            <w:r w:rsidRPr="002C7946">
              <w:rPr>
                <w:b/>
                <w:bCs/>
              </w:rPr>
              <w:t xml:space="preserve">Tonnes </w:t>
            </w:r>
            <w:r w:rsidR="002C7946" w:rsidRPr="002C7946">
              <w:rPr>
                <w:b/>
                <w:bCs/>
              </w:rPr>
              <w:t>Received</w:t>
            </w:r>
          </w:p>
        </w:tc>
        <w:tc>
          <w:tcPr>
            <w:tcW w:w="3068" w:type="dxa"/>
            <w:shd w:val="clear" w:color="auto" w:fill="DBE5F1" w:themeFill="accent1" w:themeFillTint="33"/>
            <w:vAlign w:val="center"/>
          </w:tcPr>
          <w:p w14:paraId="468505B2" w14:textId="33928D3C" w:rsidR="006202F7" w:rsidRPr="002C7946" w:rsidRDefault="002C7946" w:rsidP="006202F7">
            <w:pPr>
              <w:spacing w:before="120" w:after="120"/>
              <w:jc w:val="center"/>
              <w:rPr>
                <w:b/>
                <w:bCs/>
              </w:rPr>
            </w:pPr>
            <w:r w:rsidRPr="002C7946">
              <w:rPr>
                <w:b/>
                <w:bCs/>
              </w:rPr>
              <w:t>Tonnes Received (%)</w:t>
            </w:r>
          </w:p>
        </w:tc>
      </w:tr>
      <w:tr w:rsidR="006202F7" w14:paraId="22E3B9B7" w14:textId="77777777" w:rsidTr="006202F7">
        <w:trPr>
          <w:cnfStyle w:val="000000010000" w:firstRow="0" w:lastRow="0" w:firstColumn="0" w:lastColumn="0" w:oddVBand="0" w:evenVBand="0" w:oddHBand="0" w:evenHBand="1" w:firstRowFirstColumn="0" w:firstRowLastColumn="0" w:lastRowFirstColumn="0" w:lastRowLastColumn="0"/>
        </w:trPr>
        <w:tc>
          <w:tcPr>
            <w:tcW w:w="3067" w:type="dxa"/>
            <w:vAlign w:val="center"/>
          </w:tcPr>
          <w:p w14:paraId="22BB95F9" w14:textId="58A52AE9" w:rsidR="006202F7" w:rsidRDefault="00971939" w:rsidP="006202F7">
            <w:pPr>
              <w:spacing w:before="120" w:after="120"/>
              <w:jc w:val="center"/>
            </w:pPr>
            <w:r>
              <w:t>Malaysia</w:t>
            </w:r>
          </w:p>
        </w:tc>
        <w:tc>
          <w:tcPr>
            <w:tcW w:w="3067" w:type="dxa"/>
            <w:vAlign w:val="center"/>
          </w:tcPr>
          <w:p w14:paraId="11752370" w14:textId="0474B0AD" w:rsidR="006202F7" w:rsidRDefault="00324ED6" w:rsidP="006202F7">
            <w:pPr>
              <w:spacing w:before="120" w:after="120"/>
              <w:jc w:val="center"/>
            </w:pPr>
            <w:r>
              <w:t>11</w:t>
            </w:r>
            <w:r w:rsidR="00124F3D">
              <w:t>,</w:t>
            </w:r>
            <w:r>
              <w:t>039</w:t>
            </w:r>
          </w:p>
        </w:tc>
        <w:tc>
          <w:tcPr>
            <w:tcW w:w="3068" w:type="dxa"/>
            <w:vAlign w:val="center"/>
          </w:tcPr>
          <w:p w14:paraId="55DD3915" w14:textId="5E9170F8" w:rsidR="006202F7" w:rsidRDefault="001A1006" w:rsidP="006202F7">
            <w:pPr>
              <w:spacing w:before="120" w:after="120"/>
              <w:jc w:val="center"/>
            </w:pPr>
            <w:r>
              <w:t>42.7%</w:t>
            </w:r>
          </w:p>
        </w:tc>
      </w:tr>
      <w:tr w:rsidR="006202F7" w14:paraId="14D1D0A6" w14:textId="77777777" w:rsidTr="006202F7">
        <w:trPr>
          <w:cnfStyle w:val="000000100000" w:firstRow="0" w:lastRow="0" w:firstColumn="0" w:lastColumn="0" w:oddVBand="0" w:evenVBand="0" w:oddHBand="1" w:evenHBand="0" w:firstRowFirstColumn="0" w:firstRowLastColumn="0" w:lastRowFirstColumn="0" w:lastRowLastColumn="0"/>
        </w:trPr>
        <w:tc>
          <w:tcPr>
            <w:tcW w:w="3067" w:type="dxa"/>
            <w:vAlign w:val="center"/>
          </w:tcPr>
          <w:p w14:paraId="15586837" w14:textId="281FB355" w:rsidR="006202F7" w:rsidRDefault="00971939" w:rsidP="006202F7">
            <w:pPr>
              <w:spacing w:before="120" w:after="120"/>
              <w:jc w:val="center"/>
            </w:pPr>
            <w:r>
              <w:t>India</w:t>
            </w:r>
          </w:p>
        </w:tc>
        <w:tc>
          <w:tcPr>
            <w:tcW w:w="3067" w:type="dxa"/>
            <w:vAlign w:val="center"/>
          </w:tcPr>
          <w:p w14:paraId="7BA2CB70" w14:textId="4A7F6E00" w:rsidR="006202F7" w:rsidRDefault="00324ED6" w:rsidP="006202F7">
            <w:pPr>
              <w:spacing w:before="120" w:after="120"/>
              <w:jc w:val="center"/>
            </w:pPr>
            <w:r>
              <w:t>8,544</w:t>
            </w:r>
          </w:p>
        </w:tc>
        <w:tc>
          <w:tcPr>
            <w:tcW w:w="3068" w:type="dxa"/>
            <w:vAlign w:val="center"/>
          </w:tcPr>
          <w:p w14:paraId="2F637024" w14:textId="0B38B189" w:rsidR="006202F7" w:rsidRDefault="001A1006" w:rsidP="006202F7">
            <w:pPr>
              <w:spacing w:before="120" w:after="120"/>
              <w:jc w:val="center"/>
            </w:pPr>
            <w:r>
              <w:t>33.0%</w:t>
            </w:r>
          </w:p>
        </w:tc>
      </w:tr>
      <w:tr w:rsidR="006202F7" w14:paraId="7BE5087A" w14:textId="77777777" w:rsidTr="006202F7">
        <w:trPr>
          <w:cnfStyle w:val="000000010000" w:firstRow="0" w:lastRow="0" w:firstColumn="0" w:lastColumn="0" w:oddVBand="0" w:evenVBand="0" w:oddHBand="0" w:evenHBand="1" w:firstRowFirstColumn="0" w:firstRowLastColumn="0" w:lastRowFirstColumn="0" w:lastRowLastColumn="0"/>
        </w:trPr>
        <w:tc>
          <w:tcPr>
            <w:tcW w:w="3067" w:type="dxa"/>
            <w:vAlign w:val="center"/>
          </w:tcPr>
          <w:p w14:paraId="503E334A" w14:textId="2A1B10A6" w:rsidR="006202F7" w:rsidRDefault="00971939" w:rsidP="006202F7">
            <w:pPr>
              <w:spacing w:before="120" w:after="120"/>
              <w:jc w:val="center"/>
            </w:pPr>
            <w:r>
              <w:t>Thailand</w:t>
            </w:r>
          </w:p>
        </w:tc>
        <w:tc>
          <w:tcPr>
            <w:tcW w:w="3067" w:type="dxa"/>
            <w:vAlign w:val="center"/>
          </w:tcPr>
          <w:p w14:paraId="7D42868E" w14:textId="13C0426C" w:rsidR="006202F7" w:rsidRDefault="00324ED6" w:rsidP="006202F7">
            <w:pPr>
              <w:spacing w:before="120" w:after="120"/>
              <w:jc w:val="center"/>
            </w:pPr>
            <w:r>
              <w:t>4,708</w:t>
            </w:r>
          </w:p>
        </w:tc>
        <w:tc>
          <w:tcPr>
            <w:tcW w:w="3068" w:type="dxa"/>
            <w:vAlign w:val="center"/>
          </w:tcPr>
          <w:p w14:paraId="7C30EC45" w14:textId="43A7C46D" w:rsidR="006202F7" w:rsidRDefault="001A1006" w:rsidP="006202F7">
            <w:pPr>
              <w:spacing w:before="120" w:after="120"/>
              <w:jc w:val="center"/>
            </w:pPr>
            <w:r>
              <w:t>18.2%</w:t>
            </w:r>
          </w:p>
        </w:tc>
      </w:tr>
      <w:tr w:rsidR="006202F7" w14:paraId="2B536224" w14:textId="77777777" w:rsidTr="006202F7">
        <w:trPr>
          <w:cnfStyle w:val="000000100000" w:firstRow="0" w:lastRow="0" w:firstColumn="0" w:lastColumn="0" w:oddVBand="0" w:evenVBand="0" w:oddHBand="1" w:evenHBand="0" w:firstRowFirstColumn="0" w:firstRowLastColumn="0" w:lastRowFirstColumn="0" w:lastRowLastColumn="0"/>
        </w:trPr>
        <w:tc>
          <w:tcPr>
            <w:tcW w:w="3067" w:type="dxa"/>
            <w:vAlign w:val="center"/>
          </w:tcPr>
          <w:p w14:paraId="1C832270" w14:textId="0C4432AD" w:rsidR="006202F7" w:rsidRDefault="00971939" w:rsidP="006202F7">
            <w:pPr>
              <w:spacing w:before="120" w:after="120"/>
              <w:jc w:val="center"/>
            </w:pPr>
            <w:r>
              <w:t>Bangladesh</w:t>
            </w:r>
          </w:p>
        </w:tc>
        <w:tc>
          <w:tcPr>
            <w:tcW w:w="3067" w:type="dxa"/>
            <w:vAlign w:val="center"/>
          </w:tcPr>
          <w:p w14:paraId="6DCCEEBD" w14:textId="6447A5EF" w:rsidR="006202F7" w:rsidRDefault="00324ED6" w:rsidP="006202F7">
            <w:pPr>
              <w:spacing w:before="120" w:after="120"/>
              <w:jc w:val="center"/>
            </w:pPr>
            <w:r>
              <w:t>1,500</w:t>
            </w:r>
          </w:p>
        </w:tc>
        <w:tc>
          <w:tcPr>
            <w:tcW w:w="3068" w:type="dxa"/>
            <w:vAlign w:val="center"/>
          </w:tcPr>
          <w:p w14:paraId="69EFB082" w14:textId="6543EA67" w:rsidR="006202F7" w:rsidRDefault="001A1006" w:rsidP="006202F7">
            <w:pPr>
              <w:spacing w:before="120" w:after="120"/>
              <w:jc w:val="center"/>
            </w:pPr>
            <w:r>
              <w:t>5.8%</w:t>
            </w:r>
          </w:p>
        </w:tc>
      </w:tr>
      <w:tr w:rsidR="006202F7" w14:paraId="4E7FF3BF" w14:textId="77777777" w:rsidTr="006202F7">
        <w:trPr>
          <w:cnfStyle w:val="000000010000" w:firstRow="0" w:lastRow="0" w:firstColumn="0" w:lastColumn="0" w:oddVBand="0" w:evenVBand="0" w:oddHBand="0" w:evenHBand="1" w:firstRowFirstColumn="0" w:firstRowLastColumn="0" w:lastRowFirstColumn="0" w:lastRowLastColumn="0"/>
        </w:trPr>
        <w:tc>
          <w:tcPr>
            <w:tcW w:w="3067" w:type="dxa"/>
            <w:vAlign w:val="center"/>
          </w:tcPr>
          <w:p w14:paraId="38E8BCAC" w14:textId="6B60D7AB" w:rsidR="006202F7" w:rsidRDefault="00971939" w:rsidP="006202F7">
            <w:pPr>
              <w:spacing w:before="120" w:after="120"/>
              <w:jc w:val="center"/>
            </w:pPr>
            <w:r>
              <w:t>New Zealand</w:t>
            </w:r>
          </w:p>
        </w:tc>
        <w:tc>
          <w:tcPr>
            <w:tcW w:w="3067" w:type="dxa"/>
            <w:vAlign w:val="center"/>
          </w:tcPr>
          <w:p w14:paraId="539AD1CC" w14:textId="75D0447F" w:rsidR="006202F7" w:rsidRDefault="00324ED6" w:rsidP="006202F7">
            <w:pPr>
              <w:spacing w:before="120" w:after="120"/>
              <w:jc w:val="center"/>
            </w:pPr>
            <w:r>
              <w:t>58</w:t>
            </w:r>
          </w:p>
        </w:tc>
        <w:tc>
          <w:tcPr>
            <w:tcW w:w="3068" w:type="dxa"/>
            <w:vAlign w:val="center"/>
          </w:tcPr>
          <w:p w14:paraId="756F6B9A" w14:textId="1C20F5F2" w:rsidR="006202F7" w:rsidRDefault="001A1006" w:rsidP="006202F7">
            <w:pPr>
              <w:spacing w:before="120" w:after="120"/>
              <w:jc w:val="center"/>
            </w:pPr>
            <w:r>
              <w:t>0.2%</w:t>
            </w:r>
          </w:p>
        </w:tc>
      </w:tr>
      <w:tr w:rsidR="006202F7" w14:paraId="71B125E0" w14:textId="77777777" w:rsidTr="006202F7">
        <w:trPr>
          <w:cnfStyle w:val="000000100000" w:firstRow="0" w:lastRow="0" w:firstColumn="0" w:lastColumn="0" w:oddVBand="0" w:evenVBand="0" w:oddHBand="1" w:evenHBand="0" w:firstRowFirstColumn="0" w:firstRowLastColumn="0" w:lastRowFirstColumn="0" w:lastRowLastColumn="0"/>
        </w:trPr>
        <w:tc>
          <w:tcPr>
            <w:tcW w:w="3067" w:type="dxa"/>
            <w:vAlign w:val="center"/>
          </w:tcPr>
          <w:p w14:paraId="1DB6C985" w14:textId="19596273" w:rsidR="006202F7" w:rsidRDefault="001F40AF" w:rsidP="006202F7">
            <w:pPr>
              <w:spacing w:before="120" w:after="120"/>
              <w:jc w:val="center"/>
            </w:pPr>
            <w:r>
              <w:t>Other</w:t>
            </w:r>
            <w:r w:rsidR="002137CE">
              <w:rPr>
                <w:rStyle w:val="FootnoteReference"/>
              </w:rPr>
              <w:footnoteReference w:id="11"/>
            </w:r>
          </w:p>
        </w:tc>
        <w:tc>
          <w:tcPr>
            <w:tcW w:w="3067" w:type="dxa"/>
            <w:vAlign w:val="center"/>
          </w:tcPr>
          <w:p w14:paraId="085DB2B6" w14:textId="1605AF4D" w:rsidR="006202F7" w:rsidRDefault="001F40AF" w:rsidP="006202F7">
            <w:pPr>
              <w:spacing w:before="120" w:after="120"/>
              <w:jc w:val="center"/>
            </w:pPr>
            <w:r>
              <w:t>22</w:t>
            </w:r>
          </w:p>
        </w:tc>
        <w:tc>
          <w:tcPr>
            <w:tcW w:w="3068" w:type="dxa"/>
            <w:vAlign w:val="center"/>
          </w:tcPr>
          <w:p w14:paraId="0D9D96DC" w14:textId="79062E86" w:rsidR="006202F7" w:rsidRDefault="001F40AF" w:rsidP="006202F7">
            <w:pPr>
              <w:spacing w:before="120" w:after="120"/>
              <w:jc w:val="center"/>
            </w:pPr>
            <w:r>
              <w:t>0.08</w:t>
            </w:r>
            <w:r w:rsidR="001A1006">
              <w:t>%</w:t>
            </w:r>
          </w:p>
        </w:tc>
      </w:tr>
      <w:tr w:rsidR="001F40AF" w14:paraId="4E5829F7" w14:textId="77777777" w:rsidTr="006202F7">
        <w:trPr>
          <w:cnfStyle w:val="000000010000" w:firstRow="0" w:lastRow="0" w:firstColumn="0" w:lastColumn="0" w:oddVBand="0" w:evenVBand="0" w:oddHBand="0" w:evenHBand="1" w:firstRowFirstColumn="0" w:firstRowLastColumn="0" w:lastRowFirstColumn="0" w:lastRowLastColumn="0"/>
        </w:trPr>
        <w:tc>
          <w:tcPr>
            <w:tcW w:w="3067" w:type="dxa"/>
            <w:vAlign w:val="center"/>
          </w:tcPr>
          <w:p w14:paraId="2A4AE1A6" w14:textId="56CEEA21" w:rsidR="001F40AF" w:rsidRPr="001A1006" w:rsidRDefault="001F40AF" w:rsidP="006202F7">
            <w:pPr>
              <w:spacing w:before="120" w:after="120"/>
              <w:jc w:val="center"/>
              <w:rPr>
                <w:b/>
                <w:bCs/>
              </w:rPr>
            </w:pPr>
            <w:r w:rsidRPr="001A1006">
              <w:rPr>
                <w:b/>
                <w:bCs/>
              </w:rPr>
              <w:t>Total</w:t>
            </w:r>
          </w:p>
        </w:tc>
        <w:tc>
          <w:tcPr>
            <w:tcW w:w="3067" w:type="dxa"/>
            <w:vAlign w:val="center"/>
          </w:tcPr>
          <w:p w14:paraId="15BF6AC9" w14:textId="60EC2A0E" w:rsidR="001F40AF" w:rsidRPr="001A1006" w:rsidRDefault="001A1006" w:rsidP="006202F7">
            <w:pPr>
              <w:spacing w:before="120" w:after="120"/>
              <w:jc w:val="center"/>
              <w:rPr>
                <w:b/>
                <w:bCs/>
              </w:rPr>
            </w:pPr>
            <w:r w:rsidRPr="001A1006">
              <w:rPr>
                <w:b/>
                <w:bCs/>
              </w:rPr>
              <w:t>25,871</w:t>
            </w:r>
          </w:p>
        </w:tc>
        <w:tc>
          <w:tcPr>
            <w:tcW w:w="3068" w:type="dxa"/>
            <w:vAlign w:val="center"/>
          </w:tcPr>
          <w:p w14:paraId="6B704D73" w14:textId="55A9A9E5" w:rsidR="001F40AF" w:rsidRPr="001A1006" w:rsidRDefault="001A1006" w:rsidP="006202F7">
            <w:pPr>
              <w:spacing w:before="120" w:after="120"/>
              <w:jc w:val="center"/>
              <w:rPr>
                <w:b/>
                <w:bCs/>
              </w:rPr>
            </w:pPr>
            <w:r w:rsidRPr="001A1006">
              <w:rPr>
                <w:b/>
                <w:bCs/>
              </w:rPr>
              <w:t>100%</w:t>
            </w:r>
          </w:p>
        </w:tc>
      </w:tr>
    </w:tbl>
    <w:p w14:paraId="1BFDE750" w14:textId="4B17285F" w:rsidR="006202F7" w:rsidRDefault="00EF3153" w:rsidP="00EF3153">
      <w:pPr>
        <w:pStyle w:val="Heading2"/>
      </w:pPr>
      <w:bookmarkStart w:id="9" w:name="_Toc54265066"/>
      <w:r>
        <w:lastRenderedPageBreak/>
        <w:t>Waste Glass Standards and Specifications</w:t>
      </w:r>
      <w:bookmarkEnd w:id="9"/>
    </w:p>
    <w:p w14:paraId="4803E0A3" w14:textId="7415B755" w:rsidR="002C50DC" w:rsidRDefault="00EB7A8C" w:rsidP="007A252C">
      <w:pPr>
        <w:pStyle w:val="Heading3"/>
      </w:pPr>
      <w:bookmarkStart w:id="10" w:name="_Toc54265067"/>
      <w:r>
        <w:t>Parameters</w:t>
      </w:r>
      <w:bookmarkEnd w:id="10"/>
    </w:p>
    <w:p w14:paraId="00272401" w14:textId="454BAFDB" w:rsidR="00EB7A8C" w:rsidRDefault="00611DB4" w:rsidP="00EB7A8C">
      <w:r>
        <w:t>The parameters outlined below are commonly</w:t>
      </w:r>
      <w:r w:rsidR="009B1C4D">
        <w:t xml:space="preserve"> used in waste glass standards.</w:t>
      </w:r>
    </w:p>
    <w:p w14:paraId="308A55BC" w14:textId="137D58DA" w:rsidR="000E52A7" w:rsidRDefault="000E52A7" w:rsidP="000E52A7">
      <w:pPr>
        <w:pStyle w:val="Heading4"/>
      </w:pPr>
      <w:r>
        <w:t>Size</w:t>
      </w:r>
    </w:p>
    <w:p w14:paraId="03A64585" w14:textId="1FF4DA3A" w:rsidR="009B1C4D" w:rsidRDefault="009B1C4D" w:rsidP="00EB7A8C">
      <w:r w:rsidRPr="000E52A7">
        <w:t xml:space="preserve">Size </w:t>
      </w:r>
      <w:r w:rsidRPr="009B1C4D">
        <w:t>specifications are necessary for the recycling of glass cullet into container glass as the accuracy of sorting and processing equipment is reduced for smaller particles, impacting the quality of the cullet feedstock. Cullet must generally be greater than 8mm in size to accurately sort and remove colour</w:t>
      </w:r>
      <w:r w:rsidR="002B6944">
        <w:t xml:space="preserve"> and other</w:t>
      </w:r>
      <w:r w:rsidRPr="009B1C4D">
        <w:t xml:space="preserve"> contaminants</w:t>
      </w:r>
      <w:r w:rsidR="002B6944">
        <w:t>.</w:t>
      </w:r>
      <w:r w:rsidRPr="009B1C4D">
        <w:t xml:space="preserve"> </w:t>
      </w:r>
      <w:r w:rsidR="002B6944">
        <w:t>H</w:t>
      </w:r>
      <w:r w:rsidRPr="009B1C4D">
        <w:t>owever, facilities with high resolution automatic sorting machines may be able to accurately sort and process smaller glass pieces. Glass particles smaller than 8mm are suitable for non-furnace applications.</w:t>
      </w:r>
    </w:p>
    <w:p w14:paraId="39BACAD5" w14:textId="138B86C3" w:rsidR="000E52A7" w:rsidRPr="000E52A7" w:rsidRDefault="000E52A7" w:rsidP="00EB7A8C">
      <w:pPr>
        <w:rPr>
          <w:i/>
        </w:rPr>
      </w:pPr>
      <w:r w:rsidRPr="000E52A7">
        <w:rPr>
          <w:i/>
        </w:rPr>
        <w:t>Colour</w:t>
      </w:r>
    </w:p>
    <w:p w14:paraId="6ABDAA20" w14:textId="0B529750" w:rsidR="000E52A7" w:rsidRDefault="000E52A7" w:rsidP="00EB7A8C">
      <w:r w:rsidRPr="000E52A7">
        <w:t>There are three colour groups of container glass</w:t>
      </w:r>
      <w:r>
        <w:t xml:space="preserve"> – </w:t>
      </w:r>
      <w:r w:rsidRPr="000E52A7">
        <w:t>flint</w:t>
      </w:r>
      <w:r w:rsidR="002E134A">
        <w:t xml:space="preserve"> (clear)</w:t>
      </w:r>
      <w:r w:rsidRPr="000E52A7">
        <w:t>, amber and green. These colour groups are characterised by a different oxidation state and large colour changes in the cullet feedstock can affect the oxidation state of the glass melt in the furnace. Colour consistency helps maintain chemical consistency in the feedstock and optimises the glass melting stage of the re-manufacture process. Colour consistency is generally not required for non-furnace applications.</w:t>
      </w:r>
    </w:p>
    <w:p w14:paraId="4629F371" w14:textId="106C21D4" w:rsidR="009530EF" w:rsidRPr="009530EF" w:rsidRDefault="009530EF" w:rsidP="00EB7A8C">
      <w:pPr>
        <w:rPr>
          <w:i/>
        </w:rPr>
      </w:pPr>
      <w:r w:rsidRPr="009530EF">
        <w:rPr>
          <w:i/>
        </w:rPr>
        <w:t>Contaminants</w:t>
      </w:r>
    </w:p>
    <w:p w14:paraId="4FE84ABF" w14:textId="196FC9F7" w:rsidR="000E52A7" w:rsidRDefault="00D02CDD" w:rsidP="00EB7A8C">
      <w:r w:rsidRPr="00D02CDD">
        <w:t>Contaminants in furnace ready glass material feedstock can impact the remanufacture process, including damage to the furnace, and impact the quality of the remanufactured glass product. Metal or ferrous contaminants sink in the furnace and can corrode the furnace floor. Organic contaminants affect the oxidation state of the glass melt. Ceramic contaminants do not melt in the furnace and can obstruct operational equipment. Minimisation of contaminants helps to optimise the glass melting stage of the remanufacture and minimise damage to the operational equipment. Limits for physical and chemical contaminants also exist for non-furnace ready glass depending on the application.</w:t>
      </w:r>
    </w:p>
    <w:p w14:paraId="6EA1BA31" w14:textId="7F72B010" w:rsidR="009530EF" w:rsidRDefault="00D02CDD" w:rsidP="00A4411E">
      <w:pPr>
        <w:pStyle w:val="Heading4"/>
      </w:pPr>
      <w:r>
        <w:t>Moisture Content</w:t>
      </w:r>
    </w:p>
    <w:p w14:paraId="6DD94C7F" w14:textId="23C4D7F0" w:rsidR="00D02CDD" w:rsidRDefault="00A4411E" w:rsidP="00EB7A8C">
      <w:r w:rsidRPr="00A4411E">
        <w:t>A high moisture content can inhibit the capacity of optical sensors used to sort and process waste glass.</w:t>
      </w:r>
    </w:p>
    <w:p w14:paraId="075AB5FF" w14:textId="7C5F2824" w:rsidR="00D02CDD" w:rsidRDefault="00D02CDD" w:rsidP="00A4411E">
      <w:pPr>
        <w:pStyle w:val="Heading4"/>
      </w:pPr>
      <w:r>
        <w:t>Purchase Agreement</w:t>
      </w:r>
    </w:p>
    <w:p w14:paraId="6993E3B0" w14:textId="3DC8D062" w:rsidR="00D02CDD" w:rsidRDefault="00A4411E" w:rsidP="00EB7A8C">
      <w:r w:rsidRPr="00A4411E">
        <w:t>A purchase agreement between the buyer and seller detailing specific requirements of the product and adherence to any specifications should be provided in writing.</w:t>
      </w:r>
    </w:p>
    <w:p w14:paraId="3EADF045" w14:textId="1B7D031F" w:rsidR="00D02CDD" w:rsidRDefault="00D02CDD" w:rsidP="00A4411E">
      <w:pPr>
        <w:pStyle w:val="Heading4"/>
      </w:pPr>
      <w:r>
        <w:t>Testing and Sampling</w:t>
      </w:r>
    </w:p>
    <w:p w14:paraId="3AD52379" w14:textId="272D56EB" w:rsidR="0053532C" w:rsidRDefault="00A4411E" w:rsidP="00476C11">
      <w:pPr>
        <w:rPr>
          <w:rFonts w:cs="Arial"/>
          <w:b/>
          <w:i/>
          <w:color w:val="17365D" w:themeColor="text2" w:themeShade="BF"/>
          <w:sz w:val="24"/>
        </w:rPr>
      </w:pPr>
      <w:r w:rsidRPr="00A4411E">
        <w:t>Testing and sampling requirements for the glass product are dependent on the specification used and should be outlined in the purchase agreement.</w:t>
      </w:r>
      <w:r w:rsidR="0053532C">
        <w:br w:type="page"/>
      </w:r>
    </w:p>
    <w:p w14:paraId="49D0F0BE" w14:textId="192843C3" w:rsidR="00F42632" w:rsidRDefault="0053532C" w:rsidP="0053532C">
      <w:pPr>
        <w:pStyle w:val="Heading3"/>
      </w:pPr>
      <w:bookmarkStart w:id="11" w:name="_Toc54265068"/>
      <w:r>
        <w:lastRenderedPageBreak/>
        <w:t>Furnace Ready Glass Standards</w:t>
      </w:r>
      <w:bookmarkEnd w:id="11"/>
    </w:p>
    <w:p w14:paraId="55E28355" w14:textId="77777777" w:rsidR="00942604" w:rsidRDefault="0053532C" w:rsidP="00EB7A8C">
      <w:r w:rsidRPr="0053532C">
        <w:t>Furnace ready glass is generally made up of pieces of cullet greater than 8mm in size that has been sorted at a MRF, contaminants removed, glass pieces crushed and cleaned at a glass beneficiation plant.</w:t>
      </w:r>
    </w:p>
    <w:p w14:paraId="74B4953A" w14:textId="77777777" w:rsidR="00942604" w:rsidRDefault="0053532C" w:rsidP="00EB7A8C">
      <w:r w:rsidRPr="0053532C">
        <w:t xml:space="preserve">Best practice specifications exist for processing furnace ready cullet for recycling into glass container packaging in Australia and overseas. The Australian Council of Recycling (ACOR) has published standards for beneficiated glass in Australia designed to achieve best practice in beneficiated glass cullet recycling. Compliance is not compulsory. </w:t>
      </w:r>
    </w:p>
    <w:p w14:paraId="2988102E" w14:textId="64D37063" w:rsidR="007411D8" w:rsidRDefault="0053532C" w:rsidP="00EB7A8C">
      <w:r w:rsidRPr="0053532C">
        <w:t>The Institute of Scrap Recycling Industries (ISRI) is a trading association in the United States providing education and advocacy for responsible recycling and working with governments and manufacturers to increase procurement of recycled products. ISRI published the Scrap Specifications Circular (2020) as a guideline for buyers and sellers of scrap commodities, including beneficiated cullet</w:t>
      </w:r>
      <w:r w:rsidR="00AB3F3C">
        <w:t>.</w:t>
      </w:r>
      <w:r w:rsidR="00B24EC8">
        <w:rPr>
          <w:rStyle w:val="FootnoteReference"/>
        </w:rPr>
        <w:footnoteReference w:id="12"/>
      </w:r>
    </w:p>
    <w:p w14:paraId="22F70FBD" w14:textId="77DC1ED9" w:rsidR="0053532C" w:rsidRDefault="0053532C" w:rsidP="00EB7A8C">
      <w:r w:rsidRPr="0053532C">
        <w:t xml:space="preserve">The European Union </w:t>
      </w:r>
      <w:r w:rsidR="00666578">
        <w:t xml:space="preserve">(EU) </w:t>
      </w:r>
      <w:r w:rsidRPr="0053532C">
        <w:t>developed the Commission Regulation No 1179/2012 (2012) outlining the criteria when glass cullet ceases to be waste and is furnace ready</w:t>
      </w:r>
      <w:r w:rsidR="00AB3F3C">
        <w:t>.</w:t>
      </w:r>
      <w:r w:rsidR="001F7BD8">
        <w:rPr>
          <w:rStyle w:val="FootnoteReference"/>
        </w:rPr>
        <w:footnoteReference w:id="13"/>
      </w:r>
      <w:r w:rsidRPr="0053532C">
        <w:t xml:space="preserve"> The regulation was developed to ensure recovered cullet meets the technical requirements of glass production and complies with existing legislation and standards related to products. The criteria were based on a technical study performed which included an analysis of the economic, </w:t>
      </w:r>
      <w:proofErr w:type="gramStart"/>
      <w:r w:rsidRPr="0053532C">
        <w:t>environmental</w:t>
      </w:r>
      <w:proofErr w:type="gramEnd"/>
      <w:r w:rsidRPr="0053532C">
        <w:t xml:space="preserve"> and legal impacts when glass cullet ceases to be waste.</w:t>
      </w:r>
      <w:r w:rsidR="00AB3F3C">
        <w:rPr>
          <w:rStyle w:val="FootnoteReference"/>
        </w:rPr>
        <w:footnoteReference w:id="14"/>
      </w:r>
      <w:r w:rsidRPr="0053532C">
        <w:t xml:space="preserve"> No specifications are required for size and colour of cullet as these parameters do not have any associated environmental impact and do not seem to affect the existence of a market for the cullet.</w:t>
      </w:r>
    </w:p>
    <w:p w14:paraId="081FA53E" w14:textId="77777777" w:rsidR="00475683" w:rsidRDefault="00475683" w:rsidP="00EB7A8C"/>
    <w:p w14:paraId="0D7BEF48" w14:textId="77777777" w:rsidR="00774866" w:rsidRPr="00774866" w:rsidRDefault="00774866" w:rsidP="00774866"/>
    <w:p w14:paraId="54D235F9" w14:textId="77777777" w:rsidR="00774866" w:rsidRPr="00DB1B6A" w:rsidRDefault="00774866" w:rsidP="00DB1B6A"/>
    <w:p w14:paraId="44A5C9AD" w14:textId="77777777" w:rsidR="00774866" w:rsidRPr="00DB1B6A" w:rsidRDefault="00774866" w:rsidP="00DB1B6A"/>
    <w:p w14:paraId="7D3964B5" w14:textId="77777777" w:rsidR="00774866" w:rsidRPr="00DB1B6A" w:rsidRDefault="00774866" w:rsidP="00DB1B6A"/>
    <w:p w14:paraId="3ADD88C5" w14:textId="77777777" w:rsidR="00774866" w:rsidRPr="00123FB1" w:rsidRDefault="00774866" w:rsidP="00123FB1"/>
    <w:p w14:paraId="7D523C39" w14:textId="77777777" w:rsidR="00774866" w:rsidRPr="0097297C" w:rsidRDefault="00774866" w:rsidP="0097297C"/>
    <w:p w14:paraId="028D2F4B" w14:textId="77777777" w:rsidR="00774866" w:rsidRPr="0097297C" w:rsidRDefault="00774866" w:rsidP="0097297C"/>
    <w:p w14:paraId="193BE00D" w14:textId="77777777" w:rsidR="001105DF" w:rsidRDefault="001105DF" w:rsidP="00774866"/>
    <w:p w14:paraId="545F8B17" w14:textId="77777777" w:rsidR="00774866" w:rsidRDefault="00774866" w:rsidP="00774866"/>
    <w:p w14:paraId="1E947FE0" w14:textId="7A9229EE" w:rsidR="008572ED" w:rsidRDefault="008572ED">
      <w:pPr>
        <w:sectPr w:rsidR="008572ED" w:rsidSect="004722DC">
          <w:footerReference w:type="first" r:id="rId14"/>
          <w:pgSz w:w="11906" w:h="16838" w:code="9"/>
          <w:pgMar w:top="1418" w:right="1276" w:bottom="567" w:left="1418" w:header="425" w:footer="425" w:gutter="0"/>
          <w:pgNumType w:start="1"/>
          <w:cols w:space="708"/>
          <w:titlePg/>
          <w:docGrid w:linePitch="360"/>
        </w:sectPr>
      </w:pPr>
    </w:p>
    <w:tbl>
      <w:tblPr>
        <w:tblStyle w:val="TableGrid"/>
        <w:tblW w:w="0" w:type="auto"/>
        <w:tblLook w:val="04A0" w:firstRow="1" w:lastRow="0" w:firstColumn="1" w:lastColumn="0" w:noHBand="0" w:noVBand="1"/>
      </w:tblPr>
      <w:tblGrid>
        <w:gridCol w:w="2689"/>
        <w:gridCol w:w="4051"/>
        <w:gridCol w:w="4051"/>
        <w:gridCol w:w="4052"/>
      </w:tblGrid>
      <w:tr w:rsidR="00D1699E" w14:paraId="1BE81867" w14:textId="77777777" w:rsidTr="0077235E">
        <w:trPr>
          <w:cnfStyle w:val="100000000000" w:firstRow="1" w:lastRow="0" w:firstColumn="0" w:lastColumn="0" w:oddVBand="0" w:evenVBand="0" w:oddHBand="0" w:evenHBand="0" w:firstRowFirstColumn="0" w:firstRowLastColumn="0" w:lastRowFirstColumn="0" w:lastRowLastColumn="0"/>
          <w:tblHeader/>
        </w:trPr>
        <w:tc>
          <w:tcPr>
            <w:tcW w:w="14843" w:type="dxa"/>
            <w:gridSpan w:val="4"/>
            <w:shd w:val="clear" w:color="auto" w:fill="4F81BD" w:themeFill="accent1"/>
            <w:vAlign w:val="center"/>
          </w:tcPr>
          <w:p w14:paraId="32951234" w14:textId="38BC4C28" w:rsidR="00D1699E" w:rsidRPr="00D1699E" w:rsidRDefault="00D1699E" w:rsidP="00F37165">
            <w:pPr>
              <w:spacing w:before="120" w:after="120" w:line="240" w:lineRule="auto"/>
              <w:jc w:val="center"/>
              <w:rPr>
                <w:b/>
                <w:bCs/>
              </w:rPr>
            </w:pPr>
            <w:r w:rsidRPr="00D1699E">
              <w:rPr>
                <w:b/>
                <w:bCs/>
                <w:color w:val="FFFFFF" w:themeColor="background1"/>
              </w:rPr>
              <w:lastRenderedPageBreak/>
              <w:t>Furnace Ready Glass Standards</w:t>
            </w:r>
          </w:p>
        </w:tc>
      </w:tr>
      <w:tr w:rsidR="00C014D7" w14:paraId="2CB0AA02" w14:textId="77777777" w:rsidTr="0077235E">
        <w:trPr>
          <w:cnfStyle w:val="100000000000" w:firstRow="1" w:lastRow="0" w:firstColumn="0" w:lastColumn="0" w:oddVBand="0" w:evenVBand="0" w:oddHBand="0" w:evenHBand="0" w:firstRowFirstColumn="0" w:firstRowLastColumn="0" w:lastRowFirstColumn="0" w:lastRowLastColumn="0"/>
          <w:tblHeader/>
        </w:trPr>
        <w:tc>
          <w:tcPr>
            <w:tcW w:w="2689" w:type="dxa"/>
            <w:shd w:val="clear" w:color="auto" w:fill="DBE5F1" w:themeFill="accent1" w:themeFillTint="33"/>
            <w:vAlign w:val="center"/>
          </w:tcPr>
          <w:p w14:paraId="31FCF425" w14:textId="287C7F77" w:rsidR="00C014D7" w:rsidRPr="00D1699E" w:rsidRDefault="00667F18" w:rsidP="00B67BC4">
            <w:pPr>
              <w:spacing w:before="60" w:after="60" w:line="240" w:lineRule="auto"/>
              <w:jc w:val="center"/>
              <w:rPr>
                <w:b/>
                <w:bCs/>
              </w:rPr>
            </w:pPr>
            <w:r w:rsidRPr="00D1699E">
              <w:rPr>
                <w:b/>
                <w:bCs/>
              </w:rPr>
              <w:t>Parameter</w:t>
            </w:r>
          </w:p>
        </w:tc>
        <w:tc>
          <w:tcPr>
            <w:tcW w:w="4051" w:type="dxa"/>
            <w:shd w:val="clear" w:color="auto" w:fill="DBE5F1" w:themeFill="accent1" w:themeFillTint="33"/>
            <w:vAlign w:val="center"/>
          </w:tcPr>
          <w:p w14:paraId="502F0948" w14:textId="047317C7" w:rsidR="00C014D7" w:rsidRPr="00D1699E" w:rsidRDefault="00667F18" w:rsidP="00B67BC4">
            <w:pPr>
              <w:spacing w:before="60" w:after="60" w:line="240" w:lineRule="auto"/>
              <w:jc w:val="center"/>
              <w:rPr>
                <w:b/>
                <w:bCs/>
              </w:rPr>
            </w:pPr>
            <w:r w:rsidRPr="00D1699E">
              <w:rPr>
                <w:b/>
                <w:bCs/>
              </w:rPr>
              <w:t>Beneficiated Cullet Specifications</w:t>
            </w:r>
          </w:p>
        </w:tc>
        <w:tc>
          <w:tcPr>
            <w:tcW w:w="4051" w:type="dxa"/>
            <w:shd w:val="clear" w:color="auto" w:fill="DBE5F1" w:themeFill="accent1" w:themeFillTint="33"/>
            <w:vAlign w:val="center"/>
          </w:tcPr>
          <w:p w14:paraId="3783E0D4" w14:textId="53E8882D" w:rsidR="00C014D7" w:rsidRPr="00D1699E" w:rsidRDefault="00667F18" w:rsidP="00B67BC4">
            <w:pPr>
              <w:spacing w:before="60" w:after="60" w:line="240" w:lineRule="auto"/>
              <w:jc w:val="center"/>
              <w:rPr>
                <w:b/>
                <w:bCs/>
              </w:rPr>
            </w:pPr>
            <w:r w:rsidRPr="00D1699E">
              <w:rPr>
                <w:b/>
                <w:bCs/>
              </w:rPr>
              <w:t>Scrap Specifications Circular 2020</w:t>
            </w:r>
          </w:p>
        </w:tc>
        <w:tc>
          <w:tcPr>
            <w:tcW w:w="4052" w:type="dxa"/>
            <w:shd w:val="clear" w:color="auto" w:fill="DBE5F1" w:themeFill="accent1" w:themeFillTint="33"/>
            <w:vAlign w:val="center"/>
          </w:tcPr>
          <w:p w14:paraId="5954FE67" w14:textId="6201B6FA" w:rsidR="00C014D7" w:rsidRPr="00D1699E" w:rsidRDefault="00667F18" w:rsidP="00B67BC4">
            <w:pPr>
              <w:spacing w:before="60" w:after="60" w:line="240" w:lineRule="auto"/>
              <w:jc w:val="center"/>
              <w:rPr>
                <w:b/>
                <w:bCs/>
              </w:rPr>
            </w:pPr>
            <w:r w:rsidRPr="00D1699E">
              <w:rPr>
                <w:b/>
                <w:bCs/>
              </w:rPr>
              <w:t xml:space="preserve">Commission Regulation (EU) </w:t>
            </w:r>
            <w:r w:rsidR="00D1699E">
              <w:rPr>
                <w:b/>
                <w:bCs/>
              </w:rPr>
              <w:br/>
            </w:r>
            <w:r w:rsidRPr="00D1699E">
              <w:rPr>
                <w:b/>
                <w:bCs/>
              </w:rPr>
              <w:t>No 1179/2012</w:t>
            </w:r>
          </w:p>
        </w:tc>
      </w:tr>
      <w:tr w:rsidR="00C014D7" w14:paraId="7D7C5AB4" w14:textId="77777777" w:rsidTr="0077235E">
        <w:trPr>
          <w:cnfStyle w:val="000000100000" w:firstRow="0" w:lastRow="0" w:firstColumn="0" w:lastColumn="0" w:oddVBand="0" w:evenVBand="0" w:oddHBand="1" w:evenHBand="0" w:firstRowFirstColumn="0" w:firstRowLastColumn="0" w:lastRowFirstColumn="0" w:lastRowLastColumn="0"/>
        </w:trPr>
        <w:tc>
          <w:tcPr>
            <w:tcW w:w="2689" w:type="dxa"/>
            <w:vAlign w:val="center"/>
          </w:tcPr>
          <w:p w14:paraId="1076DA7B" w14:textId="115BEEBE" w:rsidR="00C014D7" w:rsidRPr="00D1699E" w:rsidRDefault="00D1699E" w:rsidP="00476C11">
            <w:pPr>
              <w:spacing w:before="120" w:after="120" w:line="240" w:lineRule="auto"/>
              <w:jc w:val="center"/>
              <w:rPr>
                <w:i/>
                <w:iCs/>
              </w:rPr>
            </w:pPr>
            <w:r>
              <w:rPr>
                <w:i/>
                <w:iCs/>
              </w:rPr>
              <w:t>Organisation</w:t>
            </w:r>
          </w:p>
        </w:tc>
        <w:tc>
          <w:tcPr>
            <w:tcW w:w="4051" w:type="dxa"/>
            <w:vAlign w:val="center"/>
          </w:tcPr>
          <w:p w14:paraId="3AA86CA9" w14:textId="6ACC8406" w:rsidR="00C014D7" w:rsidRDefault="00D1699E" w:rsidP="00476C11">
            <w:pPr>
              <w:spacing w:before="120" w:after="120" w:line="240" w:lineRule="auto"/>
              <w:jc w:val="center"/>
            </w:pPr>
            <w:r>
              <w:t>ACOR</w:t>
            </w:r>
          </w:p>
        </w:tc>
        <w:tc>
          <w:tcPr>
            <w:tcW w:w="4051" w:type="dxa"/>
            <w:vAlign w:val="center"/>
          </w:tcPr>
          <w:p w14:paraId="6A5D7046" w14:textId="164D4A54" w:rsidR="00C014D7" w:rsidRDefault="00D1699E" w:rsidP="00476C11">
            <w:pPr>
              <w:spacing w:before="120" w:after="120" w:line="240" w:lineRule="auto"/>
              <w:jc w:val="center"/>
            </w:pPr>
            <w:r>
              <w:t>ISRI</w:t>
            </w:r>
          </w:p>
        </w:tc>
        <w:tc>
          <w:tcPr>
            <w:tcW w:w="4052" w:type="dxa"/>
            <w:vAlign w:val="center"/>
          </w:tcPr>
          <w:p w14:paraId="1DA92851" w14:textId="698A176B" w:rsidR="00C014D7" w:rsidRDefault="00D1699E" w:rsidP="00476C11">
            <w:pPr>
              <w:spacing w:before="120" w:after="120" w:line="240" w:lineRule="auto"/>
              <w:jc w:val="center"/>
            </w:pPr>
            <w:r>
              <w:t>European Commission</w:t>
            </w:r>
          </w:p>
        </w:tc>
      </w:tr>
      <w:tr w:rsidR="00C014D7" w14:paraId="376D7281" w14:textId="77777777" w:rsidTr="0077235E">
        <w:trPr>
          <w:cnfStyle w:val="000000010000" w:firstRow="0" w:lastRow="0" w:firstColumn="0" w:lastColumn="0" w:oddVBand="0" w:evenVBand="0" w:oddHBand="0" w:evenHBand="1" w:firstRowFirstColumn="0" w:firstRowLastColumn="0" w:lastRowFirstColumn="0" w:lastRowLastColumn="0"/>
        </w:trPr>
        <w:tc>
          <w:tcPr>
            <w:tcW w:w="2689" w:type="dxa"/>
            <w:vAlign w:val="center"/>
          </w:tcPr>
          <w:p w14:paraId="26B09CD5" w14:textId="793A3B15" w:rsidR="00C014D7" w:rsidRPr="00D1699E" w:rsidRDefault="00D1699E" w:rsidP="00476C11">
            <w:pPr>
              <w:spacing w:before="120" w:after="120" w:line="240" w:lineRule="auto"/>
              <w:jc w:val="center"/>
              <w:rPr>
                <w:i/>
                <w:iCs/>
              </w:rPr>
            </w:pPr>
            <w:r w:rsidRPr="00D1699E">
              <w:rPr>
                <w:i/>
                <w:iCs/>
              </w:rPr>
              <w:t>Jurisdiction</w:t>
            </w:r>
          </w:p>
        </w:tc>
        <w:tc>
          <w:tcPr>
            <w:tcW w:w="4051" w:type="dxa"/>
            <w:vAlign w:val="center"/>
          </w:tcPr>
          <w:p w14:paraId="607D7184" w14:textId="24DC4C30" w:rsidR="00C014D7" w:rsidRDefault="00D1699E" w:rsidP="00476C11">
            <w:pPr>
              <w:spacing w:before="120" w:after="120" w:line="240" w:lineRule="auto"/>
              <w:jc w:val="center"/>
            </w:pPr>
            <w:r>
              <w:t>Australia</w:t>
            </w:r>
          </w:p>
        </w:tc>
        <w:tc>
          <w:tcPr>
            <w:tcW w:w="4051" w:type="dxa"/>
            <w:vAlign w:val="center"/>
          </w:tcPr>
          <w:p w14:paraId="4778C280" w14:textId="663FCE95" w:rsidR="00C014D7" w:rsidRDefault="00D1699E" w:rsidP="00476C11">
            <w:pPr>
              <w:spacing w:before="120" w:after="120" w:line="240" w:lineRule="auto"/>
              <w:jc w:val="center"/>
            </w:pPr>
            <w:r>
              <w:t>United States of America</w:t>
            </w:r>
          </w:p>
        </w:tc>
        <w:tc>
          <w:tcPr>
            <w:tcW w:w="4052" w:type="dxa"/>
            <w:vAlign w:val="center"/>
          </w:tcPr>
          <w:p w14:paraId="7ECA7167" w14:textId="76C514CD" w:rsidR="00C014D7" w:rsidRDefault="00D1699E" w:rsidP="00476C11">
            <w:pPr>
              <w:spacing w:before="120" w:after="120" w:line="240" w:lineRule="auto"/>
              <w:jc w:val="center"/>
            </w:pPr>
            <w:r>
              <w:t>European Union</w:t>
            </w:r>
          </w:p>
        </w:tc>
      </w:tr>
      <w:tr w:rsidR="00C014D7" w14:paraId="56EEA39D" w14:textId="77777777" w:rsidTr="0077235E">
        <w:trPr>
          <w:cnfStyle w:val="000000100000" w:firstRow="0" w:lastRow="0" w:firstColumn="0" w:lastColumn="0" w:oddVBand="0" w:evenVBand="0" w:oddHBand="1" w:evenHBand="0" w:firstRowFirstColumn="0" w:firstRowLastColumn="0" w:lastRowFirstColumn="0" w:lastRowLastColumn="0"/>
        </w:trPr>
        <w:tc>
          <w:tcPr>
            <w:tcW w:w="2689" w:type="dxa"/>
            <w:vAlign w:val="center"/>
          </w:tcPr>
          <w:p w14:paraId="7CCEA2E4" w14:textId="5DF47ACB" w:rsidR="00C014D7" w:rsidRPr="00D1699E" w:rsidRDefault="00D1699E" w:rsidP="00B67BC4">
            <w:pPr>
              <w:spacing w:before="60" w:after="60" w:line="240" w:lineRule="auto"/>
              <w:jc w:val="center"/>
              <w:rPr>
                <w:i/>
                <w:iCs/>
              </w:rPr>
            </w:pPr>
            <w:r w:rsidRPr="00D1699E">
              <w:rPr>
                <w:i/>
                <w:iCs/>
              </w:rPr>
              <w:t>Sizing</w:t>
            </w:r>
          </w:p>
        </w:tc>
        <w:tc>
          <w:tcPr>
            <w:tcW w:w="4051" w:type="dxa"/>
            <w:vAlign w:val="center"/>
          </w:tcPr>
          <w:p w14:paraId="05061A01" w14:textId="3211AF13" w:rsidR="00053D4F" w:rsidRDefault="00053D4F" w:rsidP="00B67BC4">
            <w:pPr>
              <w:pStyle w:val="ListParagraph"/>
              <w:numPr>
                <w:ilvl w:val="0"/>
                <w:numId w:val="8"/>
              </w:numPr>
              <w:spacing w:before="60" w:after="60" w:line="240" w:lineRule="auto"/>
              <w:ind w:left="311" w:hanging="284"/>
            </w:pPr>
            <w:r w:rsidRPr="00053D4F">
              <w:t xml:space="preserve">All pieces must be </w:t>
            </w:r>
            <w:r w:rsidR="000B795D" w:rsidRPr="00053D4F">
              <w:t>&lt;</w:t>
            </w:r>
            <w:r w:rsidRPr="00053D4F">
              <w:t>50mm</w:t>
            </w:r>
          </w:p>
          <w:p w14:paraId="1E4BF17A" w14:textId="2825836A" w:rsidR="00C014D7" w:rsidRDefault="00053D4F" w:rsidP="00B67BC4">
            <w:pPr>
              <w:pStyle w:val="ListParagraph"/>
              <w:numPr>
                <w:ilvl w:val="0"/>
                <w:numId w:val="8"/>
              </w:numPr>
              <w:spacing w:before="60" w:after="60" w:line="240" w:lineRule="auto"/>
              <w:ind w:left="311" w:hanging="284"/>
            </w:pPr>
            <w:r w:rsidRPr="00053D4F">
              <w:t>&lt;10% of pieces to be &lt;8m</w:t>
            </w:r>
            <w:r>
              <w:t>m</w:t>
            </w:r>
          </w:p>
        </w:tc>
        <w:tc>
          <w:tcPr>
            <w:tcW w:w="4051" w:type="dxa"/>
            <w:vAlign w:val="center"/>
          </w:tcPr>
          <w:p w14:paraId="627B977B" w14:textId="3BF2F56A" w:rsidR="00C014D7" w:rsidRDefault="006B3358" w:rsidP="00B67BC4">
            <w:pPr>
              <w:pStyle w:val="ListParagraph"/>
              <w:numPr>
                <w:ilvl w:val="0"/>
                <w:numId w:val="8"/>
              </w:numPr>
              <w:spacing w:before="60" w:after="60" w:line="240" w:lineRule="auto"/>
              <w:ind w:left="311" w:hanging="284"/>
            </w:pPr>
            <w:r>
              <w:t>Ideally between 9.5mm and 19mm</w:t>
            </w:r>
          </w:p>
        </w:tc>
        <w:tc>
          <w:tcPr>
            <w:tcW w:w="4052" w:type="dxa"/>
            <w:vAlign w:val="center"/>
          </w:tcPr>
          <w:p w14:paraId="5AEF1767" w14:textId="77777777" w:rsidR="00C014D7" w:rsidRDefault="00E30294" w:rsidP="00B67BC4">
            <w:pPr>
              <w:pStyle w:val="ListParagraph"/>
              <w:numPr>
                <w:ilvl w:val="0"/>
                <w:numId w:val="8"/>
              </w:numPr>
              <w:spacing w:before="60" w:after="60" w:line="240" w:lineRule="auto"/>
              <w:ind w:left="311" w:hanging="284"/>
            </w:pPr>
            <w:r>
              <w:t>No size specified</w:t>
            </w:r>
          </w:p>
          <w:p w14:paraId="3A6F326F" w14:textId="05EDC719" w:rsidR="00E30294" w:rsidRDefault="00E30294" w:rsidP="00B67BC4">
            <w:pPr>
              <w:pStyle w:val="ListParagraph"/>
              <w:numPr>
                <w:ilvl w:val="0"/>
                <w:numId w:val="8"/>
              </w:numPr>
              <w:spacing w:before="60" w:after="60" w:line="240" w:lineRule="auto"/>
              <w:ind w:left="311" w:hanging="284"/>
            </w:pPr>
            <w:r>
              <w:t>As specified in customer/industry specification.</w:t>
            </w:r>
          </w:p>
        </w:tc>
      </w:tr>
      <w:tr w:rsidR="00C014D7" w14:paraId="174F7EE3" w14:textId="77777777" w:rsidTr="0077235E">
        <w:trPr>
          <w:cnfStyle w:val="000000010000" w:firstRow="0" w:lastRow="0" w:firstColumn="0" w:lastColumn="0" w:oddVBand="0" w:evenVBand="0" w:oddHBand="0" w:evenHBand="1" w:firstRowFirstColumn="0" w:firstRowLastColumn="0" w:lastRowFirstColumn="0" w:lastRowLastColumn="0"/>
        </w:trPr>
        <w:tc>
          <w:tcPr>
            <w:tcW w:w="2689" w:type="dxa"/>
            <w:vAlign w:val="center"/>
          </w:tcPr>
          <w:p w14:paraId="1C07AF54" w14:textId="5793E03D" w:rsidR="00C014D7" w:rsidRPr="00D1699E" w:rsidRDefault="00D1699E" w:rsidP="00B67BC4">
            <w:pPr>
              <w:spacing w:before="60" w:after="60" w:line="240" w:lineRule="auto"/>
              <w:jc w:val="center"/>
              <w:rPr>
                <w:i/>
                <w:iCs/>
              </w:rPr>
            </w:pPr>
            <w:r w:rsidRPr="00D1699E">
              <w:rPr>
                <w:i/>
                <w:iCs/>
              </w:rPr>
              <w:t>Colour</w:t>
            </w:r>
          </w:p>
        </w:tc>
        <w:tc>
          <w:tcPr>
            <w:tcW w:w="4051" w:type="dxa"/>
            <w:vAlign w:val="center"/>
          </w:tcPr>
          <w:p w14:paraId="7A2880B7" w14:textId="77777777" w:rsidR="00D22D15" w:rsidRPr="00B3741E" w:rsidRDefault="00D22D15" w:rsidP="00B67BC4">
            <w:pPr>
              <w:spacing w:before="60" w:after="60" w:line="240" w:lineRule="auto"/>
              <w:rPr>
                <w:i/>
                <w:iCs/>
              </w:rPr>
            </w:pPr>
            <w:r w:rsidRPr="00B3741E">
              <w:rPr>
                <w:i/>
                <w:iCs/>
              </w:rPr>
              <w:t xml:space="preserve">Flint: </w:t>
            </w:r>
          </w:p>
          <w:p w14:paraId="47CC1719" w14:textId="34570EBE" w:rsidR="00D22D15" w:rsidRDefault="00D22D15" w:rsidP="00B67BC4">
            <w:pPr>
              <w:pStyle w:val="ListParagraph"/>
              <w:numPr>
                <w:ilvl w:val="0"/>
                <w:numId w:val="8"/>
              </w:numPr>
              <w:spacing w:before="60" w:after="60" w:line="240" w:lineRule="auto"/>
              <w:ind w:left="311" w:hanging="284"/>
            </w:pPr>
            <w:r w:rsidRPr="00D22D15">
              <w:t xml:space="preserve">Flint glass: min. 98% </w:t>
            </w:r>
          </w:p>
          <w:p w14:paraId="1D98A40B" w14:textId="56579764" w:rsidR="00D22D15" w:rsidRDefault="00D22D15" w:rsidP="00B67BC4">
            <w:pPr>
              <w:pStyle w:val="ListParagraph"/>
              <w:numPr>
                <w:ilvl w:val="0"/>
                <w:numId w:val="8"/>
              </w:numPr>
              <w:spacing w:before="60" w:after="60" w:line="240" w:lineRule="auto"/>
              <w:ind w:left="311" w:hanging="284"/>
            </w:pPr>
            <w:r w:rsidRPr="00D22D15">
              <w:t xml:space="preserve">Other colours: max. 2% (&lt;0.3% may be dark green/blue) </w:t>
            </w:r>
          </w:p>
          <w:p w14:paraId="5EB0DC00" w14:textId="77777777" w:rsidR="00D22D15" w:rsidRPr="00B3741E" w:rsidRDefault="00D22D15" w:rsidP="00B67BC4">
            <w:pPr>
              <w:spacing w:before="60" w:after="60" w:line="240" w:lineRule="auto"/>
              <w:rPr>
                <w:i/>
                <w:iCs/>
              </w:rPr>
            </w:pPr>
            <w:r w:rsidRPr="00B3741E">
              <w:rPr>
                <w:i/>
                <w:iCs/>
              </w:rPr>
              <w:t xml:space="preserve">Amber: </w:t>
            </w:r>
          </w:p>
          <w:p w14:paraId="69C63334" w14:textId="76F8681D" w:rsidR="00D22D15" w:rsidRDefault="00D22D15" w:rsidP="00B67BC4">
            <w:pPr>
              <w:pStyle w:val="ListParagraph"/>
              <w:numPr>
                <w:ilvl w:val="0"/>
                <w:numId w:val="8"/>
              </w:numPr>
              <w:spacing w:before="60" w:after="60" w:line="240" w:lineRule="auto"/>
              <w:ind w:left="311" w:hanging="284"/>
            </w:pPr>
            <w:r w:rsidRPr="00D22D15">
              <w:t xml:space="preserve">Amber glass: min. 90% </w:t>
            </w:r>
          </w:p>
          <w:p w14:paraId="09F5743D" w14:textId="67A5B7DC" w:rsidR="00F570BB" w:rsidRDefault="00D22D15" w:rsidP="00B67BC4">
            <w:pPr>
              <w:pStyle w:val="ListParagraph"/>
              <w:numPr>
                <w:ilvl w:val="0"/>
                <w:numId w:val="8"/>
              </w:numPr>
              <w:spacing w:before="60" w:after="60" w:line="240" w:lineRule="auto"/>
              <w:ind w:left="311" w:hanging="284"/>
            </w:pPr>
            <w:r w:rsidRPr="00D22D15">
              <w:t xml:space="preserve">Other colours: max. 10% (&lt;5% may be dark green, &lt;5% may be dark blue </w:t>
            </w:r>
          </w:p>
          <w:p w14:paraId="43ADF5A5" w14:textId="77777777" w:rsidR="00F570BB" w:rsidRPr="00B3741E" w:rsidRDefault="00D22D15" w:rsidP="00B67BC4">
            <w:pPr>
              <w:spacing w:before="60" w:after="60" w:line="240" w:lineRule="auto"/>
              <w:rPr>
                <w:i/>
                <w:iCs/>
              </w:rPr>
            </w:pPr>
            <w:r w:rsidRPr="00B3741E">
              <w:rPr>
                <w:i/>
                <w:iCs/>
              </w:rPr>
              <w:t xml:space="preserve">Green:  </w:t>
            </w:r>
          </w:p>
          <w:p w14:paraId="6A97B19E" w14:textId="3D7C991B" w:rsidR="00F570BB" w:rsidRDefault="00D22D15" w:rsidP="00B67BC4">
            <w:pPr>
              <w:pStyle w:val="ListParagraph"/>
              <w:numPr>
                <w:ilvl w:val="0"/>
                <w:numId w:val="8"/>
              </w:numPr>
              <w:spacing w:before="60" w:after="60" w:line="240" w:lineRule="auto"/>
              <w:ind w:left="311" w:hanging="284"/>
            </w:pPr>
            <w:r w:rsidRPr="00D22D15">
              <w:t xml:space="preserve">Green glass: min. 90% </w:t>
            </w:r>
          </w:p>
          <w:p w14:paraId="6DDDF591" w14:textId="551DCD0B" w:rsidR="00C014D7" w:rsidRDefault="00D22D15" w:rsidP="00B67BC4">
            <w:pPr>
              <w:pStyle w:val="ListParagraph"/>
              <w:numPr>
                <w:ilvl w:val="0"/>
                <w:numId w:val="8"/>
              </w:numPr>
              <w:spacing w:before="60" w:after="60" w:line="240" w:lineRule="auto"/>
              <w:ind w:left="311" w:hanging="284"/>
            </w:pPr>
            <w:r w:rsidRPr="00D22D15">
              <w:t>Other colours: max. 10% (&lt;1% may be dark blue)</w:t>
            </w:r>
          </w:p>
        </w:tc>
        <w:tc>
          <w:tcPr>
            <w:tcW w:w="4051" w:type="dxa"/>
            <w:vAlign w:val="center"/>
          </w:tcPr>
          <w:p w14:paraId="2004E6A3" w14:textId="77777777" w:rsidR="00B54607" w:rsidRPr="00B3741E" w:rsidRDefault="00B54607" w:rsidP="00B67BC4">
            <w:pPr>
              <w:spacing w:before="60" w:after="60" w:line="240" w:lineRule="auto"/>
              <w:rPr>
                <w:i/>
                <w:iCs/>
              </w:rPr>
            </w:pPr>
            <w:r w:rsidRPr="00B3741E">
              <w:rPr>
                <w:i/>
                <w:iCs/>
              </w:rPr>
              <w:t xml:space="preserve">Flint: </w:t>
            </w:r>
          </w:p>
          <w:p w14:paraId="56AB86BB" w14:textId="5CE24B0C" w:rsidR="00B54607" w:rsidRDefault="00B54607" w:rsidP="00B67BC4">
            <w:pPr>
              <w:pStyle w:val="ListParagraph"/>
              <w:numPr>
                <w:ilvl w:val="0"/>
                <w:numId w:val="8"/>
              </w:numPr>
              <w:spacing w:before="60" w:after="60" w:line="240" w:lineRule="auto"/>
              <w:ind w:left="311" w:hanging="284"/>
            </w:pPr>
            <w:r w:rsidRPr="00B54607">
              <w:t xml:space="preserve">Flint glass: min. 95% </w:t>
            </w:r>
          </w:p>
          <w:p w14:paraId="32953828" w14:textId="7392BDAB" w:rsidR="00B54607" w:rsidRDefault="00B54607" w:rsidP="00B67BC4">
            <w:pPr>
              <w:pStyle w:val="ListParagraph"/>
              <w:numPr>
                <w:ilvl w:val="0"/>
                <w:numId w:val="8"/>
              </w:numPr>
              <w:spacing w:before="60" w:after="60" w:line="240" w:lineRule="auto"/>
              <w:ind w:left="311" w:hanging="284"/>
            </w:pPr>
            <w:r w:rsidRPr="00B54607">
              <w:t xml:space="preserve">Other colours: max. 5% (&lt;5% amber, &lt;1% green, &lt;0.5% other) </w:t>
            </w:r>
          </w:p>
          <w:p w14:paraId="625CEE08" w14:textId="77777777" w:rsidR="00B54607" w:rsidRPr="00B3741E" w:rsidRDefault="00B54607" w:rsidP="00B67BC4">
            <w:pPr>
              <w:spacing w:before="60" w:after="60" w:line="240" w:lineRule="auto"/>
              <w:rPr>
                <w:i/>
                <w:iCs/>
              </w:rPr>
            </w:pPr>
            <w:r w:rsidRPr="00B3741E">
              <w:rPr>
                <w:i/>
                <w:iCs/>
              </w:rPr>
              <w:t xml:space="preserve">Amber: </w:t>
            </w:r>
          </w:p>
          <w:p w14:paraId="71F17A6E" w14:textId="52E7C5DD" w:rsidR="00B54607" w:rsidRDefault="00B54607" w:rsidP="00B67BC4">
            <w:pPr>
              <w:pStyle w:val="ListParagraph"/>
              <w:numPr>
                <w:ilvl w:val="0"/>
                <w:numId w:val="8"/>
              </w:numPr>
              <w:spacing w:before="60" w:after="60" w:line="240" w:lineRule="auto"/>
              <w:ind w:left="311" w:hanging="284"/>
            </w:pPr>
            <w:r w:rsidRPr="00B54607">
              <w:t xml:space="preserve">Amber glass: min. 90% </w:t>
            </w:r>
          </w:p>
          <w:p w14:paraId="168BCDA6" w14:textId="001A3BEC" w:rsidR="00B54607" w:rsidRDefault="00B54607" w:rsidP="00B67BC4">
            <w:pPr>
              <w:pStyle w:val="ListParagraph"/>
              <w:numPr>
                <w:ilvl w:val="0"/>
                <w:numId w:val="8"/>
              </w:numPr>
              <w:spacing w:before="60" w:after="60" w:line="240" w:lineRule="auto"/>
              <w:ind w:left="311" w:hanging="284"/>
            </w:pPr>
            <w:r w:rsidRPr="00B54607">
              <w:t xml:space="preserve">Other colours: max. 10% (&lt;10% flint, &lt;10% green, &lt;5% other) </w:t>
            </w:r>
          </w:p>
          <w:p w14:paraId="6A77F28A" w14:textId="77777777" w:rsidR="00B54607" w:rsidRPr="00B3741E" w:rsidRDefault="00B54607" w:rsidP="00B67BC4">
            <w:pPr>
              <w:spacing w:before="60" w:after="60" w:line="240" w:lineRule="auto"/>
              <w:rPr>
                <w:i/>
                <w:iCs/>
              </w:rPr>
            </w:pPr>
            <w:r w:rsidRPr="00B3741E">
              <w:rPr>
                <w:i/>
                <w:iCs/>
              </w:rPr>
              <w:t xml:space="preserve">Green:  </w:t>
            </w:r>
          </w:p>
          <w:p w14:paraId="276EAA88" w14:textId="554C6ADF" w:rsidR="00B54607" w:rsidRDefault="00B54607" w:rsidP="00B67BC4">
            <w:pPr>
              <w:pStyle w:val="ListParagraph"/>
              <w:numPr>
                <w:ilvl w:val="0"/>
                <w:numId w:val="8"/>
              </w:numPr>
              <w:spacing w:before="60" w:after="60" w:line="240" w:lineRule="auto"/>
              <w:ind w:left="311" w:hanging="284"/>
            </w:pPr>
            <w:r w:rsidRPr="00B54607">
              <w:t xml:space="preserve">Green glass: min. 70% </w:t>
            </w:r>
          </w:p>
          <w:p w14:paraId="7722A386" w14:textId="69E92C25" w:rsidR="00C014D7" w:rsidRDefault="00B54607" w:rsidP="00B67BC4">
            <w:pPr>
              <w:pStyle w:val="ListParagraph"/>
              <w:numPr>
                <w:ilvl w:val="0"/>
                <w:numId w:val="8"/>
              </w:numPr>
              <w:spacing w:before="60" w:after="60" w:line="240" w:lineRule="auto"/>
              <w:ind w:left="311" w:hanging="284"/>
            </w:pPr>
            <w:r w:rsidRPr="00B54607">
              <w:t>Other colours: max. 30% (&lt;15% flint, &lt;15% amber, &lt;10% others)</w:t>
            </w:r>
          </w:p>
        </w:tc>
        <w:tc>
          <w:tcPr>
            <w:tcW w:w="4052" w:type="dxa"/>
          </w:tcPr>
          <w:p w14:paraId="06E84298" w14:textId="1013AC90" w:rsidR="00C014D7" w:rsidRDefault="00E30294" w:rsidP="00B67BC4">
            <w:pPr>
              <w:pStyle w:val="ListParagraph"/>
              <w:numPr>
                <w:ilvl w:val="0"/>
                <w:numId w:val="8"/>
              </w:numPr>
              <w:spacing w:before="60" w:after="60" w:line="240" w:lineRule="auto"/>
              <w:ind w:left="311" w:hanging="284"/>
            </w:pPr>
            <w:r>
              <w:t>As specified in customer/industry specification.</w:t>
            </w:r>
          </w:p>
        </w:tc>
      </w:tr>
      <w:tr w:rsidR="00D1699E" w14:paraId="6431FEAC" w14:textId="77777777" w:rsidTr="0077235E">
        <w:trPr>
          <w:cnfStyle w:val="000000100000" w:firstRow="0" w:lastRow="0" w:firstColumn="0" w:lastColumn="0" w:oddVBand="0" w:evenVBand="0" w:oddHBand="1" w:evenHBand="0" w:firstRowFirstColumn="0" w:firstRowLastColumn="0" w:lastRowFirstColumn="0" w:lastRowLastColumn="0"/>
        </w:trPr>
        <w:tc>
          <w:tcPr>
            <w:tcW w:w="2689" w:type="dxa"/>
            <w:vAlign w:val="center"/>
          </w:tcPr>
          <w:p w14:paraId="19E7FB7A" w14:textId="1E70629B" w:rsidR="00D1699E" w:rsidRPr="00D1699E" w:rsidRDefault="00D1699E" w:rsidP="00B67BC4">
            <w:pPr>
              <w:spacing w:before="60" w:after="60" w:line="240" w:lineRule="auto"/>
              <w:jc w:val="center"/>
              <w:rPr>
                <w:i/>
                <w:iCs/>
              </w:rPr>
            </w:pPr>
            <w:r w:rsidRPr="00D1699E">
              <w:rPr>
                <w:i/>
                <w:iCs/>
              </w:rPr>
              <w:t>Contaminants</w:t>
            </w:r>
          </w:p>
        </w:tc>
        <w:tc>
          <w:tcPr>
            <w:tcW w:w="4051" w:type="dxa"/>
            <w:vAlign w:val="center"/>
          </w:tcPr>
          <w:p w14:paraId="2B57D3E7" w14:textId="6D71667E" w:rsidR="0077235E" w:rsidRDefault="0077235E" w:rsidP="00B67BC4">
            <w:pPr>
              <w:pStyle w:val="ListParagraph"/>
              <w:numPr>
                <w:ilvl w:val="0"/>
                <w:numId w:val="8"/>
              </w:numPr>
              <w:spacing w:before="60" w:after="60" w:line="240" w:lineRule="auto"/>
              <w:ind w:left="311" w:hanging="284"/>
            </w:pPr>
            <w:r w:rsidRPr="0077235E">
              <w:t xml:space="preserve">Organic matter: &lt;3kg per tonne of cullet </w:t>
            </w:r>
          </w:p>
          <w:p w14:paraId="52802DA4" w14:textId="6E853E61" w:rsidR="0077235E" w:rsidRDefault="0077235E" w:rsidP="00B67BC4">
            <w:pPr>
              <w:pStyle w:val="ListParagraph"/>
              <w:numPr>
                <w:ilvl w:val="0"/>
                <w:numId w:val="8"/>
              </w:numPr>
              <w:spacing w:before="60" w:after="60" w:line="240" w:lineRule="auto"/>
              <w:ind w:left="311" w:hanging="284"/>
            </w:pPr>
            <w:r w:rsidRPr="0077235E">
              <w:t xml:space="preserve">Ferrous material: &lt;3g per tonne of cullet </w:t>
            </w:r>
          </w:p>
          <w:p w14:paraId="001BEFEB" w14:textId="1031C7FD" w:rsidR="0077235E" w:rsidRDefault="0077235E" w:rsidP="00B67BC4">
            <w:pPr>
              <w:pStyle w:val="ListParagraph"/>
              <w:numPr>
                <w:ilvl w:val="0"/>
                <w:numId w:val="8"/>
              </w:numPr>
              <w:spacing w:before="60" w:after="60" w:line="240" w:lineRule="auto"/>
              <w:ind w:left="311" w:hanging="284"/>
            </w:pPr>
            <w:r w:rsidRPr="0077235E">
              <w:t xml:space="preserve">Non-ferrous metals: &lt;15g per tonne of cullet </w:t>
            </w:r>
          </w:p>
          <w:p w14:paraId="678063EB" w14:textId="77777777" w:rsidR="00D1699E" w:rsidRDefault="0077235E" w:rsidP="00B67BC4">
            <w:pPr>
              <w:pStyle w:val="ListParagraph"/>
              <w:numPr>
                <w:ilvl w:val="0"/>
                <w:numId w:val="8"/>
              </w:numPr>
              <w:spacing w:before="60" w:after="60" w:line="240" w:lineRule="auto"/>
              <w:ind w:left="311" w:hanging="284"/>
            </w:pPr>
            <w:r w:rsidRPr="0077235E">
              <w:lastRenderedPageBreak/>
              <w:t>Ceramics, refractory, glass- ceramic, etc: &lt;15g per tonne of cullet</w:t>
            </w:r>
          </w:p>
          <w:p w14:paraId="10AD26A6" w14:textId="1D51F448" w:rsidR="00DD2BBD" w:rsidRPr="00B3741E" w:rsidRDefault="00DD2BBD" w:rsidP="00B67BC4">
            <w:pPr>
              <w:spacing w:before="60" w:after="60" w:line="240" w:lineRule="auto"/>
              <w:ind w:left="27"/>
              <w:rPr>
                <w:i/>
                <w:iCs/>
              </w:rPr>
            </w:pPr>
            <w:r w:rsidRPr="00B3741E">
              <w:rPr>
                <w:i/>
                <w:iCs/>
              </w:rPr>
              <w:t>Prohibited Material</w:t>
            </w:r>
            <w:r w:rsidR="00D116C0">
              <w:rPr>
                <w:i/>
                <w:iCs/>
              </w:rPr>
              <w:t>:</w:t>
            </w:r>
          </w:p>
          <w:p w14:paraId="51877421" w14:textId="5AE4C044" w:rsidR="00DD2BBD" w:rsidRDefault="00DD2BBD" w:rsidP="00B67BC4">
            <w:pPr>
              <w:pStyle w:val="ListParagraph"/>
              <w:numPr>
                <w:ilvl w:val="0"/>
                <w:numId w:val="8"/>
              </w:numPr>
              <w:spacing w:before="60" w:after="60" w:line="240" w:lineRule="auto"/>
              <w:ind w:left="311" w:hanging="284"/>
            </w:pPr>
            <w:r w:rsidRPr="00DD2BBD">
              <w:t xml:space="preserve">Cullet should be free from non-glass containers, including aluminium cans, plastic bottles and containers, and steel containers </w:t>
            </w:r>
          </w:p>
          <w:p w14:paraId="73A73B6D" w14:textId="5C850B6C" w:rsidR="00DD2BBD" w:rsidRDefault="00DD2BBD" w:rsidP="00B67BC4">
            <w:pPr>
              <w:pStyle w:val="ListParagraph"/>
              <w:numPr>
                <w:ilvl w:val="0"/>
                <w:numId w:val="8"/>
              </w:numPr>
              <w:spacing w:before="60" w:after="60" w:line="240" w:lineRule="auto"/>
              <w:ind w:left="311" w:hanging="284"/>
            </w:pPr>
            <w:r w:rsidRPr="00DD2BBD">
              <w:t xml:space="preserve">Cullet should be free from any </w:t>
            </w:r>
            <w:proofErr w:type="spellStart"/>
            <w:r w:rsidRPr="00DD2BBD">
              <w:t>Pyroceramic</w:t>
            </w:r>
            <w:proofErr w:type="spellEnd"/>
            <w:r w:rsidRPr="00DD2BBD">
              <w:t xml:space="preserve"> material</w:t>
            </w:r>
          </w:p>
        </w:tc>
        <w:tc>
          <w:tcPr>
            <w:tcW w:w="4051" w:type="dxa"/>
            <w:vAlign w:val="center"/>
          </w:tcPr>
          <w:p w14:paraId="76B4151A" w14:textId="044CE800" w:rsidR="00B3741E" w:rsidRDefault="00B3741E" w:rsidP="00B67BC4">
            <w:pPr>
              <w:pStyle w:val="ListParagraph"/>
              <w:numPr>
                <w:ilvl w:val="0"/>
                <w:numId w:val="8"/>
              </w:numPr>
              <w:spacing w:before="60" w:after="60" w:line="240" w:lineRule="auto"/>
              <w:ind w:left="311" w:hanging="284"/>
            </w:pPr>
            <w:r>
              <w:lastRenderedPageBreak/>
              <w:t xml:space="preserve">Organic matter: limits to be set in buyer and seller agreement </w:t>
            </w:r>
          </w:p>
          <w:p w14:paraId="3E5E7837" w14:textId="6714A02E" w:rsidR="00B3741E" w:rsidRPr="00D116C0" w:rsidRDefault="00B3741E" w:rsidP="00B67BC4">
            <w:pPr>
              <w:spacing w:before="60" w:after="60" w:line="240" w:lineRule="auto"/>
              <w:rPr>
                <w:i/>
                <w:iCs/>
              </w:rPr>
            </w:pPr>
            <w:r w:rsidRPr="00D116C0">
              <w:rPr>
                <w:i/>
                <w:iCs/>
              </w:rPr>
              <w:t xml:space="preserve">Prohibited </w:t>
            </w:r>
            <w:r w:rsidR="00D116C0" w:rsidRPr="00D116C0">
              <w:rPr>
                <w:i/>
                <w:iCs/>
              </w:rPr>
              <w:t>M</w:t>
            </w:r>
            <w:r w:rsidRPr="00D116C0">
              <w:rPr>
                <w:i/>
                <w:iCs/>
              </w:rPr>
              <w:t xml:space="preserve">aterial: </w:t>
            </w:r>
          </w:p>
          <w:p w14:paraId="50ED0981" w14:textId="360DEE65" w:rsidR="00B3741E" w:rsidRDefault="00B3741E" w:rsidP="00B67BC4">
            <w:pPr>
              <w:pStyle w:val="ListParagraph"/>
              <w:numPr>
                <w:ilvl w:val="0"/>
                <w:numId w:val="8"/>
              </w:numPr>
              <w:spacing w:before="60" w:after="60" w:line="240" w:lineRule="auto"/>
              <w:ind w:left="311" w:hanging="284"/>
            </w:pPr>
            <w:r>
              <w:t xml:space="preserve">Ferrous materials </w:t>
            </w:r>
          </w:p>
          <w:p w14:paraId="7FC65708" w14:textId="6AEB98F8" w:rsidR="00B3741E" w:rsidRDefault="00B3741E" w:rsidP="00B67BC4">
            <w:pPr>
              <w:pStyle w:val="ListParagraph"/>
              <w:numPr>
                <w:ilvl w:val="0"/>
                <w:numId w:val="8"/>
              </w:numPr>
              <w:spacing w:before="60" w:after="60" w:line="240" w:lineRule="auto"/>
              <w:ind w:left="311" w:hanging="284"/>
            </w:pPr>
            <w:r>
              <w:t xml:space="preserve">Non-ferrous metals </w:t>
            </w:r>
          </w:p>
          <w:p w14:paraId="321798A5" w14:textId="07E89428" w:rsidR="00B3741E" w:rsidRDefault="00B3741E" w:rsidP="00B67BC4">
            <w:pPr>
              <w:pStyle w:val="ListParagraph"/>
              <w:numPr>
                <w:ilvl w:val="0"/>
                <w:numId w:val="8"/>
              </w:numPr>
              <w:spacing w:before="60" w:after="60" w:line="240" w:lineRule="auto"/>
              <w:ind w:left="311" w:hanging="284"/>
            </w:pPr>
            <w:r>
              <w:t xml:space="preserve">Ceramics </w:t>
            </w:r>
          </w:p>
          <w:p w14:paraId="270DC771" w14:textId="77777777" w:rsidR="00D1699E" w:rsidRDefault="00B3741E" w:rsidP="00B67BC4">
            <w:pPr>
              <w:pStyle w:val="ListParagraph"/>
              <w:numPr>
                <w:ilvl w:val="0"/>
                <w:numId w:val="8"/>
              </w:numPr>
              <w:spacing w:before="60" w:after="60" w:line="240" w:lineRule="auto"/>
              <w:ind w:left="311" w:hanging="284"/>
            </w:pPr>
            <w:r>
              <w:lastRenderedPageBreak/>
              <w:t>Other glass</w:t>
            </w:r>
          </w:p>
          <w:p w14:paraId="719FC911" w14:textId="79CAEFCD" w:rsidR="00B3741E" w:rsidRDefault="00B3741E" w:rsidP="00B67BC4">
            <w:pPr>
              <w:pStyle w:val="ListParagraph"/>
              <w:numPr>
                <w:ilvl w:val="0"/>
                <w:numId w:val="8"/>
              </w:numPr>
              <w:spacing w:before="60" w:after="60" w:line="240" w:lineRule="auto"/>
              <w:ind w:left="311" w:hanging="284"/>
            </w:pPr>
            <w:r w:rsidRPr="00B3741E">
              <w:t>Other material such as bricks, rocks, etc</w:t>
            </w:r>
          </w:p>
        </w:tc>
        <w:tc>
          <w:tcPr>
            <w:tcW w:w="4052" w:type="dxa"/>
            <w:vAlign w:val="center"/>
          </w:tcPr>
          <w:p w14:paraId="29B33423" w14:textId="5CE60D3D" w:rsidR="00D116C0" w:rsidRDefault="00D116C0" w:rsidP="00B67BC4">
            <w:pPr>
              <w:pStyle w:val="ListParagraph"/>
              <w:numPr>
                <w:ilvl w:val="0"/>
                <w:numId w:val="8"/>
              </w:numPr>
              <w:spacing w:before="60" w:after="60" w:line="240" w:lineRule="auto"/>
              <w:ind w:left="311" w:hanging="284"/>
            </w:pPr>
            <w:r w:rsidRPr="00D116C0">
              <w:lastRenderedPageBreak/>
              <w:t xml:space="preserve">Ferrous materials: &lt;50ppm </w:t>
            </w:r>
          </w:p>
          <w:p w14:paraId="1E743C12" w14:textId="348F234A" w:rsidR="00F612F3" w:rsidRDefault="00D116C0" w:rsidP="00B67BC4">
            <w:pPr>
              <w:pStyle w:val="ListParagraph"/>
              <w:numPr>
                <w:ilvl w:val="0"/>
                <w:numId w:val="8"/>
              </w:numPr>
              <w:spacing w:before="60" w:after="60" w:line="240" w:lineRule="auto"/>
              <w:ind w:left="311" w:hanging="284"/>
            </w:pPr>
            <w:r w:rsidRPr="00D116C0">
              <w:t xml:space="preserve">Non-ferrous metals: &lt;60ppm </w:t>
            </w:r>
          </w:p>
          <w:p w14:paraId="3974D14D" w14:textId="0C7B1AFE" w:rsidR="00F612F3" w:rsidRDefault="00D116C0" w:rsidP="00B67BC4">
            <w:pPr>
              <w:pStyle w:val="ListParagraph"/>
              <w:numPr>
                <w:ilvl w:val="0"/>
                <w:numId w:val="8"/>
              </w:numPr>
              <w:spacing w:before="60" w:after="60" w:line="240" w:lineRule="auto"/>
              <w:ind w:left="311" w:hanging="284"/>
            </w:pPr>
            <w:r w:rsidRPr="00D116C0">
              <w:t>Non-metal non-glass inorganics (</w:t>
            </w:r>
            <w:proofErr w:type="gramStart"/>
            <w:r w:rsidRPr="00D116C0">
              <w:t>e.g.</w:t>
            </w:r>
            <w:proofErr w:type="gramEnd"/>
            <w:r w:rsidRPr="00D116C0">
              <w:t xml:space="preserve"> ceramics, stones, porcelain, </w:t>
            </w:r>
            <w:proofErr w:type="spellStart"/>
            <w:r w:rsidRPr="00D116C0">
              <w:t>pyroceramics</w:t>
            </w:r>
            <w:proofErr w:type="spellEnd"/>
            <w:r w:rsidRPr="00D116C0">
              <w:t xml:space="preserve">): &lt;100ppm for glass cullet size &gt;1mm </w:t>
            </w:r>
          </w:p>
          <w:p w14:paraId="248ABE4D" w14:textId="053DB76C" w:rsidR="00D1699E" w:rsidRDefault="00D116C0" w:rsidP="00B67BC4">
            <w:pPr>
              <w:pStyle w:val="ListParagraph"/>
              <w:numPr>
                <w:ilvl w:val="0"/>
                <w:numId w:val="8"/>
              </w:numPr>
              <w:spacing w:before="60" w:after="60" w:line="240" w:lineRule="auto"/>
              <w:ind w:left="311" w:hanging="284"/>
            </w:pPr>
            <w:r w:rsidRPr="00D116C0">
              <w:lastRenderedPageBreak/>
              <w:t>Organic matter: &lt;2000ppm</w:t>
            </w:r>
          </w:p>
          <w:p w14:paraId="76FCA48D" w14:textId="02A168CA" w:rsidR="00F612F3" w:rsidRPr="00F612F3" w:rsidRDefault="00F612F3" w:rsidP="00B67BC4">
            <w:pPr>
              <w:spacing w:before="60" w:after="60" w:line="240" w:lineRule="auto"/>
              <w:rPr>
                <w:i/>
                <w:iCs/>
              </w:rPr>
            </w:pPr>
            <w:r w:rsidRPr="00D116C0">
              <w:rPr>
                <w:i/>
                <w:iCs/>
              </w:rPr>
              <w:t xml:space="preserve">Prohibited Material: </w:t>
            </w:r>
          </w:p>
          <w:p w14:paraId="19F196C7" w14:textId="633DF499" w:rsidR="00D116C0" w:rsidRDefault="00D116C0" w:rsidP="00B67BC4">
            <w:pPr>
              <w:pStyle w:val="ListParagraph"/>
              <w:numPr>
                <w:ilvl w:val="0"/>
                <w:numId w:val="8"/>
              </w:numPr>
              <w:spacing w:before="60" w:after="60" w:line="240" w:lineRule="auto"/>
              <w:ind w:left="311" w:hanging="284"/>
            </w:pPr>
            <w:r w:rsidRPr="00D116C0">
              <w:t xml:space="preserve">Hazardous material listed in Annex III to Directive 2008/98/EC. </w:t>
            </w:r>
            <w:proofErr w:type="gramStart"/>
            <w:r w:rsidR="00F612F3">
              <w:t>e</w:t>
            </w:r>
            <w:r w:rsidRPr="00D116C0">
              <w:t>.g.</w:t>
            </w:r>
            <w:proofErr w:type="gramEnd"/>
            <w:r w:rsidRPr="00D116C0">
              <w:t xml:space="preserve"> Aldrin, Endrin, DDT, </w:t>
            </w:r>
            <w:proofErr w:type="spellStart"/>
            <w:r w:rsidRPr="00D116C0">
              <w:t>Mirex</w:t>
            </w:r>
            <w:proofErr w:type="spellEnd"/>
            <w:r w:rsidRPr="00D116C0">
              <w:t>.</w:t>
            </w:r>
          </w:p>
        </w:tc>
      </w:tr>
      <w:tr w:rsidR="00D1699E" w14:paraId="1BB093B2" w14:textId="77777777" w:rsidTr="0077235E">
        <w:trPr>
          <w:cnfStyle w:val="000000010000" w:firstRow="0" w:lastRow="0" w:firstColumn="0" w:lastColumn="0" w:oddVBand="0" w:evenVBand="0" w:oddHBand="0" w:evenHBand="1" w:firstRowFirstColumn="0" w:firstRowLastColumn="0" w:lastRowFirstColumn="0" w:lastRowLastColumn="0"/>
        </w:trPr>
        <w:tc>
          <w:tcPr>
            <w:tcW w:w="2689" w:type="dxa"/>
            <w:vAlign w:val="center"/>
          </w:tcPr>
          <w:p w14:paraId="2270C2A3" w14:textId="4B5087F8" w:rsidR="00D1699E" w:rsidRPr="00D1699E" w:rsidRDefault="00D1699E" w:rsidP="00476C11">
            <w:pPr>
              <w:spacing w:before="120" w:after="120" w:line="240" w:lineRule="auto"/>
              <w:jc w:val="center"/>
              <w:rPr>
                <w:i/>
                <w:iCs/>
              </w:rPr>
            </w:pPr>
            <w:r w:rsidRPr="00D1699E">
              <w:rPr>
                <w:i/>
                <w:iCs/>
              </w:rPr>
              <w:lastRenderedPageBreak/>
              <w:t>Moisture Content</w:t>
            </w:r>
          </w:p>
        </w:tc>
        <w:tc>
          <w:tcPr>
            <w:tcW w:w="4051" w:type="dxa"/>
            <w:vAlign w:val="center"/>
          </w:tcPr>
          <w:p w14:paraId="5AE7BC2F" w14:textId="6C3AFDF3" w:rsidR="00D1699E" w:rsidRDefault="00036F66" w:rsidP="00476C11">
            <w:pPr>
              <w:spacing w:before="120" w:after="120" w:line="240" w:lineRule="auto"/>
            </w:pPr>
            <w:r>
              <w:t>Less than 3 per cent</w:t>
            </w:r>
          </w:p>
        </w:tc>
        <w:tc>
          <w:tcPr>
            <w:tcW w:w="4051" w:type="dxa"/>
            <w:vAlign w:val="center"/>
          </w:tcPr>
          <w:p w14:paraId="072B302B" w14:textId="138145E6" w:rsidR="00D1699E" w:rsidRDefault="00840F35" w:rsidP="00476C11">
            <w:pPr>
              <w:spacing w:before="120" w:after="120" w:line="240" w:lineRule="auto"/>
            </w:pPr>
            <w:r w:rsidRPr="00840F35">
              <w:t>Not specified</w:t>
            </w:r>
          </w:p>
        </w:tc>
        <w:tc>
          <w:tcPr>
            <w:tcW w:w="4052" w:type="dxa"/>
            <w:vAlign w:val="center"/>
          </w:tcPr>
          <w:p w14:paraId="1EE393FA" w14:textId="60BA8936" w:rsidR="00D1699E" w:rsidRDefault="00840F35" w:rsidP="00476C11">
            <w:pPr>
              <w:spacing w:before="120" w:after="120" w:line="240" w:lineRule="auto"/>
            </w:pPr>
            <w:r w:rsidRPr="00840F35">
              <w:t>Not specified</w:t>
            </w:r>
          </w:p>
        </w:tc>
      </w:tr>
      <w:tr w:rsidR="00D1699E" w14:paraId="2857F600" w14:textId="77777777" w:rsidTr="0077235E">
        <w:trPr>
          <w:cnfStyle w:val="000000100000" w:firstRow="0" w:lastRow="0" w:firstColumn="0" w:lastColumn="0" w:oddVBand="0" w:evenVBand="0" w:oddHBand="1" w:evenHBand="0" w:firstRowFirstColumn="0" w:firstRowLastColumn="0" w:lastRowFirstColumn="0" w:lastRowLastColumn="0"/>
        </w:trPr>
        <w:tc>
          <w:tcPr>
            <w:tcW w:w="2689" w:type="dxa"/>
            <w:vAlign w:val="center"/>
          </w:tcPr>
          <w:p w14:paraId="44F6A55F" w14:textId="709D054F" w:rsidR="00D1699E" w:rsidRPr="00D1699E" w:rsidRDefault="00D1699E" w:rsidP="00B67BC4">
            <w:pPr>
              <w:spacing w:before="60" w:after="60" w:line="240" w:lineRule="auto"/>
              <w:jc w:val="center"/>
              <w:rPr>
                <w:i/>
                <w:iCs/>
              </w:rPr>
            </w:pPr>
            <w:r w:rsidRPr="00D1699E">
              <w:rPr>
                <w:i/>
                <w:iCs/>
              </w:rPr>
              <w:t>Purchase Agreement</w:t>
            </w:r>
          </w:p>
        </w:tc>
        <w:tc>
          <w:tcPr>
            <w:tcW w:w="4051" w:type="dxa"/>
            <w:vAlign w:val="center"/>
          </w:tcPr>
          <w:p w14:paraId="6F126A25" w14:textId="77777777" w:rsidR="00840F35" w:rsidRDefault="00840F35" w:rsidP="00B67BC4">
            <w:pPr>
              <w:spacing w:before="60" w:after="60" w:line="240" w:lineRule="auto"/>
            </w:pPr>
            <w:r w:rsidRPr="00840F35">
              <w:t xml:space="preserve">The following should be specified in the Purchase Agreement: </w:t>
            </w:r>
          </w:p>
          <w:p w14:paraId="15A59FD5" w14:textId="179D76A4" w:rsidR="00840F35" w:rsidRDefault="00840F35" w:rsidP="00B67BC4">
            <w:pPr>
              <w:pStyle w:val="ListParagraph"/>
              <w:numPr>
                <w:ilvl w:val="0"/>
                <w:numId w:val="8"/>
              </w:numPr>
              <w:spacing w:before="60" w:after="60" w:line="240" w:lineRule="auto"/>
              <w:ind w:left="311" w:hanging="284"/>
            </w:pPr>
            <w:r w:rsidRPr="00840F35">
              <w:t xml:space="preserve">Cullet grade: outline accordance with these specifications </w:t>
            </w:r>
          </w:p>
          <w:p w14:paraId="0057FF54" w14:textId="2DF689BB" w:rsidR="00840F35" w:rsidRDefault="00840F35" w:rsidP="00B67BC4">
            <w:pPr>
              <w:pStyle w:val="ListParagraph"/>
              <w:numPr>
                <w:ilvl w:val="0"/>
                <w:numId w:val="8"/>
              </w:numPr>
              <w:spacing w:before="60" w:after="60" w:line="240" w:lineRule="auto"/>
              <w:ind w:left="311" w:hanging="284"/>
            </w:pPr>
            <w:r w:rsidRPr="00840F35">
              <w:t xml:space="preserve">Quantity: tonnes </w:t>
            </w:r>
          </w:p>
          <w:p w14:paraId="32EE6E4D" w14:textId="5A9A9430" w:rsidR="00840F35" w:rsidRDefault="00840F35" w:rsidP="00B67BC4">
            <w:pPr>
              <w:pStyle w:val="ListParagraph"/>
              <w:numPr>
                <w:ilvl w:val="0"/>
                <w:numId w:val="8"/>
              </w:numPr>
              <w:spacing w:before="60" w:after="60" w:line="240" w:lineRule="auto"/>
              <w:ind w:left="311" w:hanging="284"/>
            </w:pPr>
            <w:r w:rsidRPr="00840F35">
              <w:t xml:space="preserve">Packaging: in boxes or in bulk </w:t>
            </w:r>
          </w:p>
          <w:p w14:paraId="247E1C44" w14:textId="1A6CDF6A" w:rsidR="00840F35" w:rsidRDefault="00840F35" w:rsidP="00B67BC4">
            <w:pPr>
              <w:pStyle w:val="ListParagraph"/>
              <w:numPr>
                <w:ilvl w:val="0"/>
                <w:numId w:val="8"/>
              </w:numPr>
              <w:spacing w:before="60" w:after="60" w:line="240" w:lineRule="auto"/>
              <w:ind w:left="311" w:hanging="284"/>
            </w:pPr>
            <w:r w:rsidRPr="00840F35">
              <w:t xml:space="preserve">Price: agreed price ($AUD/tonne or relevant overseas currency and exchange rate payment terms) </w:t>
            </w:r>
          </w:p>
          <w:p w14:paraId="4532FD9C" w14:textId="3682AE2E" w:rsidR="00D1699E" w:rsidRDefault="00840F35" w:rsidP="00B67BC4">
            <w:pPr>
              <w:pStyle w:val="ListParagraph"/>
              <w:numPr>
                <w:ilvl w:val="0"/>
                <w:numId w:val="8"/>
              </w:numPr>
              <w:spacing w:before="60" w:after="60" w:line="240" w:lineRule="auto"/>
              <w:ind w:left="311" w:hanging="284"/>
            </w:pPr>
            <w:r w:rsidRPr="00840F35">
              <w:t>Rejection terms</w:t>
            </w:r>
          </w:p>
        </w:tc>
        <w:tc>
          <w:tcPr>
            <w:tcW w:w="4051" w:type="dxa"/>
            <w:vAlign w:val="center"/>
          </w:tcPr>
          <w:p w14:paraId="0651663A" w14:textId="5F09DFB0" w:rsidR="008B6FD8" w:rsidRDefault="008B6FD8" w:rsidP="00B67BC4">
            <w:pPr>
              <w:spacing w:before="60" w:after="60" w:line="240" w:lineRule="auto"/>
            </w:pPr>
            <w:r>
              <w:t xml:space="preserve">The following should be agreed in </w:t>
            </w:r>
            <w:r w:rsidRPr="008B6FD8">
              <w:t xml:space="preserve">writing: </w:t>
            </w:r>
          </w:p>
          <w:p w14:paraId="6750109E" w14:textId="77777777" w:rsidR="008B6FD8" w:rsidRDefault="008B6FD8" w:rsidP="00B67BC4">
            <w:pPr>
              <w:pStyle w:val="ListParagraph"/>
              <w:numPr>
                <w:ilvl w:val="0"/>
                <w:numId w:val="8"/>
              </w:numPr>
              <w:spacing w:before="60" w:after="60" w:line="240" w:lineRule="auto"/>
              <w:ind w:left="311" w:hanging="284"/>
            </w:pPr>
            <w:r w:rsidRPr="008B6FD8">
              <w:t>Cullet grade: outline accordance with these specifications</w:t>
            </w:r>
          </w:p>
          <w:p w14:paraId="5AFAC1BB" w14:textId="4A220875" w:rsidR="008B6FD8" w:rsidRDefault="008B6FD8" w:rsidP="00B67BC4">
            <w:pPr>
              <w:pStyle w:val="ListParagraph"/>
              <w:numPr>
                <w:ilvl w:val="0"/>
                <w:numId w:val="8"/>
              </w:numPr>
              <w:spacing w:before="60" w:after="60" w:line="240" w:lineRule="auto"/>
              <w:ind w:left="311" w:hanging="284"/>
            </w:pPr>
            <w:r w:rsidRPr="008B6FD8">
              <w:t>Quantity: tonnes or car/truckloads</w:t>
            </w:r>
          </w:p>
          <w:p w14:paraId="452D39AF" w14:textId="42763008" w:rsidR="008B6FD8" w:rsidRDefault="008B6FD8" w:rsidP="00B67BC4">
            <w:pPr>
              <w:pStyle w:val="ListParagraph"/>
              <w:numPr>
                <w:ilvl w:val="0"/>
                <w:numId w:val="8"/>
              </w:numPr>
              <w:spacing w:before="60" w:after="60" w:line="240" w:lineRule="auto"/>
              <w:ind w:left="311" w:hanging="284"/>
            </w:pPr>
            <w:r w:rsidRPr="008B6FD8">
              <w:t>Packaging: in boxes or in bulk</w:t>
            </w:r>
          </w:p>
          <w:p w14:paraId="4233E07E" w14:textId="77777777" w:rsidR="008B6FD8" w:rsidRDefault="008B6FD8" w:rsidP="00B67BC4">
            <w:pPr>
              <w:pStyle w:val="ListParagraph"/>
              <w:numPr>
                <w:ilvl w:val="0"/>
                <w:numId w:val="8"/>
              </w:numPr>
              <w:spacing w:before="60" w:after="60" w:line="240" w:lineRule="auto"/>
              <w:ind w:left="311" w:hanging="284"/>
            </w:pPr>
            <w:r w:rsidRPr="008B6FD8">
              <w:t xml:space="preserve">Price: $USD/2,000 pounds or $USD/hundred weight </w:t>
            </w:r>
          </w:p>
          <w:p w14:paraId="50382A2E" w14:textId="14F50BC7" w:rsidR="00D1699E" w:rsidRDefault="008B6FD8" w:rsidP="00B67BC4">
            <w:pPr>
              <w:pStyle w:val="ListParagraph"/>
              <w:numPr>
                <w:ilvl w:val="0"/>
                <w:numId w:val="8"/>
              </w:numPr>
              <w:spacing w:before="60" w:after="60" w:line="240" w:lineRule="auto"/>
              <w:ind w:left="311" w:hanging="284"/>
            </w:pPr>
            <w:r w:rsidRPr="008B6FD8">
              <w:t>Terms: terms shall be “net cash 30 days after date of shipment” unless otherwise agreed upon</w:t>
            </w:r>
          </w:p>
        </w:tc>
        <w:tc>
          <w:tcPr>
            <w:tcW w:w="4052" w:type="dxa"/>
            <w:vAlign w:val="center"/>
          </w:tcPr>
          <w:p w14:paraId="720114BA" w14:textId="5086147D" w:rsidR="008B5DFA" w:rsidRDefault="008B5DFA" w:rsidP="00B67BC4">
            <w:pPr>
              <w:spacing w:before="60" w:after="60" w:line="240" w:lineRule="auto"/>
            </w:pPr>
            <w:r>
              <w:t xml:space="preserve">The producer must provide a </w:t>
            </w:r>
            <w:r w:rsidRPr="008B5DFA">
              <w:t>statement of conformity with end-of</w:t>
            </w:r>
            <w:r>
              <w:t xml:space="preserve"> </w:t>
            </w:r>
            <w:r w:rsidRPr="008B5DFA">
              <w:t xml:space="preserve">waste criteria: </w:t>
            </w:r>
          </w:p>
          <w:p w14:paraId="0D4223C9" w14:textId="77777777" w:rsidR="008B5DFA" w:rsidRDefault="008B5DFA" w:rsidP="00B67BC4">
            <w:pPr>
              <w:pStyle w:val="ListParagraph"/>
              <w:numPr>
                <w:ilvl w:val="0"/>
                <w:numId w:val="8"/>
              </w:numPr>
              <w:spacing w:before="60" w:after="60" w:line="240" w:lineRule="auto"/>
              <w:ind w:left="311" w:hanging="284"/>
            </w:pPr>
            <w:r w:rsidRPr="008B5DFA">
              <w:t>Name and technical provisions of an industry specification or standard</w:t>
            </w:r>
          </w:p>
          <w:p w14:paraId="6C6156A0" w14:textId="77777777" w:rsidR="008B5DFA" w:rsidRDefault="008B5DFA" w:rsidP="00B67BC4">
            <w:pPr>
              <w:pStyle w:val="ListParagraph"/>
              <w:numPr>
                <w:ilvl w:val="0"/>
                <w:numId w:val="8"/>
              </w:numPr>
              <w:spacing w:before="60" w:after="60" w:line="240" w:lineRule="auto"/>
              <w:ind w:left="311" w:hanging="284"/>
            </w:pPr>
            <w:r w:rsidRPr="008B5DFA">
              <w:t>Cullet grade: outline accordance with the specifications and criteria in this regulation</w:t>
            </w:r>
          </w:p>
          <w:p w14:paraId="29CD6633" w14:textId="77777777" w:rsidR="008B5DFA" w:rsidRDefault="008B5DFA" w:rsidP="00B67BC4">
            <w:pPr>
              <w:pStyle w:val="ListParagraph"/>
              <w:numPr>
                <w:ilvl w:val="0"/>
                <w:numId w:val="8"/>
              </w:numPr>
              <w:spacing w:before="60" w:after="60" w:line="240" w:lineRule="auto"/>
              <w:ind w:left="311" w:hanging="284"/>
            </w:pPr>
            <w:r w:rsidRPr="008B5DFA">
              <w:t xml:space="preserve">Quantity: kilograms </w:t>
            </w:r>
          </w:p>
          <w:p w14:paraId="15B6FEC1" w14:textId="0C91A6CC" w:rsidR="00D1699E" w:rsidRDefault="008B5DFA" w:rsidP="00B67BC4">
            <w:pPr>
              <w:pStyle w:val="ListParagraph"/>
              <w:numPr>
                <w:ilvl w:val="0"/>
                <w:numId w:val="8"/>
              </w:numPr>
              <w:spacing w:before="60" w:after="60" w:line="240" w:lineRule="auto"/>
              <w:ind w:left="311" w:hanging="284"/>
            </w:pPr>
            <w:r w:rsidRPr="008B5DFA">
              <w:t>Management system verified by an accredited conformity assessment body or verifier</w:t>
            </w:r>
          </w:p>
        </w:tc>
      </w:tr>
      <w:tr w:rsidR="00D1699E" w14:paraId="18838A9C" w14:textId="77777777" w:rsidTr="0077235E">
        <w:trPr>
          <w:cnfStyle w:val="000000010000" w:firstRow="0" w:lastRow="0" w:firstColumn="0" w:lastColumn="0" w:oddVBand="0" w:evenVBand="0" w:oddHBand="0" w:evenHBand="1" w:firstRowFirstColumn="0" w:firstRowLastColumn="0" w:lastRowFirstColumn="0" w:lastRowLastColumn="0"/>
        </w:trPr>
        <w:tc>
          <w:tcPr>
            <w:tcW w:w="2689" w:type="dxa"/>
            <w:vAlign w:val="center"/>
          </w:tcPr>
          <w:p w14:paraId="0401F880" w14:textId="10E46000" w:rsidR="00D1699E" w:rsidRPr="00D1699E" w:rsidRDefault="00D1699E" w:rsidP="00B67BC4">
            <w:pPr>
              <w:spacing w:before="60" w:after="60" w:line="240" w:lineRule="auto"/>
              <w:jc w:val="center"/>
              <w:rPr>
                <w:i/>
                <w:iCs/>
              </w:rPr>
            </w:pPr>
            <w:r w:rsidRPr="00D1699E">
              <w:rPr>
                <w:i/>
                <w:iCs/>
              </w:rPr>
              <w:t>Testing and Sampling</w:t>
            </w:r>
          </w:p>
        </w:tc>
        <w:tc>
          <w:tcPr>
            <w:tcW w:w="4051" w:type="dxa"/>
            <w:vAlign w:val="center"/>
          </w:tcPr>
          <w:p w14:paraId="1B1A5FEB" w14:textId="77777777" w:rsidR="00F10B4F" w:rsidRDefault="00F10B4F" w:rsidP="00B67BC4">
            <w:pPr>
              <w:spacing w:before="60" w:after="60" w:line="240" w:lineRule="auto"/>
            </w:pPr>
            <w:r w:rsidRPr="00F10B4F">
              <w:t>Representative 100kg sample testing:</w:t>
            </w:r>
          </w:p>
          <w:p w14:paraId="1D87BDBB" w14:textId="77777777" w:rsidR="00F10B4F" w:rsidRPr="00F10B4F" w:rsidRDefault="00F10B4F" w:rsidP="00B67BC4">
            <w:pPr>
              <w:spacing w:before="60" w:after="60" w:line="240" w:lineRule="auto"/>
              <w:rPr>
                <w:i/>
                <w:iCs/>
              </w:rPr>
            </w:pPr>
            <w:r w:rsidRPr="00F10B4F">
              <w:rPr>
                <w:i/>
                <w:iCs/>
              </w:rPr>
              <w:t>Ceramics and Metals</w:t>
            </w:r>
          </w:p>
          <w:p w14:paraId="6FBD8409" w14:textId="4DBA9C2E" w:rsidR="00F10B4F" w:rsidRDefault="00F10B4F" w:rsidP="00B67BC4">
            <w:pPr>
              <w:pStyle w:val="ListParagraph"/>
              <w:numPr>
                <w:ilvl w:val="0"/>
                <w:numId w:val="8"/>
              </w:numPr>
              <w:spacing w:before="60" w:after="60" w:line="240" w:lineRule="auto"/>
              <w:ind w:left="311" w:hanging="284"/>
            </w:pPr>
            <w:r w:rsidRPr="00F10B4F">
              <w:lastRenderedPageBreak/>
              <w:t xml:space="preserve">100kg to be hand sorted and contaminants removed and weighed </w:t>
            </w:r>
          </w:p>
          <w:p w14:paraId="6DF5C241" w14:textId="02CF8F6A" w:rsidR="00F10B4F" w:rsidRPr="00F10B4F" w:rsidRDefault="00F10B4F" w:rsidP="00B67BC4">
            <w:pPr>
              <w:spacing w:before="60" w:after="60" w:line="240" w:lineRule="auto"/>
              <w:ind w:left="27"/>
              <w:rPr>
                <w:i/>
                <w:iCs/>
              </w:rPr>
            </w:pPr>
            <w:r w:rsidRPr="00F10B4F">
              <w:rPr>
                <w:i/>
                <w:iCs/>
              </w:rPr>
              <w:t>Colour</w:t>
            </w:r>
          </w:p>
          <w:p w14:paraId="5F9CBBF9" w14:textId="77AB6736" w:rsidR="00F10B4F" w:rsidRDefault="00F10B4F" w:rsidP="00B67BC4">
            <w:pPr>
              <w:pStyle w:val="ListParagraph"/>
              <w:numPr>
                <w:ilvl w:val="0"/>
                <w:numId w:val="8"/>
              </w:numPr>
              <w:spacing w:before="60" w:after="60" w:line="240" w:lineRule="auto"/>
              <w:ind w:left="311" w:hanging="284"/>
            </w:pPr>
            <w:r w:rsidRPr="00F10B4F">
              <w:t>5kg to be passed over screen with square holes between 6 and 7mm in size</w:t>
            </w:r>
          </w:p>
          <w:p w14:paraId="6B82B3C2" w14:textId="5C4D2EA4" w:rsidR="00F10B4F" w:rsidRDefault="00F10B4F" w:rsidP="00B67BC4">
            <w:pPr>
              <w:pStyle w:val="ListParagraph"/>
              <w:numPr>
                <w:ilvl w:val="0"/>
                <w:numId w:val="8"/>
              </w:numPr>
              <w:spacing w:before="60" w:after="60" w:line="240" w:lineRule="auto"/>
              <w:ind w:left="311" w:hanging="284"/>
            </w:pPr>
            <w:r w:rsidRPr="00F10B4F">
              <w:t>Flint: 1kg of cullet retained on screen to be removed and hand sorted to determine level of non-flint glass</w:t>
            </w:r>
          </w:p>
          <w:p w14:paraId="4CC5C248" w14:textId="37278B98" w:rsidR="00F10B4F" w:rsidRDefault="00F10B4F" w:rsidP="00B67BC4">
            <w:pPr>
              <w:pStyle w:val="ListParagraph"/>
              <w:numPr>
                <w:ilvl w:val="0"/>
                <w:numId w:val="8"/>
              </w:numPr>
              <w:spacing w:before="60" w:after="60" w:line="240" w:lineRule="auto"/>
              <w:ind w:left="311" w:hanging="284"/>
            </w:pPr>
            <w:r w:rsidRPr="00F10B4F">
              <w:t>Amber: 500g of cullet retained on screen to be removed and hand sorted to determine level of amber glass</w:t>
            </w:r>
          </w:p>
          <w:p w14:paraId="7712DFCA" w14:textId="77777777" w:rsidR="00F10B4F" w:rsidRDefault="00F10B4F" w:rsidP="00B67BC4">
            <w:pPr>
              <w:pStyle w:val="ListParagraph"/>
              <w:numPr>
                <w:ilvl w:val="0"/>
                <w:numId w:val="8"/>
              </w:numPr>
              <w:spacing w:before="60" w:after="60" w:line="240" w:lineRule="auto"/>
              <w:ind w:left="311" w:hanging="284"/>
            </w:pPr>
            <w:r w:rsidRPr="00F10B4F">
              <w:t>Green: 500g of cullet retained on screen to be removed and hand sorted to determine level of green glass</w:t>
            </w:r>
          </w:p>
          <w:p w14:paraId="5AA6ED16" w14:textId="3EEAB7B0" w:rsidR="00D1699E" w:rsidRDefault="00F10B4F" w:rsidP="00B67BC4">
            <w:pPr>
              <w:pStyle w:val="ListParagraph"/>
              <w:numPr>
                <w:ilvl w:val="0"/>
                <w:numId w:val="8"/>
              </w:numPr>
              <w:spacing w:before="60" w:after="60" w:line="240" w:lineRule="auto"/>
              <w:ind w:left="311" w:hanging="284"/>
            </w:pPr>
            <w:r w:rsidRPr="00F10B4F">
              <w:t>Mixed: 500g of cullet retained on screen should be removed and hand sorted to determine the amounts of each glass</w:t>
            </w:r>
          </w:p>
        </w:tc>
        <w:tc>
          <w:tcPr>
            <w:tcW w:w="4051" w:type="dxa"/>
            <w:vAlign w:val="center"/>
          </w:tcPr>
          <w:p w14:paraId="50E253BC" w14:textId="701FB11F" w:rsidR="00D1699E" w:rsidRDefault="00FD5683" w:rsidP="00B67BC4">
            <w:pPr>
              <w:spacing w:before="60" w:after="60" w:line="240" w:lineRule="auto"/>
            </w:pPr>
            <w:r w:rsidRPr="00FD5683">
              <w:lastRenderedPageBreak/>
              <w:t>Not specified</w:t>
            </w:r>
          </w:p>
        </w:tc>
        <w:tc>
          <w:tcPr>
            <w:tcW w:w="4052" w:type="dxa"/>
            <w:vAlign w:val="center"/>
          </w:tcPr>
          <w:p w14:paraId="0B742973" w14:textId="5B43F516" w:rsidR="00FD5683" w:rsidRDefault="00FD5683" w:rsidP="00B67BC4">
            <w:pPr>
              <w:spacing w:before="60" w:after="60" w:line="240" w:lineRule="auto"/>
            </w:pPr>
            <w:r>
              <w:t xml:space="preserve">Qualified staff shall carry out visual inspection of each consignment to verify compliance with the appropriate specification. Further sampling and </w:t>
            </w:r>
            <w:r>
              <w:lastRenderedPageBreak/>
              <w:t>testing shall be taken due to suspicion of possible hazardous properties.</w:t>
            </w:r>
          </w:p>
          <w:p w14:paraId="760F1C2D" w14:textId="36EFC60A" w:rsidR="00FD5683" w:rsidRDefault="00FD5683" w:rsidP="00B67BC4">
            <w:pPr>
              <w:spacing w:before="60" w:after="60" w:line="240" w:lineRule="auto"/>
            </w:pPr>
            <w:r>
              <w:t>Appropriate frequencies of monitoring shall be established for:</w:t>
            </w:r>
          </w:p>
          <w:p w14:paraId="15B33EF9" w14:textId="591E2F72" w:rsidR="00D1699E" w:rsidRDefault="00FD5683" w:rsidP="00B67BC4">
            <w:pPr>
              <w:pStyle w:val="ListParagraph"/>
              <w:numPr>
                <w:ilvl w:val="0"/>
                <w:numId w:val="8"/>
              </w:numPr>
              <w:spacing w:before="60" w:after="60" w:line="240" w:lineRule="auto"/>
              <w:ind w:left="311" w:hanging="284"/>
            </w:pPr>
            <w:r>
              <w:t>Analysing representative samples of glass cullet gravimetrically to measure the total non-glass components</w:t>
            </w:r>
          </w:p>
        </w:tc>
      </w:tr>
    </w:tbl>
    <w:p w14:paraId="3E684A8E" w14:textId="77777777" w:rsidR="00475683" w:rsidRDefault="00475683" w:rsidP="00EB7A8C"/>
    <w:p w14:paraId="64B73535" w14:textId="278D3A23" w:rsidR="00475683" w:rsidRDefault="00475683" w:rsidP="00EB7A8C"/>
    <w:p w14:paraId="07C0AA65" w14:textId="77777777" w:rsidR="00475683" w:rsidRDefault="00475683" w:rsidP="00EB7A8C">
      <w:pPr>
        <w:sectPr w:rsidR="00475683" w:rsidSect="007B395E">
          <w:pgSz w:w="16838" w:h="11906" w:orient="landscape" w:code="9"/>
          <w:pgMar w:top="1418" w:right="1418" w:bottom="1276" w:left="567" w:header="425" w:footer="425" w:gutter="0"/>
          <w:cols w:space="708"/>
          <w:titlePg/>
          <w:docGrid w:linePitch="360"/>
        </w:sectPr>
      </w:pPr>
    </w:p>
    <w:p w14:paraId="1C85C625" w14:textId="2AC27CD7" w:rsidR="007A252C" w:rsidRDefault="00282DED" w:rsidP="007A252C">
      <w:pPr>
        <w:pStyle w:val="Heading3"/>
      </w:pPr>
      <w:bookmarkStart w:id="12" w:name="_Toc54265069"/>
      <w:r>
        <w:lastRenderedPageBreak/>
        <w:t>Non-Furnace Ready Glass Standards</w:t>
      </w:r>
      <w:bookmarkEnd w:id="12"/>
    </w:p>
    <w:p w14:paraId="2DE60D3A" w14:textId="1FED78E2" w:rsidR="00D52FE6" w:rsidRDefault="006003E7" w:rsidP="007A252C">
      <w:r w:rsidRPr="006003E7">
        <w:t>Fines are unsorted glass material typically in the size range 1</w:t>
      </w:r>
      <w:r w:rsidR="00221545">
        <w:t xml:space="preserve"> to </w:t>
      </w:r>
      <w:r w:rsidRPr="006003E7">
        <w:t xml:space="preserve">8mm. Fines can be processed further to produce glass sand (&lt;2mm). Glass sand is suitable for use as a sand replacement in a variety of infrastructure projects including as pipe embedment and other bedding material, water filtration, as aggregate in asphalt and concrete, road base and sub-base, select fill, drainage medium and sand blasting. In Australia, there is no common legislation or regulation outlining specifications for chemicals and contaminants in recycled crushed glass (RCG). Specifications and guidance are inconsistent from project to project and state to state.  </w:t>
      </w:r>
    </w:p>
    <w:p w14:paraId="379E5FFE" w14:textId="579A8552" w:rsidR="00D52FE6" w:rsidRDefault="006003E7" w:rsidP="007A252C">
      <w:r w:rsidRPr="006003E7">
        <w:t>For asphalt, concrete and road infrastructure projects, road authorities in each state in Australia may have their own specifications and guidance documents for the supply of aggregates, such as RCG.</w:t>
      </w:r>
      <w:r w:rsidR="009A0B5B">
        <w:rPr>
          <w:rStyle w:val="FootnoteReference"/>
        </w:rPr>
        <w:footnoteReference w:id="15"/>
      </w:r>
      <w:r w:rsidRPr="006003E7">
        <w:t xml:space="preserve"> For use in roads, glass fines must generally be less than 5mm in size, odourless, </w:t>
      </w:r>
      <w:proofErr w:type="gramStart"/>
      <w:r w:rsidRPr="006003E7">
        <w:t>washed</w:t>
      </w:r>
      <w:proofErr w:type="gramEnd"/>
      <w:r w:rsidRPr="006003E7">
        <w:t xml:space="preserve"> and free of physical contaminants.</w:t>
      </w:r>
      <w:r w:rsidR="00ED54FF">
        <w:rPr>
          <w:rStyle w:val="FootnoteReference"/>
        </w:rPr>
        <w:footnoteReference w:id="16"/>
      </w:r>
      <w:r w:rsidRPr="006003E7">
        <w:t xml:space="preserve"> </w:t>
      </w:r>
    </w:p>
    <w:p w14:paraId="57BB2275" w14:textId="19D0C283" w:rsidR="00381766" w:rsidRDefault="006003E7" w:rsidP="007A252C">
      <w:r w:rsidRPr="006003E7">
        <w:t>In NSW, there are guidelines for the use of RCG in asphalt, requiring RCG to comply with the Transport for NSW Granulated Glass Aggregate 3154 Specification and the Recovered Glass Sand Resource Recovery Order.</w:t>
      </w:r>
      <w:r w:rsidR="00AB1195">
        <w:rPr>
          <w:rStyle w:val="FootnoteReference"/>
        </w:rPr>
        <w:footnoteReference w:id="17"/>
      </w:r>
      <w:r w:rsidRPr="006003E7">
        <w:t xml:space="preserve"> In Victoria, glass fines used in construction projects must meet the specification for its intended use, such as consistent quality and size; have less than 2</w:t>
      </w:r>
      <w:r w:rsidR="00387235">
        <w:t xml:space="preserve"> per cent</w:t>
      </w:r>
      <w:r w:rsidRPr="006003E7">
        <w:t xml:space="preserve"> physical contamination and are below the chemical contamination thresholds set out in the EPA Victoria guidelines for solid industrial waste hazard categorisation and management</w:t>
      </w:r>
      <w:r w:rsidR="00BB7B3D">
        <w:rPr>
          <w:rStyle w:val="FootnoteReference"/>
        </w:rPr>
        <w:footnoteReference w:id="18"/>
      </w:r>
      <w:r w:rsidRPr="006003E7">
        <w:t xml:space="preserve">  </w:t>
      </w:r>
    </w:p>
    <w:p w14:paraId="623B30AB" w14:textId="31221911" w:rsidR="00381766" w:rsidRDefault="006003E7" w:rsidP="007A252C">
      <w:r w:rsidRPr="006003E7">
        <w:t xml:space="preserve">Road infrastructure specifications published by Main Roads Western Australia and the Department of Transport and Main Roads in Queensland require RCG crushing operations to include a shape crushing plant, such as a </w:t>
      </w:r>
      <w:proofErr w:type="spellStart"/>
      <w:r w:rsidRPr="006003E7">
        <w:t>Barmac</w:t>
      </w:r>
      <w:proofErr w:type="spellEnd"/>
      <w:r w:rsidRPr="006003E7">
        <w:t xml:space="preserve"> impactor or equivalent, to achieve the required size and shape (a maximum dimension to minimum dimension ratio of 5:1).</w:t>
      </w:r>
      <w:r w:rsidR="00EF4AC4">
        <w:rPr>
          <w:rStyle w:val="FootnoteReference"/>
        </w:rPr>
        <w:footnoteReference w:id="19"/>
      </w:r>
    </w:p>
    <w:p w14:paraId="37E35365" w14:textId="261AEB6C" w:rsidR="00163AD5" w:rsidRDefault="006003E7" w:rsidP="007A252C">
      <w:r w:rsidRPr="006003E7">
        <w:t xml:space="preserve">For use in other projects, such as filtration and sand blasting, consultation with industry stakeholders revealed there are no standard specifications used in Australia or overseas. Specifications are project specific and are agreed upon with the customer depending on the application of the product and are outlined in the purchase agreement between the buyer and seller. General physical properties of glass sand for both applications include odourless, </w:t>
      </w:r>
      <w:proofErr w:type="gramStart"/>
      <w:r w:rsidRPr="006003E7">
        <w:t>ground</w:t>
      </w:r>
      <w:proofErr w:type="gramEnd"/>
      <w:r w:rsidRPr="006003E7">
        <w:t xml:space="preserve"> and graded glass.</w:t>
      </w:r>
      <w:r w:rsidR="007A4587">
        <w:t xml:space="preserve"> </w:t>
      </w:r>
      <w:r w:rsidR="00381766" w:rsidRPr="00381766">
        <w:t>For pool filtration applications, glass sand sits in a vessel with cracks underneath allowing water to pass through and be filtered. The size of the cracks varies depending on producers of the pool filtration</w:t>
      </w:r>
      <w:r w:rsidR="00917292">
        <w:t xml:space="preserve"> </w:t>
      </w:r>
      <w:r w:rsidR="00917292" w:rsidRPr="00917292">
        <w:t>equipment and therefore so do the customer-driven size specifications.</w:t>
      </w:r>
    </w:p>
    <w:p w14:paraId="71C66633" w14:textId="36C6F693" w:rsidR="0031065C" w:rsidRDefault="0031065C" w:rsidP="0031065C">
      <w:pPr>
        <w:pStyle w:val="Heading3"/>
      </w:pPr>
      <w:bookmarkStart w:id="13" w:name="_Toc54265070"/>
      <w:r>
        <w:lastRenderedPageBreak/>
        <w:t>Machinery and Facilities</w:t>
      </w:r>
      <w:bookmarkEnd w:id="13"/>
    </w:p>
    <w:p w14:paraId="647B2E00" w14:textId="3101E968" w:rsidR="007A4A3F" w:rsidRDefault="00FE1E00" w:rsidP="007A252C">
      <w:r w:rsidRPr="00FE1E00">
        <w:t>The plant and machinery utilised depends on the source of the recycled glass, the type of facility, the scale of operation and the reuse and remanufacturing purposes (</w:t>
      </w:r>
      <w:proofErr w:type="gramStart"/>
      <w:r w:rsidRPr="00FE1E00">
        <w:t>i.e.</w:t>
      </w:r>
      <w:proofErr w:type="gramEnd"/>
      <w:r w:rsidRPr="00FE1E00">
        <w:t xml:space="preserve"> customer specifications). Some MRFs perform glass processing operations or have adjacent facilities. Most MRFs simply separate glass from other recyclable material and send cullet for further processing.</w:t>
      </w:r>
    </w:p>
    <w:p w14:paraId="7FFFCE29" w14:textId="1C755F42" w:rsidR="007A4A3F" w:rsidRDefault="00FE1E00" w:rsidP="007A252C">
      <w:r w:rsidRPr="00FE1E00">
        <w:t xml:space="preserve">Glass sourced from kerbside recycling is the most contaminated and requires the most cleaning to be furnace ready. Therefore, facilities are likely to maximise quantities </w:t>
      </w:r>
      <w:r w:rsidR="007A4A3F">
        <w:t>(</w:t>
      </w:r>
      <w:proofErr w:type="gramStart"/>
      <w:r w:rsidRPr="00FE1E00">
        <w:t>e.g.</w:t>
      </w:r>
      <w:proofErr w:type="gramEnd"/>
      <w:r w:rsidRPr="00FE1E00">
        <w:t xml:space="preserve"> upwards of 20 tonnes of glass per hour</w:t>
      </w:r>
      <w:r w:rsidR="007A4A3F">
        <w:t>)</w:t>
      </w:r>
      <w:r w:rsidRPr="00FE1E00">
        <w:t xml:space="preserve"> to achieve economies of scale.  </w:t>
      </w:r>
    </w:p>
    <w:p w14:paraId="71B8B388" w14:textId="753BEC9F" w:rsidR="0031065C" w:rsidRDefault="007A4A3F" w:rsidP="007A252C">
      <w:r>
        <w:t>P</w:t>
      </w:r>
      <w:r w:rsidR="00FE1E00" w:rsidRPr="00FE1E00">
        <w:t>rocessing at MRFs generally involves breaking glass and sorting for size. Equipment may include loaders, conveyor lines, a glass breaker unit and screening trommels for cullet (&gt;8mm) and fines (&lt;8mm). Beneficiation to produce furnace ready glass involves removing contamination and sorting by colour and equipment may consist of conveyor lines, de-labelling/washing rotary drums, over-band or drum magnets, air separators or wind shifters, vibratory screens, eddy current separators, sizing trommels and optical sorters.</w:t>
      </w:r>
    </w:p>
    <w:p w14:paraId="16F1864D" w14:textId="2C7F98AC" w:rsidR="009260A5" w:rsidRDefault="009260A5" w:rsidP="007A252C">
      <w:r w:rsidRPr="009260A5">
        <w:t>Processing into glass sand also requires size separation, metals separation and crushing equipment such as a glass pulveriser, crusher, such as hammer mills and impact crushers. Washing and drying may also be performed.</w:t>
      </w:r>
    </w:p>
    <w:p w14:paraId="6BB0F4A4" w14:textId="77777777" w:rsidR="00B4584A" w:rsidRDefault="00B4584A" w:rsidP="006A7048">
      <w:pPr>
        <w:pStyle w:val="Heading2"/>
      </w:pPr>
      <w:bookmarkStart w:id="14" w:name="_Toc54265071"/>
      <w:r>
        <w:t>Hazardous Waste Act 1989</w:t>
      </w:r>
      <w:bookmarkEnd w:id="14"/>
    </w:p>
    <w:p w14:paraId="7EA6263E" w14:textId="72D8A7E0" w:rsidR="00B4584A" w:rsidRDefault="00B4584A" w:rsidP="00B4584A">
      <w:r w:rsidRPr="00B77D12">
        <w:t xml:space="preserve">The </w:t>
      </w:r>
      <w:r w:rsidRPr="00B77D12">
        <w:rPr>
          <w:i/>
          <w:iCs/>
        </w:rPr>
        <w:t>Hazardous Waste Act 1989</w:t>
      </w:r>
      <w:r w:rsidRPr="00B77D12">
        <w:t xml:space="preserve"> controls the export of hazardous waste, requiring permits be obtained before hazardous waste is exported or imported. A waste is considered hazardous if it is listed in the </w:t>
      </w:r>
      <w:hyperlink r:id="rId15" w:history="1">
        <w:r w:rsidRPr="00620BB1">
          <w:rPr>
            <w:rStyle w:val="Hyperlink"/>
          </w:rPr>
          <w:t>Basel Convention on the Control of Transboundary Movements of Hazardous Wastes</w:t>
        </w:r>
      </w:hyperlink>
      <w:r w:rsidRPr="00B77D12">
        <w:t xml:space="preserve"> and their Disposal or in the </w:t>
      </w:r>
      <w:r w:rsidR="00490E95" w:rsidRPr="00490E95">
        <w:t xml:space="preserve">Organisation for Economic Co-operation and Development </w:t>
      </w:r>
      <w:r w:rsidR="00490E95">
        <w:t>(</w:t>
      </w:r>
      <w:r w:rsidRPr="00B77D12">
        <w:t>OECD</w:t>
      </w:r>
      <w:r w:rsidR="00490E95">
        <w:t>)</w:t>
      </w:r>
      <w:r w:rsidRPr="00B77D12">
        <w:t xml:space="preserve"> Regulations. Glass waste from cathode ray tube (CRT) is considered hazardous due to the presence of lead at high concentrations. CRT glass is the glass video display component of an electronic device such as an old television.  </w:t>
      </w:r>
    </w:p>
    <w:p w14:paraId="471623AA" w14:textId="77777777" w:rsidR="00B4584A" w:rsidRDefault="00B4584A" w:rsidP="00B4584A">
      <w:r w:rsidRPr="00B77D12">
        <w:t>In 2014-15, crushed, mixed CRT glass made up 3</w:t>
      </w:r>
      <w:r>
        <w:t xml:space="preserve"> per cent</w:t>
      </w:r>
      <w:r w:rsidRPr="00B77D12">
        <w:t xml:space="preserve"> (approximately 1,700 tonnes) of hazardous waste exported out of Australia.</w:t>
      </w:r>
      <w:r>
        <w:rPr>
          <w:rStyle w:val="FootnoteReference"/>
        </w:rPr>
        <w:footnoteReference w:id="20"/>
      </w:r>
      <w:r w:rsidRPr="00B77D12">
        <w:t xml:space="preserve"> Leaded glass was most likely exported to a Korean lead smelter. In 2017-18, CRT glass was not included on the list of exported hazardous wastes and was included as an import (under waste electrical and electronic equipment).  </w:t>
      </w:r>
    </w:p>
    <w:p w14:paraId="5B818543" w14:textId="41729FDC" w:rsidR="00163AD5" w:rsidRDefault="00B4584A" w:rsidP="00C979D2">
      <w:r w:rsidRPr="00B77D12">
        <w:t>Lead waste, including CRT glass, management is dominated by domestic recycling with approximately 85</w:t>
      </w:r>
      <w:r>
        <w:t xml:space="preserve"> per cent</w:t>
      </w:r>
      <w:r w:rsidRPr="00B77D12">
        <w:t xml:space="preserve"> of all D22 (lead) waste being recycled and the presence of significant lead recyclers in NSW and Queensland. CRT glass waste most commonly comes from e-waste recyclers, or from intermediate storage facilities. As waste glass for export is sourced from MRFs and CDS programs, hazardous glass waste is unlikely to be received by Australian exporters. Testing lead is recommended under some industry standards.</w:t>
      </w:r>
    </w:p>
    <w:p w14:paraId="1E9EFE5E" w14:textId="77777777" w:rsidR="007F5AF1" w:rsidRDefault="007F5AF1" w:rsidP="007A252C">
      <w:pPr>
        <w:sectPr w:rsidR="007F5AF1" w:rsidSect="00381766">
          <w:pgSz w:w="11906" w:h="16838" w:code="9"/>
          <w:pgMar w:top="1418" w:right="1276" w:bottom="567" w:left="1418" w:header="425" w:footer="425" w:gutter="0"/>
          <w:cols w:space="708"/>
          <w:titlePg/>
          <w:docGrid w:linePitch="360"/>
        </w:sectPr>
      </w:pPr>
    </w:p>
    <w:tbl>
      <w:tblPr>
        <w:tblStyle w:val="TableGrid"/>
        <w:tblW w:w="0" w:type="auto"/>
        <w:jc w:val="center"/>
        <w:tblLook w:val="04A0" w:firstRow="1" w:lastRow="0" w:firstColumn="1" w:lastColumn="0" w:noHBand="0" w:noVBand="1"/>
      </w:tblPr>
      <w:tblGrid>
        <w:gridCol w:w="1628"/>
        <w:gridCol w:w="1628"/>
        <w:gridCol w:w="1984"/>
        <w:gridCol w:w="3962"/>
      </w:tblGrid>
      <w:tr w:rsidR="00EA1F8B" w14:paraId="1E3C19CA" w14:textId="77777777" w:rsidTr="00D60A82">
        <w:trPr>
          <w:cnfStyle w:val="100000000000" w:firstRow="1" w:lastRow="0" w:firstColumn="0" w:lastColumn="0" w:oddVBand="0" w:evenVBand="0" w:oddHBand="0" w:evenHBand="0" w:firstRowFirstColumn="0" w:firstRowLastColumn="0" w:lastRowFirstColumn="0" w:lastRowLastColumn="0"/>
          <w:tblHeader/>
          <w:jc w:val="center"/>
        </w:trPr>
        <w:tc>
          <w:tcPr>
            <w:tcW w:w="9202" w:type="dxa"/>
            <w:gridSpan w:val="4"/>
            <w:shd w:val="clear" w:color="auto" w:fill="4F81BD" w:themeFill="accent1"/>
          </w:tcPr>
          <w:p w14:paraId="3104BFBA" w14:textId="698B27EE" w:rsidR="00EA1F8B" w:rsidRPr="0013265D" w:rsidRDefault="0013265D" w:rsidP="00EA1F8B">
            <w:pPr>
              <w:spacing w:before="120" w:after="120"/>
              <w:jc w:val="center"/>
              <w:rPr>
                <w:b/>
                <w:bCs/>
              </w:rPr>
            </w:pPr>
            <w:r w:rsidRPr="0013265D">
              <w:rPr>
                <w:b/>
                <w:bCs/>
                <w:color w:val="FFFFFF" w:themeColor="background1"/>
              </w:rPr>
              <w:lastRenderedPageBreak/>
              <w:t>Typical Waste Glass Processing Equipment</w:t>
            </w:r>
          </w:p>
        </w:tc>
      </w:tr>
      <w:tr w:rsidR="005C1A38" w14:paraId="15B4B0C9" w14:textId="77777777" w:rsidTr="00D60A82">
        <w:trPr>
          <w:cnfStyle w:val="100000000000" w:firstRow="1" w:lastRow="0" w:firstColumn="0" w:lastColumn="0" w:oddVBand="0" w:evenVBand="0" w:oddHBand="0" w:evenHBand="0" w:firstRowFirstColumn="0" w:firstRowLastColumn="0" w:lastRowFirstColumn="0" w:lastRowLastColumn="0"/>
          <w:tblHeader/>
          <w:jc w:val="center"/>
        </w:trPr>
        <w:tc>
          <w:tcPr>
            <w:tcW w:w="1628" w:type="dxa"/>
            <w:shd w:val="clear" w:color="auto" w:fill="DBE5F1" w:themeFill="accent1" w:themeFillTint="33"/>
            <w:vAlign w:val="center"/>
          </w:tcPr>
          <w:p w14:paraId="02B61E59" w14:textId="4F4FF700" w:rsidR="005C1A38" w:rsidRPr="00EA1F8B" w:rsidRDefault="00EA1F8B" w:rsidP="00EA1F8B">
            <w:pPr>
              <w:spacing w:before="120" w:after="120"/>
              <w:jc w:val="center"/>
              <w:rPr>
                <w:b/>
                <w:bCs/>
              </w:rPr>
            </w:pPr>
            <w:r w:rsidRPr="00EA1F8B">
              <w:rPr>
                <w:b/>
                <w:bCs/>
              </w:rPr>
              <w:t>Process</w:t>
            </w:r>
          </w:p>
        </w:tc>
        <w:tc>
          <w:tcPr>
            <w:tcW w:w="1628" w:type="dxa"/>
            <w:shd w:val="clear" w:color="auto" w:fill="DBE5F1" w:themeFill="accent1" w:themeFillTint="33"/>
            <w:vAlign w:val="center"/>
          </w:tcPr>
          <w:p w14:paraId="1FB6E625" w14:textId="01C4A869" w:rsidR="005C1A38" w:rsidRPr="00EA1F8B" w:rsidRDefault="00EA1F8B" w:rsidP="00EA1F8B">
            <w:pPr>
              <w:spacing w:before="120" w:after="120"/>
              <w:jc w:val="center"/>
              <w:rPr>
                <w:b/>
                <w:bCs/>
              </w:rPr>
            </w:pPr>
            <w:r w:rsidRPr="00EA1F8B">
              <w:rPr>
                <w:b/>
                <w:bCs/>
              </w:rPr>
              <w:t>Equipment</w:t>
            </w:r>
          </w:p>
        </w:tc>
        <w:tc>
          <w:tcPr>
            <w:tcW w:w="1984" w:type="dxa"/>
            <w:shd w:val="clear" w:color="auto" w:fill="DBE5F1" w:themeFill="accent1" w:themeFillTint="33"/>
            <w:vAlign w:val="center"/>
          </w:tcPr>
          <w:p w14:paraId="46A7DA8E" w14:textId="59242C1B" w:rsidR="005C1A38" w:rsidRPr="00EA1F8B" w:rsidRDefault="00EA1F8B" w:rsidP="0079567E">
            <w:pPr>
              <w:spacing w:before="120" w:after="120"/>
              <w:rPr>
                <w:b/>
                <w:bCs/>
              </w:rPr>
            </w:pPr>
            <w:r w:rsidRPr="00EA1F8B">
              <w:rPr>
                <w:b/>
                <w:bCs/>
              </w:rPr>
              <w:t>Purpose</w:t>
            </w:r>
          </w:p>
        </w:tc>
        <w:tc>
          <w:tcPr>
            <w:tcW w:w="3962" w:type="dxa"/>
            <w:shd w:val="clear" w:color="auto" w:fill="DBE5F1" w:themeFill="accent1" w:themeFillTint="33"/>
            <w:vAlign w:val="center"/>
          </w:tcPr>
          <w:p w14:paraId="30786483" w14:textId="6D49E8EF" w:rsidR="005C1A38" w:rsidRPr="00EA1F8B" w:rsidRDefault="00EA1F8B" w:rsidP="0079567E">
            <w:pPr>
              <w:spacing w:before="120" w:after="120"/>
              <w:rPr>
                <w:b/>
                <w:bCs/>
              </w:rPr>
            </w:pPr>
            <w:r w:rsidRPr="00EA1F8B">
              <w:rPr>
                <w:b/>
                <w:bCs/>
              </w:rPr>
              <w:t>Examples</w:t>
            </w:r>
          </w:p>
        </w:tc>
      </w:tr>
      <w:tr w:rsidR="005C1A38" w14:paraId="7D77E11A" w14:textId="77777777" w:rsidTr="0079567E">
        <w:trPr>
          <w:cnfStyle w:val="000000100000" w:firstRow="0" w:lastRow="0" w:firstColumn="0" w:lastColumn="0" w:oddVBand="0" w:evenVBand="0" w:oddHBand="1" w:evenHBand="0" w:firstRowFirstColumn="0" w:firstRowLastColumn="0" w:lastRowFirstColumn="0" w:lastRowLastColumn="0"/>
          <w:jc w:val="center"/>
        </w:trPr>
        <w:tc>
          <w:tcPr>
            <w:tcW w:w="1628" w:type="dxa"/>
            <w:vAlign w:val="center"/>
          </w:tcPr>
          <w:p w14:paraId="4FEED587" w14:textId="432E2090" w:rsidR="005C1A38" w:rsidRDefault="0013265D" w:rsidP="001D3EA2">
            <w:pPr>
              <w:spacing w:before="120" w:after="120"/>
              <w:jc w:val="center"/>
            </w:pPr>
            <w:r>
              <w:t>General</w:t>
            </w:r>
          </w:p>
        </w:tc>
        <w:tc>
          <w:tcPr>
            <w:tcW w:w="1628" w:type="dxa"/>
            <w:vAlign w:val="center"/>
          </w:tcPr>
          <w:p w14:paraId="188272F6" w14:textId="53A25439" w:rsidR="005C1A38" w:rsidRDefault="0013265D" w:rsidP="001D3EA2">
            <w:pPr>
              <w:spacing w:before="120" w:after="120"/>
              <w:jc w:val="center"/>
            </w:pPr>
            <w:r>
              <w:t>Feed Ho</w:t>
            </w:r>
            <w:r w:rsidR="00C91855">
              <w:t>p</w:t>
            </w:r>
            <w:r>
              <w:t>per</w:t>
            </w:r>
          </w:p>
        </w:tc>
        <w:tc>
          <w:tcPr>
            <w:tcW w:w="1984" w:type="dxa"/>
            <w:vAlign w:val="center"/>
          </w:tcPr>
          <w:p w14:paraId="5F8115D1" w14:textId="5A42C248" w:rsidR="005C1A38" w:rsidRDefault="0013265D" w:rsidP="0079567E">
            <w:pPr>
              <w:spacing w:before="120" w:after="120"/>
            </w:pPr>
            <w:r>
              <w:t>Evenly disperses material onto conveyor lines.</w:t>
            </w:r>
          </w:p>
        </w:tc>
        <w:tc>
          <w:tcPr>
            <w:tcW w:w="3962" w:type="dxa"/>
            <w:vAlign w:val="center"/>
          </w:tcPr>
          <w:p w14:paraId="10E1210B" w14:textId="77777777" w:rsidR="00D60A82" w:rsidRDefault="00AB7FD4" w:rsidP="0079567E">
            <w:pPr>
              <w:spacing w:before="120" w:after="120"/>
            </w:pPr>
            <w:proofErr w:type="spellStart"/>
            <w:r w:rsidRPr="00AB7FD4">
              <w:rPr>
                <w:u w:val="single"/>
              </w:rPr>
              <w:t>Andela</w:t>
            </w:r>
            <w:proofErr w:type="spellEnd"/>
            <w:r w:rsidRPr="00AB7FD4">
              <w:rPr>
                <w:u w:val="single"/>
              </w:rPr>
              <w:t xml:space="preserve"> Metering Surge Hopper Model AMSH86-18FS55:</w:t>
            </w:r>
            <w:r w:rsidRPr="00AB7FD4">
              <w:t xml:space="preserve"> </w:t>
            </w:r>
          </w:p>
          <w:p w14:paraId="57297D6B" w14:textId="345736E1" w:rsidR="00AE001C" w:rsidRDefault="00AB7FD4" w:rsidP="0079567E">
            <w:pPr>
              <w:spacing w:before="120" w:after="120"/>
            </w:pPr>
            <w:r w:rsidRPr="00AB7FD4">
              <w:t>Capacity: 162-189 cubic ft</w:t>
            </w:r>
          </w:p>
          <w:p w14:paraId="143EDD93" w14:textId="77777777" w:rsidR="00AE001C" w:rsidRDefault="00AB7FD4" w:rsidP="0079567E">
            <w:pPr>
              <w:spacing w:before="120" w:after="120"/>
            </w:pPr>
            <w:r w:rsidRPr="00AB7FD4">
              <w:t xml:space="preserve">Length: 125” </w:t>
            </w:r>
          </w:p>
          <w:p w14:paraId="502BDD90" w14:textId="77777777" w:rsidR="00AE001C" w:rsidRDefault="00AB7FD4" w:rsidP="0079567E">
            <w:pPr>
              <w:spacing w:before="120" w:after="120"/>
            </w:pPr>
            <w:r w:rsidRPr="00AB7FD4">
              <w:t xml:space="preserve">Width: 101” </w:t>
            </w:r>
          </w:p>
          <w:p w14:paraId="4E19FB74" w14:textId="77777777" w:rsidR="00AE001C" w:rsidRDefault="00AB7FD4" w:rsidP="0079567E">
            <w:pPr>
              <w:spacing w:before="120" w:after="120"/>
            </w:pPr>
            <w:r w:rsidRPr="00AB7FD4">
              <w:t xml:space="preserve">Height: 111” </w:t>
            </w:r>
          </w:p>
          <w:p w14:paraId="3B2B883F" w14:textId="77777777" w:rsidR="00AE001C" w:rsidRDefault="00AB7FD4" w:rsidP="0079567E">
            <w:pPr>
              <w:spacing w:before="120" w:after="120"/>
            </w:pPr>
            <w:r w:rsidRPr="00AB7FD4">
              <w:t xml:space="preserve">Discharge opening: 18” wide </w:t>
            </w:r>
          </w:p>
          <w:p w14:paraId="534ECA2C" w14:textId="77777777" w:rsidR="00AE001C" w:rsidRDefault="00AB7FD4" w:rsidP="0079567E">
            <w:pPr>
              <w:spacing w:before="120" w:after="120"/>
            </w:pPr>
            <w:r w:rsidRPr="00AB7FD4">
              <w:t xml:space="preserve">Motor size: 3hp </w:t>
            </w:r>
          </w:p>
          <w:p w14:paraId="762ED395" w14:textId="27BD6B87" w:rsidR="005C1A38" w:rsidRDefault="00AB7FD4" w:rsidP="0079567E">
            <w:pPr>
              <w:spacing w:before="120" w:after="120"/>
            </w:pPr>
            <w:r w:rsidRPr="00AB7FD4">
              <w:t xml:space="preserve">Motor voltage: 230/460 VAC, 60Hz, 3 </w:t>
            </w:r>
            <w:proofErr w:type="gramStart"/>
            <w:r w:rsidRPr="00AB7FD4">
              <w:t>phase</w:t>
            </w:r>
            <w:proofErr w:type="gramEnd"/>
            <w:r w:rsidRPr="00AB7FD4">
              <w:t xml:space="preserve"> (customer specifications)  </w:t>
            </w:r>
          </w:p>
        </w:tc>
      </w:tr>
      <w:tr w:rsidR="005C1A38" w14:paraId="072C26E8" w14:textId="77777777" w:rsidTr="0079567E">
        <w:trPr>
          <w:cnfStyle w:val="000000010000" w:firstRow="0" w:lastRow="0" w:firstColumn="0" w:lastColumn="0" w:oddVBand="0" w:evenVBand="0" w:oddHBand="0" w:evenHBand="1" w:firstRowFirstColumn="0" w:firstRowLastColumn="0" w:lastRowFirstColumn="0" w:lastRowLastColumn="0"/>
          <w:jc w:val="center"/>
        </w:trPr>
        <w:tc>
          <w:tcPr>
            <w:tcW w:w="1628" w:type="dxa"/>
            <w:vAlign w:val="center"/>
          </w:tcPr>
          <w:p w14:paraId="7B03AAE3" w14:textId="5C1C8E68" w:rsidR="005C1A38" w:rsidRDefault="003834BD" w:rsidP="001D3EA2">
            <w:pPr>
              <w:spacing w:before="120" w:after="120"/>
              <w:jc w:val="center"/>
            </w:pPr>
            <w:r w:rsidRPr="003834BD">
              <w:t>General</w:t>
            </w:r>
          </w:p>
        </w:tc>
        <w:tc>
          <w:tcPr>
            <w:tcW w:w="1628" w:type="dxa"/>
            <w:vAlign w:val="center"/>
          </w:tcPr>
          <w:p w14:paraId="56BFBDD3" w14:textId="400ACFF2" w:rsidR="005C1A38" w:rsidRDefault="00435F17" w:rsidP="001D3EA2">
            <w:pPr>
              <w:spacing w:before="120" w:after="120"/>
              <w:jc w:val="center"/>
            </w:pPr>
            <w:r w:rsidRPr="00435F17">
              <w:t>Conveyor lines</w:t>
            </w:r>
          </w:p>
        </w:tc>
        <w:tc>
          <w:tcPr>
            <w:tcW w:w="1984" w:type="dxa"/>
            <w:vAlign w:val="center"/>
          </w:tcPr>
          <w:p w14:paraId="14E22F22" w14:textId="0A2EB2BF" w:rsidR="005C1A38" w:rsidRDefault="00435F17" w:rsidP="0079567E">
            <w:pPr>
              <w:spacing w:before="120" w:after="120"/>
            </w:pPr>
            <w:r w:rsidRPr="00435F17">
              <w:t>Conveys material around the facility for sorting and processing.</w:t>
            </w:r>
          </w:p>
        </w:tc>
        <w:tc>
          <w:tcPr>
            <w:tcW w:w="3962" w:type="dxa"/>
            <w:vAlign w:val="center"/>
          </w:tcPr>
          <w:p w14:paraId="3784C0B5" w14:textId="3D59AD39" w:rsidR="003036CE" w:rsidRDefault="00435F17" w:rsidP="0079567E">
            <w:pPr>
              <w:spacing w:before="120" w:after="120"/>
            </w:pPr>
            <w:r>
              <w:t xml:space="preserve">Conveyor line </w:t>
            </w:r>
            <w:r w:rsidRPr="00435F17">
              <w:t xml:space="preserve">systems can be engineered to meet the width and length requirements of the </w:t>
            </w:r>
            <w:r w:rsidR="00D60A82">
              <w:t>customer.</w:t>
            </w:r>
            <w:r w:rsidRPr="00435F17">
              <w:t xml:space="preserve">  </w:t>
            </w:r>
          </w:p>
          <w:p w14:paraId="689CE72E" w14:textId="77777777" w:rsidR="003036CE" w:rsidRPr="003036CE" w:rsidRDefault="00435F17" w:rsidP="0079567E">
            <w:pPr>
              <w:spacing w:before="120" w:after="120"/>
              <w:rPr>
                <w:u w:val="single"/>
              </w:rPr>
            </w:pPr>
            <w:proofErr w:type="spellStart"/>
            <w:r w:rsidRPr="003036CE">
              <w:rPr>
                <w:u w:val="single"/>
              </w:rPr>
              <w:t>Andela</w:t>
            </w:r>
            <w:proofErr w:type="spellEnd"/>
            <w:r w:rsidRPr="003036CE">
              <w:rPr>
                <w:u w:val="single"/>
              </w:rPr>
              <w:t xml:space="preserve"> System Conveyors: </w:t>
            </w:r>
          </w:p>
          <w:p w14:paraId="04081AEE" w14:textId="77777777" w:rsidR="00B475EA" w:rsidRDefault="00435F17" w:rsidP="0079567E">
            <w:pPr>
              <w:spacing w:before="120" w:after="120"/>
            </w:pPr>
            <w:r w:rsidRPr="00435F17">
              <w:t xml:space="preserve">Width options: 18”, 24”, 30”, 36” </w:t>
            </w:r>
          </w:p>
          <w:p w14:paraId="34D939E4" w14:textId="51D218A4" w:rsidR="003036CE" w:rsidRDefault="00435F17" w:rsidP="0079567E">
            <w:pPr>
              <w:spacing w:before="120" w:after="120"/>
            </w:pPr>
            <w:r w:rsidRPr="00435F17">
              <w:t xml:space="preserve">Belt options: smooth, chevron, cleated </w:t>
            </w:r>
          </w:p>
          <w:p w14:paraId="5AD76265" w14:textId="77777777" w:rsidR="003036CE" w:rsidRDefault="00435F17" w:rsidP="0079567E">
            <w:pPr>
              <w:spacing w:before="120" w:after="120"/>
            </w:pPr>
            <w:r w:rsidRPr="00435F17">
              <w:t xml:space="preserve">AMPS: ~46 </w:t>
            </w:r>
          </w:p>
          <w:p w14:paraId="7E4CA1DB" w14:textId="77777777" w:rsidR="009F5ADB" w:rsidRDefault="00435F17" w:rsidP="0079567E">
            <w:pPr>
              <w:spacing w:before="120" w:after="120"/>
            </w:pPr>
            <w:r w:rsidRPr="00435F17">
              <w:t xml:space="preserve">KW: ~25 </w:t>
            </w:r>
          </w:p>
          <w:p w14:paraId="0638C52B" w14:textId="56A7CC12" w:rsidR="005C1A38" w:rsidRDefault="00435F17" w:rsidP="0079567E">
            <w:pPr>
              <w:spacing w:before="120" w:after="120"/>
            </w:pPr>
            <w:r w:rsidRPr="00435F17">
              <w:t>Drive system: 3-phase motor and gear reducer, direct drive</w:t>
            </w:r>
          </w:p>
          <w:p w14:paraId="663EEBB9" w14:textId="77777777" w:rsidR="009F5ADB" w:rsidRDefault="00AE001C" w:rsidP="0079567E">
            <w:pPr>
              <w:spacing w:before="120" w:after="120"/>
            </w:pPr>
            <w:r w:rsidRPr="00AE001C">
              <w:t xml:space="preserve">Head pulley: 10” head pulley </w:t>
            </w:r>
          </w:p>
          <w:p w14:paraId="4436D8E8" w14:textId="23C561A0" w:rsidR="00AE001C" w:rsidRDefault="00AE001C" w:rsidP="0079567E">
            <w:pPr>
              <w:spacing w:before="120" w:after="120"/>
            </w:pPr>
            <w:r w:rsidRPr="00AE001C">
              <w:t xml:space="preserve">Tail pulley: 10” </w:t>
            </w:r>
            <w:proofErr w:type="spellStart"/>
            <w:r w:rsidRPr="00AE001C">
              <w:t>self cleaning</w:t>
            </w:r>
            <w:proofErr w:type="spellEnd"/>
            <w:r w:rsidRPr="00AE001C">
              <w:t xml:space="preserve"> tail pulle</w:t>
            </w:r>
            <w:r w:rsidR="009F5ADB">
              <w:t>y</w:t>
            </w:r>
          </w:p>
        </w:tc>
      </w:tr>
      <w:tr w:rsidR="005C1A38" w14:paraId="22F7BED3" w14:textId="77777777" w:rsidTr="00B475EA">
        <w:trPr>
          <w:cnfStyle w:val="000000100000" w:firstRow="0" w:lastRow="0" w:firstColumn="0" w:lastColumn="0" w:oddVBand="0" w:evenVBand="0" w:oddHBand="1" w:evenHBand="0" w:firstRowFirstColumn="0" w:firstRowLastColumn="0" w:lastRowFirstColumn="0" w:lastRowLastColumn="0"/>
          <w:jc w:val="center"/>
        </w:trPr>
        <w:tc>
          <w:tcPr>
            <w:tcW w:w="1628" w:type="dxa"/>
            <w:vAlign w:val="center"/>
          </w:tcPr>
          <w:p w14:paraId="43DD57F7" w14:textId="7B184493" w:rsidR="005C1A38" w:rsidRDefault="00D00152" w:rsidP="00B475EA">
            <w:pPr>
              <w:spacing w:before="120" w:after="120"/>
              <w:jc w:val="center"/>
            </w:pPr>
            <w:r>
              <w:t>Glass Breaking</w:t>
            </w:r>
          </w:p>
        </w:tc>
        <w:tc>
          <w:tcPr>
            <w:tcW w:w="1628" w:type="dxa"/>
            <w:vAlign w:val="center"/>
          </w:tcPr>
          <w:p w14:paraId="1D8475BA" w14:textId="2AF9F9FB" w:rsidR="005C1A38" w:rsidRDefault="00D00152" w:rsidP="00B475EA">
            <w:pPr>
              <w:spacing w:before="120" w:after="120"/>
              <w:jc w:val="center"/>
            </w:pPr>
            <w:r>
              <w:t>Glass Breaker Screen</w:t>
            </w:r>
          </w:p>
        </w:tc>
        <w:tc>
          <w:tcPr>
            <w:tcW w:w="1984" w:type="dxa"/>
            <w:vAlign w:val="center"/>
          </w:tcPr>
          <w:p w14:paraId="7DA50F9F" w14:textId="72A999D0" w:rsidR="005C1A38" w:rsidRDefault="00D00152" w:rsidP="0079567E">
            <w:pPr>
              <w:spacing w:before="120" w:after="120"/>
            </w:pPr>
            <w:r w:rsidRPr="00D00152">
              <w:t xml:space="preserve">Steel discs break and separate glass from mixed recyclables at </w:t>
            </w:r>
            <w:proofErr w:type="gramStart"/>
            <w:r w:rsidRPr="00D00152">
              <w:t>a</w:t>
            </w:r>
            <w:proofErr w:type="gramEnd"/>
            <w:r w:rsidRPr="00D00152">
              <w:t xml:space="preserve"> MRF. The broken glass falls through the screen while other material passes on top. </w:t>
            </w:r>
          </w:p>
        </w:tc>
        <w:tc>
          <w:tcPr>
            <w:tcW w:w="3962" w:type="dxa"/>
            <w:vAlign w:val="center"/>
          </w:tcPr>
          <w:p w14:paraId="3CFE80FA" w14:textId="77777777" w:rsidR="0079567E" w:rsidRPr="0079567E" w:rsidRDefault="0079567E" w:rsidP="0079567E">
            <w:pPr>
              <w:spacing w:before="120" w:after="120"/>
              <w:rPr>
                <w:u w:val="single"/>
              </w:rPr>
            </w:pPr>
            <w:r w:rsidRPr="0079567E">
              <w:rPr>
                <w:u w:val="single"/>
              </w:rPr>
              <w:t>Glass Breaker Screen (general):</w:t>
            </w:r>
          </w:p>
          <w:p w14:paraId="12F8B35E" w14:textId="77777777" w:rsidR="0079567E" w:rsidRDefault="0079567E" w:rsidP="0079567E">
            <w:pPr>
              <w:spacing w:before="120" w:after="120"/>
            </w:pPr>
            <w:r w:rsidRPr="0079567E">
              <w:t xml:space="preserve">Screen width: 1220mm </w:t>
            </w:r>
          </w:p>
          <w:p w14:paraId="7B01E8BA" w14:textId="77777777" w:rsidR="0079567E" w:rsidRDefault="0079567E" w:rsidP="0079567E">
            <w:pPr>
              <w:spacing w:before="120" w:after="120"/>
            </w:pPr>
            <w:r w:rsidRPr="0079567E">
              <w:t xml:space="preserve">Screen length: 3725mm </w:t>
            </w:r>
          </w:p>
          <w:p w14:paraId="1D57FA87" w14:textId="77777777" w:rsidR="0079567E" w:rsidRDefault="0079567E" w:rsidP="0079567E">
            <w:pPr>
              <w:spacing w:before="120" w:after="120"/>
            </w:pPr>
            <w:r w:rsidRPr="0079567E">
              <w:t xml:space="preserve">Capacity: 30t/h </w:t>
            </w:r>
          </w:p>
          <w:p w14:paraId="5D07E060" w14:textId="77777777" w:rsidR="0079567E" w:rsidRDefault="0079567E" w:rsidP="0079567E">
            <w:pPr>
              <w:spacing w:before="120" w:after="120"/>
            </w:pPr>
            <w:r w:rsidRPr="0079567E">
              <w:t xml:space="preserve">Approx. cost: $250,000 </w:t>
            </w:r>
          </w:p>
          <w:p w14:paraId="04D3FCB3" w14:textId="77777777" w:rsidR="0079567E" w:rsidRPr="0079567E" w:rsidRDefault="0079567E" w:rsidP="0079567E">
            <w:pPr>
              <w:spacing w:before="120" w:after="120"/>
              <w:rPr>
                <w:u w:val="single"/>
              </w:rPr>
            </w:pPr>
            <w:proofErr w:type="spellStart"/>
            <w:r w:rsidRPr="0079567E">
              <w:rPr>
                <w:u w:val="single"/>
              </w:rPr>
              <w:t>Andela</w:t>
            </w:r>
            <w:proofErr w:type="spellEnd"/>
            <w:r w:rsidRPr="0079567E">
              <w:rPr>
                <w:u w:val="single"/>
              </w:rPr>
              <w:t xml:space="preserve"> Glass Breaker AGB-3HD: </w:t>
            </w:r>
          </w:p>
          <w:p w14:paraId="27A5BBF9" w14:textId="77777777" w:rsidR="0079567E" w:rsidRDefault="0079567E" w:rsidP="0079567E">
            <w:pPr>
              <w:spacing w:before="120" w:after="120"/>
            </w:pPr>
            <w:r w:rsidRPr="0079567E">
              <w:t xml:space="preserve">Capacity: 30t/hr </w:t>
            </w:r>
          </w:p>
          <w:p w14:paraId="6F35305B" w14:textId="77777777" w:rsidR="0079567E" w:rsidRDefault="0079567E" w:rsidP="0079567E">
            <w:pPr>
              <w:spacing w:before="120" w:after="120"/>
            </w:pPr>
            <w:r w:rsidRPr="0079567E">
              <w:t xml:space="preserve">Length: 92”  </w:t>
            </w:r>
          </w:p>
          <w:p w14:paraId="4D5F60B4" w14:textId="77777777" w:rsidR="0079567E" w:rsidRDefault="0079567E" w:rsidP="0079567E">
            <w:pPr>
              <w:spacing w:before="120" w:after="120"/>
            </w:pPr>
            <w:r w:rsidRPr="0079567E">
              <w:t xml:space="preserve">Width: 66”  </w:t>
            </w:r>
          </w:p>
          <w:p w14:paraId="2D6ABB8B" w14:textId="77777777" w:rsidR="0079567E" w:rsidRDefault="0079567E" w:rsidP="0079567E">
            <w:pPr>
              <w:spacing w:before="120" w:after="120"/>
            </w:pPr>
            <w:r w:rsidRPr="0079567E">
              <w:t xml:space="preserve">Motor size: 25 hp </w:t>
            </w:r>
          </w:p>
          <w:p w14:paraId="405549A9" w14:textId="5F0DBF24" w:rsidR="005C1A38" w:rsidRDefault="0079567E" w:rsidP="0079567E">
            <w:pPr>
              <w:spacing w:before="120" w:after="120"/>
            </w:pPr>
            <w:r w:rsidRPr="0079567E">
              <w:t>No. of hammers: 32</w:t>
            </w:r>
          </w:p>
        </w:tc>
      </w:tr>
      <w:tr w:rsidR="005C1A38" w14:paraId="0773EED6" w14:textId="77777777" w:rsidTr="000373D8">
        <w:trPr>
          <w:cnfStyle w:val="000000010000" w:firstRow="0" w:lastRow="0" w:firstColumn="0" w:lastColumn="0" w:oddVBand="0" w:evenVBand="0" w:oddHBand="0" w:evenHBand="1" w:firstRowFirstColumn="0" w:firstRowLastColumn="0" w:lastRowFirstColumn="0" w:lastRowLastColumn="0"/>
          <w:jc w:val="center"/>
        </w:trPr>
        <w:tc>
          <w:tcPr>
            <w:tcW w:w="1628" w:type="dxa"/>
            <w:vAlign w:val="center"/>
          </w:tcPr>
          <w:p w14:paraId="156063BF" w14:textId="59F85B0D" w:rsidR="005C1A38" w:rsidRDefault="00D60A82" w:rsidP="000373D8">
            <w:pPr>
              <w:spacing w:before="120" w:after="120"/>
              <w:jc w:val="center"/>
            </w:pPr>
            <w:r>
              <w:lastRenderedPageBreak/>
              <w:t>Size Screening</w:t>
            </w:r>
          </w:p>
        </w:tc>
        <w:tc>
          <w:tcPr>
            <w:tcW w:w="1628" w:type="dxa"/>
            <w:vAlign w:val="center"/>
          </w:tcPr>
          <w:p w14:paraId="2DDF479E" w14:textId="0EC2A34E" w:rsidR="005C1A38" w:rsidRDefault="002C69A5" w:rsidP="000373D8">
            <w:pPr>
              <w:spacing w:before="120" w:after="120"/>
              <w:jc w:val="center"/>
            </w:pPr>
            <w:r>
              <w:t>Trommel</w:t>
            </w:r>
            <w:r w:rsidR="00D60A82">
              <w:t xml:space="preserve"> Screen</w:t>
            </w:r>
          </w:p>
        </w:tc>
        <w:tc>
          <w:tcPr>
            <w:tcW w:w="1984" w:type="dxa"/>
            <w:vAlign w:val="center"/>
          </w:tcPr>
          <w:p w14:paraId="69CB38D6" w14:textId="44F4525B" w:rsidR="005C1A38" w:rsidRDefault="00486664" w:rsidP="000373D8">
            <w:pPr>
              <w:spacing w:before="120" w:after="120"/>
            </w:pPr>
            <w:r w:rsidRPr="00486664">
              <w:t>Cylindrical drum screen operates at an angle to separate material by size. Undersized material passes through the screen while oversized material exits at the end of the drum.</w:t>
            </w:r>
          </w:p>
        </w:tc>
        <w:tc>
          <w:tcPr>
            <w:tcW w:w="3962" w:type="dxa"/>
            <w:vAlign w:val="center"/>
          </w:tcPr>
          <w:p w14:paraId="31B07913" w14:textId="2556FA4C" w:rsidR="00486664" w:rsidRPr="00486664" w:rsidRDefault="00486664" w:rsidP="000373D8">
            <w:pPr>
              <w:spacing w:before="120" w:after="120"/>
              <w:rPr>
                <w:u w:val="single"/>
              </w:rPr>
            </w:pPr>
            <w:proofErr w:type="spellStart"/>
            <w:r>
              <w:rPr>
                <w:u w:val="single"/>
              </w:rPr>
              <w:t>Andela</w:t>
            </w:r>
            <w:proofErr w:type="spellEnd"/>
            <w:r>
              <w:rPr>
                <w:u w:val="single"/>
              </w:rPr>
              <w:t xml:space="preserve"> Trommel Separator, Model ATROM-104:</w:t>
            </w:r>
          </w:p>
          <w:p w14:paraId="184132B0" w14:textId="77777777" w:rsidR="00486664" w:rsidRDefault="00486664" w:rsidP="000373D8">
            <w:pPr>
              <w:spacing w:before="120" w:after="120"/>
            </w:pPr>
            <w:r w:rsidRPr="00486664">
              <w:t xml:space="preserve">Length: approx.16ft </w:t>
            </w:r>
          </w:p>
          <w:p w14:paraId="41013442" w14:textId="77777777" w:rsidR="00486664" w:rsidRDefault="00486664" w:rsidP="000373D8">
            <w:pPr>
              <w:spacing w:before="120" w:after="120"/>
            </w:pPr>
            <w:r w:rsidRPr="00486664">
              <w:t xml:space="preserve">Width: approx. 6ft </w:t>
            </w:r>
          </w:p>
          <w:p w14:paraId="0962DCAA" w14:textId="77777777" w:rsidR="00486664" w:rsidRDefault="00486664" w:rsidP="000373D8">
            <w:pPr>
              <w:spacing w:before="120" w:after="120"/>
            </w:pPr>
            <w:r w:rsidRPr="00486664">
              <w:t xml:space="preserve">Barrel diameter and length: 48” x 11ft </w:t>
            </w:r>
          </w:p>
          <w:p w14:paraId="2364B0AF" w14:textId="77777777" w:rsidR="00486664" w:rsidRDefault="00486664" w:rsidP="000373D8">
            <w:pPr>
              <w:spacing w:before="120" w:after="120"/>
            </w:pPr>
            <w:r w:rsidRPr="00486664">
              <w:t xml:space="preserve">Motor size: 5hp </w:t>
            </w:r>
          </w:p>
          <w:p w14:paraId="34504BAD" w14:textId="30B824B3" w:rsidR="005C1A38" w:rsidRDefault="00486664" w:rsidP="000373D8">
            <w:pPr>
              <w:spacing w:before="120" w:after="120"/>
            </w:pPr>
            <w:r w:rsidRPr="00486664">
              <w:t>Motor Voltage: 230/460 VAC, 60Hz, 3 Phase.</w:t>
            </w:r>
          </w:p>
        </w:tc>
      </w:tr>
      <w:tr w:rsidR="005C1A38" w14:paraId="43BCC27A" w14:textId="77777777" w:rsidTr="002C69A5">
        <w:trPr>
          <w:cnfStyle w:val="000000100000" w:firstRow="0" w:lastRow="0" w:firstColumn="0" w:lastColumn="0" w:oddVBand="0" w:evenVBand="0" w:oddHBand="1" w:evenHBand="0" w:firstRowFirstColumn="0" w:firstRowLastColumn="0" w:lastRowFirstColumn="0" w:lastRowLastColumn="0"/>
          <w:jc w:val="center"/>
        </w:trPr>
        <w:tc>
          <w:tcPr>
            <w:tcW w:w="1628" w:type="dxa"/>
            <w:vAlign w:val="center"/>
          </w:tcPr>
          <w:p w14:paraId="059E4A0F" w14:textId="0DD13925" w:rsidR="005C1A38" w:rsidRDefault="002C69A5" w:rsidP="002C69A5">
            <w:pPr>
              <w:spacing w:before="120" w:after="120"/>
              <w:jc w:val="center"/>
            </w:pPr>
            <w:r>
              <w:t>Size Screening</w:t>
            </w:r>
          </w:p>
        </w:tc>
        <w:tc>
          <w:tcPr>
            <w:tcW w:w="1628" w:type="dxa"/>
            <w:vAlign w:val="center"/>
          </w:tcPr>
          <w:p w14:paraId="248BCB69" w14:textId="7402D195" w:rsidR="005C1A38" w:rsidRDefault="002C69A5" w:rsidP="002C69A5">
            <w:pPr>
              <w:spacing w:before="120" w:after="120"/>
              <w:jc w:val="center"/>
            </w:pPr>
            <w:r>
              <w:t>Vibratory Screen</w:t>
            </w:r>
          </w:p>
        </w:tc>
        <w:tc>
          <w:tcPr>
            <w:tcW w:w="1984" w:type="dxa"/>
            <w:vAlign w:val="center"/>
          </w:tcPr>
          <w:p w14:paraId="22074A32" w14:textId="34647A04" w:rsidR="005C1A38" w:rsidRDefault="002C69A5" w:rsidP="002C69A5">
            <w:pPr>
              <w:spacing w:before="120" w:after="120"/>
            </w:pPr>
            <w:r w:rsidRPr="002C69A5">
              <w:t xml:space="preserve">Vibratory motion stratifies material and separates based on size. Larger sized material </w:t>
            </w:r>
            <w:proofErr w:type="gramStart"/>
            <w:r w:rsidRPr="002C69A5">
              <w:t>rise</w:t>
            </w:r>
            <w:proofErr w:type="gramEnd"/>
            <w:r w:rsidRPr="002C69A5">
              <w:t xml:space="preserve"> to the top of the bed while smaller particles fall through the screen. Multi-deck screens can separate the pieces into specified particle sizes.</w:t>
            </w:r>
          </w:p>
        </w:tc>
        <w:tc>
          <w:tcPr>
            <w:tcW w:w="3962" w:type="dxa"/>
          </w:tcPr>
          <w:p w14:paraId="68AFE03F" w14:textId="77777777" w:rsidR="006A0EC1" w:rsidRPr="00396027" w:rsidRDefault="006A0EC1" w:rsidP="005C1A38">
            <w:pPr>
              <w:spacing w:before="120" w:after="120"/>
              <w:rPr>
                <w:u w:val="single"/>
              </w:rPr>
            </w:pPr>
            <w:r w:rsidRPr="00396027">
              <w:rPr>
                <w:u w:val="single"/>
              </w:rPr>
              <w:t xml:space="preserve">Vibratory Screen (general):  </w:t>
            </w:r>
          </w:p>
          <w:p w14:paraId="70044194" w14:textId="77777777" w:rsidR="006A0EC1" w:rsidRDefault="006A0EC1" w:rsidP="005C1A38">
            <w:pPr>
              <w:spacing w:before="120" w:after="120"/>
            </w:pPr>
            <w:r w:rsidRPr="006A0EC1">
              <w:t xml:space="preserve">Approx. cost: $65,000-220,000  </w:t>
            </w:r>
          </w:p>
          <w:p w14:paraId="447A2F2C" w14:textId="77777777" w:rsidR="006A0EC1" w:rsidRDefault="006A0EC1" w:rsidP="005C1A38">
            <w:pPr>
              <w:spacing w:before="120" w:after="120"/>
            </w:pPr>
            <w:r w:rsidRPr="006A0EC1">
              <w:t xml:space="preserve">Screen width: 850-1300mm </w:t>
            </w:r>
          </w:p>
          <w:p w14:paraId="5B264108" w14:textId="77777777" w:rsidR="006A0EC1" w:rsidRDefault="006A0EC1" w:rsidP="005C1A38">
            <w:pPr>
              <w:spacing w:before="120" w:after="120"/>
            </w:pPr>
            <w:r w:rsidRPr="006A0EC1">
              <w:t xml:space="preserve">Screen length: 1500-5000mm </w:t>
            </w:r>
          </w:p>
          <w:p w14:paraId="57E01EB5" w14:textId="77777777" w:rsidR="006A0EC1" w:rsidRDefault="006A0EC1" w:rsidP="005C1A38">
            <w:pPr>
              <w:spacing w:before="120" w:after="120"/>
            </w:pPr>
            <w:r w:rsidRPr="006A0EC1">
              <w:t xml:space="preserve">IFE waste screen single deck SM FUW3057: </w:t>
            </w:r>
          </w:p>
          <w:p w14:paraId="3ECDDB1D" w14:textId="77777777" w:rsidR="006A0EC1" w:rsidRDefault="006A0EC1" w:rsidP="005C1A38">
            <w:pPr>
              <w:spacing w:before="120" w:after="120"/>
            </w:pPr>
            <w:r w:rsidRPr="006A0EC1">
              <w:t xml:space="preserve">Width: 2000 </w:t>
            </w:r>
          </w:p>
          <w:p w14:paraId="2F103AC9" w14:textId="77777777" w:rsidR="006A0EC1" w:rsidRDefault="006A0EC1" w:rsidP="005C1A38">
            <w:pPr>
              <w:spacing w:before="120" w:after="120"/>
            </w:pPr>
            <w:r w:rsidRPr="006A0EC1">
              <w:t xml:space="preserve">Length: 7000m </w:t>
            </w:r>
          </w:p>
          <w:p w14:paraId="0CB62BD8" w14:textId="7A5BCE8F" w:rsidR="005C1A38" w:rsidRDefault="006A0EC1" w:rsidP="005C1A38">
            <w:pPr>
              <w:spacing w:before="120" w:after="120"/>
            </w:pPr>
            <w:r w:rsidRPr="006A0EC1">
              <w:t>Motor: 22kW Output power: 100-290m3/h</w:t>
            </w:r>
          </w:p>
        </w:tc>
      </w:tr>
      <w:tr w:rsidR="005C1A38" w14:paraId="08F2A528" w14:textId="77777777" w:rsidTr="00D21201">
        <w:trPr>
          <w:cnfStyle w:val="000000010000" w:firstRow="0" w:lastRow="0" w:firstColumn="0" w:lastColumn="0" w:oddVBand="0" w:evenVBand="0" w:oddHBand="0" w:evenHBand="1" w:firstRowFirstColumn="0" w:firstRowLastColumn="0" w:lastRowFirstColumn="0" w:lastRowLastColumn="0"/>
          <w:jc w:val="center"/>
        </w:trPr>
        <w:tc>
          <w:tcPr>
            <w:tcW w:w="1628" w:type="dxa"/>
            <w:vAlign w:val="center"/>
          </w:tcPr>
          <w:p w14:paraId="3B7DA753" w14:textId="5D027160" w:rsidR="005C1A38" w:rsidRDefault="003F10B6" w:rsidP="00D21201">
            <w:pPr>
              <w:spacing w:before="120" w:after="120"/>
              <w:jc w:val="center"/>
            </w:pPr>
            <w:r w:rsidRPr="003F10B6">
              <w:t xml:space="preserve">De-labelling, </w:t>
            </w:r>
            <w:proofErr w:type="gramStart"/>
            <w:r w:rsidRPr="003F10B6">
              <w:t>washing</w:t>
            </w:r>
            <w:proofErr w:type="gramEnd"/>
            <w:r w:rsidRPr="003F10B6">
              <w:t xml:space="preserve"> and drying</w:t>
            </w:r>
          </w:p>
        </w:tc>
        <w:tc>
          <w:tcPr>
            <w:tcW w:w="1628" w:type="dxa"/>
            <w:vAlign w:val="center"/>
          </w:tcPr>
          <w:p w14:paraId="5E88EF4C" w14:textId="53BFAEDE" w:rsidR="005C1A38" w:rsidRDefault="003F10B6" w:rsidP="00D21201">
            <w:pPr>
              <w:spacing w:before="120" w:after="120"/>
              <w:jc w:val="center"/>
            </w:pPr>
            <w:r w:rsidRPr="003F10B6">
              <w:t>Rotary drum washer/dryer</w:t>
            </w:r>
          </w:p>
        </w:tc>
        <w:tc>
          <w:tcPr>
            <w:tcW w:w="1984" w:type="dxa"/>
            <w:vAlign w:val="center"/>
          </w:tcPr>
          <w:p w14:paraId="46510FC6" w14:textId="3F124653" w:rsidR="005C1A38" w:rsidRDefault="00D21201" w:rsidP="00D21201">
            <w:pPr>
              <w:spacing w:before="120" w:after="120"/>
            </w:pPr>
            <w:r w:rsidRPr="00D21201">
              <w:t>For de-labelling bottles, washing and drying glass</w:t>
            </w:r>
          </w:p>
        </w:tc>
        <w:tc>
          <w:tcPr>
            <w:tcW w:w="3962" w:type="dxa"/>
          </w:tcPr>
          <w:p w14:paraId="4C71D63C" w14:textId="77777777" w:rsidR="00D21201" w:rsidRPr="00D21201" w:rsidRDefault="00D21201" w:rsidP="005C1A38">
            <w:pPr>
              <w:spacing w:before="120" w:after="120"/>
              <w:rPr>
                <w:u w:val="single"/>
              </w:rPr>
            </w:pPr>
            <w:r w:rsidRPr="00D21201">
              <w:rPr>
                <w:u w:val="single"/>
              </w:rPr>
              <w:t xml:space="preserve">Drying plant including rotary drum dryer (general): </w:t>
            </w:r>
          </w:p>
          <w:p w14:paraId="6A6BBF3D" w14:textId="77777777" w:rsidR="00D21201" w:rsidRDefault="00D21201" w:rsidP="005C1A38">
            <w:pPr>
              <w:spacing w:before="120" w:after="120"/>
            </w:pPr>
            <w:r w:rsidRPr="00D21201">
              <w:t xml:space="preserve">Approx. cost: $1,200,000 (of whole drying plant including external hot gas generator, dryer dust collection system, spark detection and extinguishing unit, etc.) </w:t>
            </w:r>
          </w:p>
          <w:p w14:paraId="53F210CC" w14:textId="7BB77F70" w:rsidR="00D21201" w:rsidRPr="00D21201" w:rsidRDefault="00D21201" w:rsidP="005C1A38">
            <w:pPr>
              <w:spacing w:before="120" w:after="120"/>
              <w:rPr>
                <w:u w:val="single"/>
              </w:rPr>
            </w:pPr>
            <w:proofErr w:type="spellStart"/>
            <w:r w:rsidRPr="00D21201">
              <w:rPr>
                <w:u w:val="single"/>
              </w:rPr>
              <w:t>Allgaier</w:t>
            </w:r>
            <w:proofErr w:type="spellEnd"/>
            <w:r w:rsidRPr="00D21201">
              <w:rPr>
                <w:u w:val="single"/>
              </w:rPr>
              <w:t xml:space="preserve"> Rotary drum for label removing: </w:t>
            </w:r>
          </w:p>
          <w:p w14:paraId="3A3C218B" w14:textId="77777777" w:rsidR="00D21201" w:rsidRDefault="00D21201" w:rsidP="005C1A38">
            <w:pPr>
              <w:spacing w:before="120" w:after="120"/>
            </w:pPr>
            <w:r w:rsidRPr="00D21201">
              <w:t xml:space="preserve">Capacity: 10t/h </w:t>
            </w:r>
          </w:p>
          <w:p w14:paraId="31BCFF6D" w14:textId="77777777" w:rsidR="00D21201" w:rsidRDefault="00D21201" w:rsidP="005C1A38">
            <w:pPr>
              <w:spacing w:before="120" w:after="120"/>
            </w:pPr>
            <w:r w:rsidRPr="00D21201">
              <w:t xml:space="preserve">Diameter rotary drum: 1590mm </w:t>
            </w:r>
          </w:p>
          <w:p w14:paraId="38AF8983" w14:textId="77777777" w:rsidR="00C641CA" w:rsidRDefault="00D21201" w:rsidP="005C1A38">
            <w:pPr>
              <w:spacing w:before="120" w:after="120"/>
            </w:pPr>
            <w:r w:rsidRPr="00D21201">
              <w:t xml:space="preserve">Length rotary drum: 6000mm </w:t>
            </w:r>
          </w:p>
          <w:p w14:paraId="1860166E" w14:textId="77777777" w:rsidR="00C641CA" w:rsidRPr="00C641CA" w:rsidRDefault="00D21201" w:rsidP="005C1A38">
            <w:pPr>
              <w:spacing w:before="120" w:after="120"/>
              <w:rPr>
                <w:u w:val="single"/>
              </w:rPr>
            </w:pPr>
            <w:proofErr w:type="spellStart"/>
            <w:r w:rsidRPr="00C641CA">
              <w:rPr>
                <w:u w:val="single"/>
              </w:rPr>
              <w:lastRenderedPageBreak/>
              <w:t>Allgaier</w:t>
            </w:r>
            <w:proofErr w:type="spellEnd"/>
            <w:r w:rsidRPr="00C641CA">
              <w:rPr>
                <w:u w:val="single"/>
              </w:rPr>
              <w:t xml:space="preserve"> Cleaning-Drum-Dryer: </w:t>
            </w:r>
          </w:p>
          <w:p w14:paraId="49101FF6" w14:textId="77777777" w:rsidR="00C641CA" w:rsidRDefault="00D21201" w:rsidP="005C1A38">
            <w:pPr>
              <w:spacing w:before="120" w:after="120"/>
            </w:pPr>
            <w:r w:rsidRPr="00D21201">
              <w:t xml:space="preserve">Capacity: 35t/h </w:t>
            </w:r>
          </w:p>
          <w:p w14:paraId="42219D34" w14:textId="77777777" w:rsidR="00C641CA" w:rsidRDefault="00D21201" w:rsidP="005C1A38">
            <w:pPr>
              <w:spacing w:before="120" w:after="120"/>
            </w:pPr>
            <w:r w:rsidRPr="00D21201">
              <w:t xml:space="preserve">Diameter drum dryer: 1590mm / 2600mm </w:t>
            </w:r>
          </w:p>
          <w:p w14:paraId="618479A8" w14:textId="77777777" w:rsidR="00C641CA" w:rsidRDefault="00D21201" w:rsidP="005C1A38">
            <w:pPr>
              <w:spacing w:before="120" w:after="120"/>
            </w:pPr>
            <w:r w:rsidRPr="00D21201">
              <w:t xml:space="preserve">Length drum dryer: 12000mm </w:t>
            </w:r>
          </w:p>
          <w:p w14:paraId="2ED6FE9D" w14:textId="1E98A87D" w:rsidR="005C1A38" w:rsidRDefault="00D21201" w:rsidP="005C1A38">
            <w:pPr>
              <w:spacing w:before="120" w:after="120"/>
            </w:pPr>
            <w:r w:rsidRPr="00D21201">
              <w:t>Annual capacity: approx.150,000 tonnes/</w:t>
            </w:r>
            <w:proofErr w:type="spellStart"/>
            <w:r w:rsidRPr="00D21201">
              <w:t>yr</w:t>
            </w:r>
            <w:proofErr w:type="spellEnd"/>
          </w:p>
        </w:tc>
      </w:tr>
      <w:tr w:rsidR="002B39B9" w14:paraId="6CC24365" w14:textId="77777777" w:rsidTr="00D21201">
        <w:trPr>
          <w:cnfStyle w:val="000000100000" w:firstRow="0" w:lastRow="0" w:firstColumn="0" w:lastColumn="0" w:oddVBand="0" w:evenVBand="0" w:oddHBand="1" w:evenHBand="0" w:firstRowFirstColumn="0" w:firstRowLastColumn="0" w:lastRowFirstColumn="0" w:lastRowLastColumn="0"/>
          <w:jc w:val="center"/>
        </w:trPr>
        <w:tc>
          <w:tcPr>
            <w:tcW w:w="1628" w:type="dxa"/>
            <w:vAlign w:val="center"/>
          </w:tcPr>
          <w:p w14:paraId="3DE41D44" w14:textId="208EAEC0" w:rsidR="002B39B9" w:rsidRPr="003F10B6" w:rsidRDefault="002B39B9" w:rsidP="00D21201">
            <w:pPr>
              <w:spacing w:before="120" w:after="120"/>
              <w:jc w:val="center"/>
            </w:pPr>
            <w:r w:rsidRPr="002B39B9">
              <w:lastRenderedPageBreak/>
              <w:t xml:space="preserve">Metals </w:t>
            </w:r>
            <w:r w:rsidR="00386E09">
              <w:t>S</w:t>
            </w:r>
            <w:r w:rsidRPr="002B39B9">
              <w:t>eparation</w:t>
            </w:r>
          </w:p>
        </w:tc>
        <w:tc>
          <w:tcPr>
            <w:tcW w:w="1628" w:type="dxa"/>
            <w:vAlign w:val="center"/>
          </w:tcPr>
          <w:p w14:paraId="73439EB4" w14:textId="5C92D378" w:rsidR="002B39B9" w:rsidRPr="003F10B6" w:rsidRDefault="002B39B9" w:rsidP="00D21201">
            <w:pPr>
              <w:spacing w:before="120" w:after="120"/>
              <w:jc w:val="center"/>
            </w:pPr>
            <w:r w:rsidRPr="002B39B9">
              <w:t xml:space="preserve">Magnetic </w:t>
            </w:r>
            <w:r w:rsidR="00386E09">
              <w:t>S</w:t>
            </w:r>
            <w:r w:rsidRPr="002B39B9">
              <w:t>eparator</w:t>
            </w:r>
          </w:p>
        </w:tc>
        <w:tc>
          <w:tcPr>
            <w:tcW w:w="1984" w:type="dxa"/>
            <w:vAlign w:val="center"/>
          </w:tcPr>
          <w:p w14:paraId="042C59E7" w14:textId="5673912D" w:rsidR="002B39B9" w:rsidRPr="00D21201" w:rsidRDefault="002B39B9" w:rsidP="00D21201">
            <w:pPr>
              <w:spacing w:before="120" w:after="120"/>
            </w:pPr>
            <w:r w:rsidRPr="002B39B9">
              <w:t>Over-band or drum magnets to remove ferrous material.</w:t>
            </w:r>
          </w:p>
        </w:tc>
        <w:tc>
          <w:tcPr>
            <w:tcW w:w="3962" w:type="dxa"/>
          </w:tcPr>
          <w:p w14:paraId="17C43A32" w14:textId="77777777" w:rsidR="00386E09" w:rsidRDefault="00386E09" w:rsidP="005C1A38">
            <w:pPr>
              <w:spacing w:before="120" w:after="120"/>
              <w:rPr>
                <w:u w:val="single"/>
              </w:rPr>
            </w:pPr>
            <w:r>
              <w:rPr>
                <w:u w:val="single"/>
              </w:rPr>
              <w:t xml:space="preserve">Cross </w:t>
            </w:r>
            <w:r w:rsidRPr="00386E09">
              <w:rPr>
                <w:u w:val="single"/>
              </w:rPr>
              <w:t xml:space="preserve">belt magnet separator (general): </w:t>
            </w:r>
          </w:p>
          <w:p w14:paraId="40BE4411" w14:textId="77777777" w:rsidR="00386E09" w:rsidRPr="00386E09" w:rsidRDefault="00386E09" w:rsidP="005C1A38">
            <w:pPr>
              <w:spacing w:before="120" w:after="120"/>
            </w:pPr>
            <w:r w:rsidRPr="00386E09">
              <w:t xml:space="preserve">Approx. cost: $50,000 </w:t>
            </w:r>
          </w:p>
          <w:p w14:paraId="6AF6E356" w14:textId="77777777" w:rsidR="00386E09" w:rsidRDefault="00386E09" w:rsidP="005C1A38">
            <w:pPr>
              <w:spacing w:before="120" w:after="120"/>
              <w:rPr>
                <w:u w:val="single"/>
              </w:rPr>
            </w:pPr>
            <w:r w:rsidRPr="00386E09">
              <w:rPr>
                <w:u w:val="single"/>
              </w:rPr>
              <w:t xml:space="preserve">IFE Electromagnetic </w:t>
            </w:r>
            <w:proofErr w:type="spellStart"/>
            <w:r w:rsidRPr="00386E09">
              <w:rPr>
                <w:u w:val="single"/>
              </w:rPr>
              <w:t>Overband</w:t>
            </w:r>
            <w:proofErr w:type="spellEnd"/>
            <w:r w:rsidRPr="00386E09">
              <w:rPr>
                <w:u w:val="single"/>
              </w:rPr>
              <w:t xml:space="preserve"> Separator MEQL 1401: </w:t>
            </w:r>
          </w:p>
          <w:p w14:paraId="65B5A67A" w14:textId="77777777" w:rsidR="00386E09" w:rsidRPr="00386E09" w:rsidRDefault="00386E09" w:rsidP="005C1A38">
            <w:pPr>
              <w:spacing w:before="120" w:after="120"/>
            </w:pPr>
            <w:r w:rsidRPr="00386E09">
              <w:t xml:space="preserve">Width: 1400mm </w:t>
            </w:r>
          </w:p>
          <w:p w14:paraId="699818A7" w14:textId="77777777" w:rsidR="00386E09" w:rsidRPr="00386E09" w:rsidRDefault="00386E09" w:rsidP="005C1A38">
            <w:pPr>
              <w:spacing w:before="120" w:after="120"/>
            </w:pPr>
            <w:r w:rsidRPr="00386E09">
              <w:t xml:space="preserve">Length: 3150mm </w:t>
            </w:r>
          </w:p>
          <w:p w14:paraId="362DAC62" w14:textId="77777777" w:rsidR="00386E09" w:rsidRPr="00386E09" w:rsidRDefault="00386E09" w:rsidP="005C1A38">
            <w:pPr>
              <w:spacing w:before="120" w:after="120"/>
            </w:pPr>
            <w:r w:rsidRPr="00386E09">
              <w:t xml:space="preserve">Magnet power: 6.06 kW </w:t>
            </w:r>
          </w:p>
          <w:p w14:paraId="3481A5CC" w14:textId="0AF6B941" w:rsidR="002B39B9" w:rsidRPr="00D21201" w:rsidRDefault="00386E09" w:rsidP="005C1A38">
            <w:pPr>
              <w:spacing w:before="120" w:after="120"/>
              <w:rPr>
                <w:u w:val="single"/>
              </w:rPr>
            </w:pPr>
            <w:r w:rsidRPr="00386E09">
              <w:t>Magnet voltage: 115 V DC</w:t>
            </w:r>
          </w:p>
        </w:tc>
      </w:tr>
      <w:tr w:rsidR="002B39B9" w14:paraId="4AAA5146" w14:textId="77777777" w:rsidTr="00D21201">
        <w:trPr>
          <w:cnfStyle w:val="000000010000" w:firstRow="0" w:lastRow="0" w:firstColumn="0" w:lastColumn="0" w:oddVBand="0" w:evenVBand="0" w:oddHBand="0" w:evenHBand="1" w:firstRowFirstColumn="0" w:firstRowLastColumn="0" w:lastRowFirstColumn="0" w:lastRowLastColumn="0"/>
          <w:jc w:val="center"/>
        </w:trPr>
        <w:tc>
          <w:tcPr>
            <w:tcW w:w="1628" w:type="dxa"/>
            <w:vAlign w:val="center"/>
          </w:tcPr>
          <w:p w14:paraId="2B16F0D7" w14:textId="3D94A3D5" w:rsidR="002B39B9" w:rsidRPr="003F10B6" w:rsidRDefault="00386E09" w:rsidP="00D21201">
            <w:pPr>
              <w:spacing w:before="120" w:after="120"/>
              <w:jc w:val="center"/>
            </w:pPr>
            <w:r w:rsidRPr="002B39B9">
              <w:t xml:space="preserve">Metals </w:t>
            </w:r>
            <w:r>
              <w:t>S</w:t>
            </w:r>
            <w:r w:rsidRPr="002B39B9">
              <w:t>eparation</w:t>
            </w:r>
          </w:p>
        </w:tc>
        <w:tc>
          <w:tcPr>
            <w:tcW w:w="1628" w:type="dxa"/>
            <w:vAlign w:val="center"/>
          </w:tcPr>
          <w:p w14:paraId="2A2228C5" w14:textId="78CDEC58" w:rsidR="002B39B9" w:rsidRPr="003F10B6" w:rsidRDefault="00FC2C2B" w:rsidP="00D21201">
            <w:pPr>
              <w:spacing w:before="120" w:after="120"/>
              <w:jc w:val="center"/>
            </w:pPr>
            <w:r w:rsidRPr="00FC2C2B">
              <w:t>Eddy current separator</w:t>
            </w:r>
          </w:p>
        </w:tc>
        <w:tc>
          <w:tcPr>
            <w:tcW w:w="1984" w:type="dxa"/>
            <w:vAlign w:val="center"/>
          </w:tcPr>
          <w:p w14:paraId="7B82DE09" w14:textId="0AFCEF71" w:rsidR="002B39B9" w:rsidRPr="00D21201" w:rsidRDefault="00FC2C2B" w:rsidP="00D21201">
            <w:pPr>
              <w:spacing w:before="120" w:after="120"/>
            </w:pPr>
            <w:r w:rsidRPr="00FC2C2B">
              <w:t>A short conveyor belt with a magnetic drum in the head create</w:t>
            </w:r>
            <w:r w:rsidR="00E71FAB">
              <w:t>s</w:t>
            </w:r>
            <w:r w:rsidRPr="00FC2C2B">
              <w:t xml:space="preserve"> a powerful eddy current to push out and remove non-ferrous metal contaminants from the material flow.  </w:t>
            </w:r>
          </w:p>
        </w:tc>
        <w:tc>
          <w:tcPr>
            <w:tcW w:w="3962" w:type="dxa"/>
          </w:tcPr>
          <w:p w14:paraId="566201DB" w14:textId="77777777" w:rsidR="00FC2C2B" w:rsidRDefault="00FC2C2B" w:rsidP="005C1A38">
            <w:pPr>
              <w:spacing w:before="120" w:after="120"/>
              <w:rPr>
                <w:u w:val="single"/>
              </w:rPr>
            </w:pPr>
            <w:r>
              <w:rPr>
                <w:u w:val="single"/>
              </w:rPr>
              <w:t xml:space="preserve">Eddy </w:t>
            </w:r>
            <w:r w:rsidRPr="00FC2C2B">
              <w:rPr>
                <w:u w:val="single"/>
              </w:rPr>
              <w:t>Current Separator (general):</w:t>
            </w:r>
          </w:p>
          <w:p w14:paraId="144B39F9" w14:textId="77777777" w:rsidR="00FC2C2B" w:rsidRPr="009B726A" w:rsidRDefault="00FC2C2B" w:rsidP="005C1A38">
            <w:pPr>
              <w:spacing w:before="120" w:after="120"/>
            </w:pPr>
            <w:r w:rsidRPr="009B726A">
              <w:t xml:space="preserve">Approx. cost: $240,000 </w:t>
            </w:r>
          </w:p>
          <w:p w14:paraId="603D67E6" w14:textId="77777777" w:rsidR="00FC2C2B" w:rsidRDefault="00FC2C2B" w:rsidP="005C1A38">
            <w:pPr>
              <w:spacing w:before="120" w:after="120"/>
              <w:rPr>
                <w:u w:val="single"/>
              </w:rPr>
            </w:pPr>
            <w:r w:rsidRPr="00FC2C2B">
              <w:rPr>
                <w:u w:val="single"/>
              </w:rPr>
              <w:t xml:space="preserve">IFE Eddy Current Separator INP Centric 400x500: </w:t>
            </w:r>
          </w:p>
          <w:p w14:paraId="4361B486" w14:textId="77777777" w:rsidR="00FC2C2B" w:rsidRPr="009B726A" w:rsidRDefault="00FC2C2B" w:rsidP="005C1A38">
            <w:pPr>
              <w:spacing w:before="120" w:after="120"/>
            </w:pPr>
            <w:r w:rsidRPr="009B726A">
              <w:t xml:space="preserve">Width: 1200mm </w:t>
            </w:r>
          </w:p>
          <w:p w14:paraId="2C900650" w14:textId="77777777" w:rsidR="00FC2C2B" w:rsidRPr="009B726A" w:rsidRDefault="00FC2C2B" w:rsidP="005C1A38">
            <w:pPr>
              <w:spacing w:before="120" w:after="120"/>
            </w:pPr>
            <w:r w:rsidRPr="009B726A">
              <w:t xml:space="preserve">Length: 3180mm </w:t>
            </w:r>
          </w:p>
          <w:p w14:paraId="6BB023CA" w14:textId="77777777" w:rsidR="00FC2C2B" w:rsidRPr="009B726A" w:rsidRDefault="00FC2C2B" w:rsidP="005C1A38">
            <w:pPr>
              <w:spacing w:before="120" w:after="120"/>
            </w:pPr>
            <w:r w:rsidRPr="009B726A">
              <w:t xml:space="preserve">Rotor drive: 3kW </w:t>
            </w:r>
          </w:p>
          <w:p w14:paraId="668D029E" w14:textId="226F63F8" w:rsidR="002B39B9" w:rsidRPr="00D21201" w:rsidRDefault="00FC2C2B" w:rsidP="005C1A38">
            <w:pPr>
              <w:spacing w:before="120" w:after="120"/>
              <w:rPr>
                <w:u w:val="single"/>
              </w:rPr>
            </w:pPr>
            <w:r w:rsidRPr="009B726A">
              <w:t>Belt drive: 1.5k</w:t>
            </w:r>
            <w:r w:rsidR="009B726A" w:rsidRPr="009B726A">
              <w:t>W</w:t>
            </w:r>
          </w:p>
        </w:tc>
      </w:tr>
      <w:tr w:rsidR="002B39B9" w14:paraId="56BD7159" w14:textId="77777777" w:rsidTr="00D21201">
        <w:trPr>
          <w:cnfStyle w:val="000000100000" w:firstRow="0" w:lastRow="0" w:firstColumn="0" w:lastColumn="0" w:oddVBand="0" w:evenVBand="0" w:oddHBand="1" w:evenHBand="0" w:firstRowFirstColumn="0" w:firstRowLastColumn="0" w:lastRowFirstColumn="0" w:lastRowLastColumn="0"/>
          <w:jc w:val="center"/>
        </w:trPr>
        <w:tc>
          <w:tcPr>
            <w:tcW w:w="1628" w:type="dxa"/>
            <w:vAlign w:val="center"/>
          </w:tcPr>
          <w:p w14:paraId="62478CC0" w14:textId="4CE64AFF" w:rsidR="002B39B9" w:rsidRPr="003F10B6" w:rsidRDefault="004C7466" w:rsidP="00D21201">
            <w:pPr>
              <w:spacing w:before="120" w:after="120"/>
              <w:jc w:val="center"/>
            </w:pPr>
            <w:r w:rsidRPr="004C7466">
              <w:t>Light-weight contamination separation</w:t>
            </w:r>
          </w:p>
        </w:tc>
        <w:tc>
          <w:tcPr>
            <w:tcW w:w="1628" w:type="dxa"/>
            <w:vAlign w:val="center"/>
          </w:tcPr>
          <w:p w14:paraId="6DEF94B0" w14:textId="67B3BA6F" w:rsidR="002B39B9" w:rsidRPr="003F10B6" w:rsidRDefault="00C258C1" w:rsidP="00D21201">
            <w:pPr>
              <w:spacing w:before="120" w:after="120"/>
              <w:jc w:val="center"/>
            </w:pPr>
            <w:r w:rsidRPr="00C258C1">
              <w:t>Air separator or wind shifter</w:t>
            </w:r>
          </w:p>
        </w:tc>
        <w:tc>
          <w:tcPr>
            <w:tcW w:w="1984" w:type="dxa"/>
            <w:vAlign w:val="center"/>
          </w:tcPr>
          <w:p w14:paraId="1B281635" w14:textId="2F1DD332" w:rsidR="002B39B9" w:rsidRPr="00D21201" w:rsidRDefault="00C258C1" w:rsidP="00D21201">
            <w:pPr>
              <w:spacing w:before="120" w:after="120"/>
            </w:pPr>
            <w:r w:rsidRPr="00C258C1">
              <w:t>Light-weight contaminants are blown by an air stream. A vacuum drum may be used to capture the contaminants.</w:t>
            </w:r>
          </w:p>
        </w:tc>
        <w:tc>
          <w:tcPr>
            <w:tcW w:w="3962" w:type="dxa"/>
          </w:tcPr>
          <w:p w14:paraId="48B90286" w14:textId="77777777" w:rsidR="00C258C1" w:rsidRDefault="00C258C1" w:rsidP="005C1A38">
            <w:pPr>
              <w:spacing w:before="120" w:after="120"/>
              <w:rPr>
                <w:u w:val="single"/>
              </w:rPr>
            </w:pPr>
            <w:r w:rsidRPr="00C258C1">
              <w:rPr>
                <w:u w:val="single"/>
              </w:rPr>
              <w:t xml:space="preserve">Wind Shifter (general): </w:t>
            </w:r>
          </w:p>
          <w:p w14:paraId="07757B81" w14:textId="77777777" w:rsidR="00C258C1" w:rsidRPr="00044803" w:rsidRDefault="00C258C1" w:rsidP="005C1A38">
            <w:pPr>
              <w:spacing w:before="120" w:after="120"/>
            </w:pPr>
            <w:r w:rsidRPr="00044803">
              <w:t xml:space="preserve">Approx. cost: $100,000 (x3) </w:t>
            </w:r>
          </w:p>
          <w:p w14:paraId="121EE01C" w14:textId="1AEF3401" w:rsidR="00C258C1" w:rsidRDefault="00C258C1" w:rsidP="005C1A38">
            <w:pPr>
              <w:spacing w:before="120" w:after="120"/>
              <w:rPr>
                <w:u w:val="single"/>
              </w:rPr>
            </w:pPr>
            <w:proofErr w:type="spellStart"/>
            <w:r w:rsidRPr="00C258C1">
              <w:rPr>
                <w:u w:val="single"/>
              </w:rPr>
              <w:t>Doppstadt</w:t>
            </w:r>
            <w:proofErr w:type="spellEnd"/>
            <w:r w:rsidRPr="00C258C1">
              <w:rPr>
                <w:u w:val="single"/>
              </w:rPr>
              <w:t xml:space="preserve"> </w:t>
            </w:r>
            <w:proofErr w:type="spellStart"/>
            <w:r w:rsidRPr="00C258C1">
              <w:rPr>
                <w:u w:val="single"/>
              </w:rPr>
              <w:t>Airflex</w:t>
            </w:r>
            <w:proofErr w:type="spellEnd"/>
            <w:r w:rsidRPr="00C258C1">
              <w:rPr>
                <w:u w:val="single"/>
              </w:rPr>
              <w:t xml:space="preserve"> 1500 </w:t>
            </w:r>
            <w:proofErr w:type="spellStart"/>
            <w:r w:rsidRPr="00C258C1">
              <w:rPr>
                <w:u w:val="single"/>
              </w:rPr>
              <w:t>Windshifter</w:t>
            </w:r>
            <w:proofErr w:type="spellEnd"/>
            <w:r w:rsidRPr="00C258C1">
              <w:rPr>
                <w:u w:val="single"/>
              </w:rPr>
              <w:t xml:space="preserve">: </w:t>
            </w:r>
          </w:p>
          <w:p w14:paraId="18C4F8E4" w14:textId="77777777" w:rsidR="00C258C1" w:rsidRPr="00044803" w:rsidRDefault="00C258C1" w:rsidP="005C1A38">
            <w:pPr>
              <w:spacing w:before="120" w:after="120"/>
            </w:pPr>
            <w:r w:rsidRPr="00044803">
              <w:t xml:space="preserve">Width: 2600mm </w:t>
            </w:r>
          </w:p>
          <w:p w14:paraId="5952B7A8" w14:textId="77777777" w:rsidR="00C258C1" w:rsidRPr="00044803" w:rsidRDefault="00C258C1" w:rsidP="005C1A38">
            <w:pPr>
              <w:spacing w:before="120" w:after="120"/>
            </w:pPr>
            <w:r w:rsidRPr="00044803">
              <w:t xml:space="preserve">Length: 8310mm </w:t>
            </w:r>
          </w:p>
          <w:p w14:paraId="6DFBB2A1" w14:textId="77777777" w:rsidR="00044803" w:rsidRPr="00044803" w:rsidRDefault="00C258C1" w:rsidP="005C1A38">
            <w:pPr>
              <w:spacing w:before="120" w:after="120"/>
            </w:pPr>
            <w:r w:rsidRPr="00044803">
              <w:t xml:space="preserve">Height: 2360-3690mm </w:t>
            </w:r>
          </w:p>
          <w:p w14:paraId="717607C6" w14:textId="77777777" w:rsidR="00044803" w:rsidRPr="00044803" w:rsidRDefault="00C258C1" w:rsidP="005C1A38">
            <w:pPr>
              <w:spacing w:before="120" w:after="120"/>
            </w:pPr>
            <w:r w:rsidRPr="00044803">
              <w:t xml:space="preserve">Power: 15kW </w:t>
            </w:r>
          </w:p>
          <w:p w14:paraId="3CC39535" w14:textId="77777777" w:rsidR="00044803" w:rsidRPr="00044803" w:rsidRDefault="00C258C1" w:rsidP="005C1A38">
            <w:pPr>
              <w:spacing w:before="120" w:after="120"/>
            </w:pPr>
            <w:r w:rsidRPr="00044803">
              <w:t xml:space="preserve">Suction volume: 13,000m3/h </w:t>
            </w:r>
          </w:p>
          <w:p w14:paraId="4E11BDBA" w14:textId="77777777" w:rsidR="00044803" w:rsidRPr="00044803" w:rsidRDefault="00C258C1" w:rsidP="005C1A38">
            <w:pPr>
              <w:spacing w:before="120" w:after="120"/>
            </w:pPr>
            <w:r w:rsidRPr="00044803">
              <w:t xml:space="preserve">Power of fan unit: 30kW </w:t>
            </w:r>
          </w:p>
          <w:p w14:paraId="5D8602C3" w14:textId="77777777" w:rsidR="00870668" w:rsidRDefault="00C258C1" w:rsidP="005C1A38">
            <w:pPr>
              <w:spacing w:before="120" w:after="120"/>
              <w:rPr>
                <w:u w:val="single"/>
              </w:rPr>
            </w:pPr>
            <w:r w:rsidRPr="00C258C1">
              <w:rPr>
                <w:u w:val="single"/>
              </w:rPr>
              <w:lastRenderedPageBreak/>
              <w:t xml:space="preserve">JOST Zig Zag Air Separator </w:t>
            </w:r>
            <w:proofErr w:type="spellStart"/>
            <w:r w:rsidRPr="00C258C1">
              <w:rPr>
                <w:u w:val="single"/>
              </w:rPr>
              <w:t>SepK</w:t>
            </w:r>
            <w:proofErr w:type="spellEnd"/>
            <w:r w:rsidRPr="00C258C1">
              <w:rPr>
                <w:u w:val="single"/>
              </w:rPr>
              <w:t xml:space="preserve"> 6/250x2000: </w:t>
            </w:r>
          </w:p>
          <w:p w14:paraId="1542B013" w14:textId="77777777" w:rsidR="00870668" w:rsidRPr="00870668" w:rsidRDefault="00C258C1" w:rsidP="005C1A38">
            <w:pPr>
              <w:spacing w:before="120" w:after="120"/>
            </w:pPr>
            <w:r w:rsidRPr="00870668">
              <w:t xml:space="preserve">Air volume: 12,000-24,000m3/h </w:t>
            </w:r>
          </w:p>
          <w:p w14:paraId="7BF7E55B" w14:textId="77777777" w:rsidR="00870668" w:rsidRPr="00870668" w:rsidRDefault="00C258C1" w:rsidP="005C1A38">
            <w:pPr>
              <w:spacing w:before="120" w:after="120"/>
            </w:pPr>
            <w:r w:rsidRPr="00870668">
              <w:t xml:space="preserve">Mass flow: 12-24t/h </w:t>
            </w:r>
          </w:p>
          <w:p w14:paraId="6BE8A2E1" w14:textId="3A697D47" w:rsidR="002B39B9" w:rsidRPr="00D21201" w:rsidRDefault="00C258C1" w:rsidP="005C1A38">
            <w:pPr>
              <w:spacing w:before="120" w:after="120"/>
              <w:rPr>
                <w:u w:val="single"/>
              </w:rPr>
            </w:pPr>
            <w:r w:rsidRPr="00870668">
              <w:t>Installed output: ~50kW</w:t>
            </w:r>
          </w:p>
        </w:tc>
      </w:tr>
      <w:tr w:rsidR="002B39B9" w14:paraId="0BF43C8D" w14:textId="77777777" w:rsidTr="00D21201">
        <w:trPr>
          <w:cnfStyle w:val="000000010000" w:firstRow="0" w:lastRow="0" w:firstColumn="0" w:lastColumn="0" w:oddVBand="0" w:evenVBand="0" w:oddHBand="0" w:evenHBand="1" w:firstRowFirstColumn="0" w:firstRowLastColumn="0" w:lastRowFirstColumn="0" w:lastRowLastColumn="0"/>
          <w:jc w:val="center"/>
        </w:trPr>
        <w:tc>
          <w:tcPr>
            <w:tcW w:w="1628" w:type="dxa"/>
            <w:vAlign w:val="center"/>
          </w:tcPr>
          <w:p w14:paraId="3F135CD1" w14:textId="225907CC" w:rsidR="002B39B9" w:rsidRPr="003F10B6" w:rsidRDefault="006A3A0A" w:rsidP="00D21201">
            <w:pPr>
              <w:spacing w:before="120" w:after="120"/>
              <w:jc w:val="center"/>
            </w:pPr>
            <w:r w:rsidRPr="006A3A0A">
              <w:lastRenderedPageBreak/>
              <w:t>Crushing</w:t>
            </w:r>
          </w:p>
        </w:tc>
        <w:tc>
          <w:tcPr>
            <w:tcW w:w="1628" w:type="dxa"/>
            <w:vAlign w:val="center"/>
          </w:tcPr>
          <w:p w14:paraId="64DC9597" w14:textId="5C6259EB" w:rsidR="002B39B9" w:rsidRPr="003F10B6" w:rsidRDefault="006A3A0A" w:rsidP="00D21201">
            <w:pPr>
              <w:spacing w:before="120" w:after="120"/>
              <w:jc w:val="center"/>
            </w:pPr>
            <w:r w:rsidRPr="006A3A0A">
              <w:t>Glass crusher or pulverisers</w:t>
            </w:r>
          </w:p>
        </w:tc>
        <w:tc>
          <w:tcPr>
            <w:tcW w:w="1984" w:type="dxa"/>
            <w:vAlign w:val="center"/>
          </w:tcPr>
          <w:p w14:paraId="7D63AF9F" w14:textId="45F9348F" w:rsidR="002B39B9" w:rsidRPr="00D21201" w:rsidRDefault="006A3A0A" w:rsidP="00D21201">
            <w:pPr>
              <w:spacing w:before="120" w:after="120"/>
            </w:pPr>
            <w:r w:rsidRPr="006A3A0A">
              <w:t>Reduces large glass shards to smaller glass shards or to a fines or sand product.</w:t>
            </w:r>
          </w:p>
        </w:tc>
        <w:tc>
          <w:tcPr>
            <w:tcW w:w="3962" w:type="dxa"/>
          </w:tcPr>
          <w:p w14:paraId="5AAD6B75" w14:textId="77777777" w:rsidR="006A3A0A" w:rsidRDefault="006A3A0A" w:rsidP="005C1A38">
            <w:pPr>
              <w:spacing w:before="120" w:after="120"/>
              <w:rPr>
                <w:u w:val="single"/>
              </w:rPr>
            </w:pPr>
            <w:proofErr w:type="spellStart"/>
            <w:r w:rsidRPr="006A3A0A">
              <w:rPr>
                <w:u w:val="single"/>
              </w:rPr>
              <w:t>McLanahan</w:t>
            </w:r>
            <w:proofErr w:type="spellEnd"/>
            <w:r w:rsidRPr="006A3A0A">
              <w:rPr>
                <w:u w:val="single"/>
              </w:rPr>
              <w:t xml:space="preserve"> Double Roll Crusher: </w:t>
            </w:r>
          </w:p>
          <w:p w14:paraId="0B04EE89" w14:textId="77777777" w:rsidR="006A3A0A" w:rsidRPr="002931CA" w:rsidRDefault="006A3A0A" w:rsidP="005C1A38">
            <w:pPr>
              <w:spacing w:before="120" w:after="120"/>
            </w:pPr>
            <w:r w:rsidRPr="002931CA">
              <w:t xml:space="preserve">Capacity: 82 </w:t>
            </w:r>
            <w:proofErr w:type="spellStart"/>
            <w:r w:rsidRPr="002931CA">
              <w:t>mtph</w:t>
            </w:r>
            <w:proofErr w:type="spellEnd"/>
            <w:r w:rsidRPr="002931CA">
              <w:t xml:space="preserve"> </w:t>
            </w:r>
          </w:p>
          <w:p w14:paraId="41A7CDC0" w14:textId="77777777" w:rsidR="006A3A0A" w:rsidRPr="002931CA" w:rsidRDefault="006A3A0A" w:rsidP="005C1A38">
            <w:pPr>
              <w:spacing w:before="120" w:after="120"/>
            </w:pPr>
            <w:r w:rsidRPr="002931CA">
              <w:t xml:space="preserve">Size: 610mm x 610mm </w:t>
            </w:r>
          </w:p>
          <w:p w14:paraId="05FE4CAC" w14:textId="77777777" w:rsidR="006A3A0A" w:rsidRPr="002931CA" w:rsidRDefault="006A3A0A" w:rsidP="005C1A38">
            <w:pPr>
              <w:spacing w:before="120" w:after="120"/>
            </w:pPr>
            <w:r w:rsidRPr="002931CA">
              <w:t xml:space="preserve">Motor: 56kW, 1800rpm </w:t>
            </w:r>
          </w:p>
          <w:p w14:paraId="4CA3B520" w14:textId="77777777" w:rsidR="002931CA" w:rsidRDefault="006A3A0A" w:rsidP="005C1A38">
            <w:pPr>
              <w:spacing w:before="120" w:after="120"/>
              <w:rPr>
                <w:u w:val="single"/>
              </w:rPr>
            </w:pPr>
            <w:proofErr w:type="spellStart"/>
            <w:r w:rsidRPr="006A3A0A">
              <w:rPr>
                <w:u w:val="single"/>
              </w:rPr>
              <w:t>Barmac</w:t>
            </w:r>
            <w:proofErr w:type="spellEnd"/>
            <w:r w:rsidRPr="006A3A0A">
              <w:rPr>
                <w:u w:val="single"/>
              </w:rPr>
              <w:t xml:space="preserve">® B7150SE™ vertical shaft impact crusher:  </w:t>
            </w:r>
          </w:p>
          <w:p w14:paraId="26463157" w14:textId="77777777" w:rsidR="002931CA" w:rsidRPr="002931CA" w:rsidRDefault="006A3A0A" w:rsidP="005C1A38">
            <w:pPr>
              <w:spacing w:before="120" w:after="120"/>
            </w:pPr>
            <w:r w:rsidRPr="002931CA">
              <w:t xml:space="preserve">Capacity: 125-545 </w:t>
            </w:r>
            <w:proofErr w:type="spellStart"/>
            <w:r w:rsidRPr="002931CA">
              <w:t>mtph</w:t>
            </w:r>
            <w:proofErr w:type="spellEnd"/>
            <w:r w:rsidRPr="002931CA">
              <w:t xml:space="preserve"> </w:t>
            </w:r>
          </w:p>
          <w:p w14:paraId="36535BB0" w14:textId="77777777" w:rsidR="002931CA" w:rsidRPr="002931CA" w:rsidRDefault="006A3A0A" w:rsidP="005C1A38">
            <w:pPr>
              <w:spacing w:before="120" w:after="120"/>
            </w:pPr>
            <w:r w:rsidRPr="002931CA">
              <w:t xml:space="preserve">Motor: 160-320kW, 1100-2100rpm </w:t>
            </w:r>
          </w:p>
          <w:p w14:paraId="34C2603A" w14:textId="77777777" w:rsidR="002931CA" w:rsidRDefault="006A3A0A" w:rsidP="005C1A38">
            <w:pPr>
              <w:spacing w:before="120" w:after="120"/>
              <w:rPr>
                <w:u w:val="single"/>
              </w:rPr>
            </w:pPr>
            <w:proofErr w:type="spellStart"/>
            <w:r w:rsidRPr="006A3A0A">
              <w:rPr>
                <w:u w:val="single"/>
              </w:rPr>
              <w:t>Andela</w:t>
            </w:r>
            <w:proofErr w:type="spellEnd"/>
            <w:r w:rsidRPr="006A3A0A">
              <w:rPr>
                <w:u w:val="single"/>
              </w:rPr>
              <w:t xml:space="preserve"> glass pulverisers GP1-HD: </w:t>
            </w:r>
          </w:p>
          <w:p w14:paraId="2DCEEE6D" w14:textId="77777777" w:rsidR="002931CA" w:rsidRPr="002931CA" w:rsidRDefault="006A3A0A" w:rsidP="005C1A38">
            <w:pPr>
              <w:spacing w:before="120" w:after="120"/>
            </w:pPr>
            <w:r w:rsidRPr="002931CA">
              <w:t xml:space="preserve">Capacity: 5-10t/hr </w:t>
            </w:r>
          </w:p>
          <w:p w14:paraId="1895CEB9" w14:textId="77777777" w:rsidR="002931CA" w:rsidRPr="002931CA" w:rsidRDefault="006A3A0A" w:rsidP="005C1A38">
            <w:pPr>
              <w:spacing w:before="120" w:after="120"/>
            </w:pPr>
            <w:r w:rsidRPr="002931CA">
              <w:t xml:space="preserve">Width: 1727mm  </w:t>
            </w:r>
          </w:p>
          <w:p w14:paraId="1610D185" w14:textId="77777777" w:rsidR="002931CA" w:rsidRPr="002931CA" w:rsidRDefault="006A3A0A" w:rsidP="005C1A38">
            <w:pPr>
              <w:spacing w:before="120" w:after="120"/>
            </w:pPr>
            <w:r w:rsidRPr="002931CA">
              <w:t xml:space="preserve">Length: 2082mm </w:t>
            </w:r>
          </w:p>
          <w:p w14:paraId="7A89921F" w14:textId="77777777" w:rsidR="002931CA" w:rsidRPr="002931CA" w:rsidRDefault="006A3A0A" w:rsidP="005C1A38">
            <w:pPr>
              <w:spacing w:before="120" w:after="120"/>
            </w:pPr>
            <w:r w:rsidRPr="002931CA">
              <w:t xml:space="preserve">Hammers: 40  </w:t>
            </w:r>
          </w:p>
          <w:p w14:paraId="74556AEF" w14:textId="1E428F8B" w:rsidR="002B39B9" w:rsidRPr="00D21201" w:rsidRDefault="006A3A0A" w:rsidP="005C1A38">
            <w:pPr>
              <w:spacing w:before="120" w:after="120"/>
              <w:rPr>
                <w:u w:val="single"/>
              </w:rPr>
            </w:pPr>
            <w:r w:rsidRPr="002931CA">
              <w:t>Motor: 7.5kW</w:t>
            </w:r>
          </w:p>
        </w:tc>
      </w:tr>
      <w:tr w:rsidR="00392719" w14:paraId="550B9B87" w14:textId="77777777" w:rsidTr="00FF788E">
        <w:trPr>
          <w:cnfStyle w:val="000000100000" w:firstRow="0" w:lastRow="0" w:firstColumn="0" w:lastColumn="0" w:oddVBand="0" w:evenVBand="0" w:oddHBand="1" w:evenHBand="0" w:firstRowFirstColumn="0" w:firstRowLastColumn="0" w:lastRowFirstColumn="0" w:lastRowLastColumn="0"/>
          <w:jc w:val="center"/>
        </w:trPr>
        <w:tc>
          <w:tcPr>
            <w:tcW w:w="1628" w:type="dxa"/>
            <w:vAlign w:val="center"/>
          </w:tcPr>
          <w:p w14:paraId="2303395D" w14:textId="22FA6E1D" w:rsidR="00392719" w:rsidRPr="006A3A0A" w:rsidRDefault="00392719" w:rsidP="00D21201">
            <w:pPr>
              <w:spacing w:before="120" w:after="120"/>
              <w:jc w:val="center"/>
            </w:pPr>
            <w:r w:rsidRPr="00392719">
              <w:t>Sorting</w:t>
            </w:r>
          </w:p>
        </w:tc>
        <w:tc>
          <w:tcPr>
            <w:tcW w:w="1628" w:type="dxa"/>
            <w:vAlign w:val="center"/>
          </w:tcPr>
          <w:p w14:paraId="4DBC6393" w14:textId="0A71D459" w:rsidR="00392719" w:rsidRPr="006A3A0A" w:rsidRDefault="00400A7C" w:rsidP="00D21201">
            <w:pPr>
              <w:spacing w:before="120" w:after="120"/>
              <w:jc w:val="center"/>
            </w:pPr>
            <w:r w:rsidRPr="00400A7C">
              <w:t>Optical sorter</w:t>
            </w:r>
          </w:p>
        </w:tc>
        <w:tc>
          <w:tcPr>
            <w:tcW w:w="1984" w:type="dxa"/>
            <w:vAlign w:val="center"/>
          </w:tcPr>
          <w:p w14:paraId="4F44E07C" w14:textId="565AA00C" w:rsidR="00392719" w:rsidRPr="006A3A0A" w:rsidRDefault="00400A7C" w:rsidP="00D21201">
            <w:pPr>
              <w:spacing w:before="120" w:after="120"/>
            </w:pPr>
            <w:r w:rsidRPr="00400A7C">
              <w:t>Laser beams shine on the material and camera lenses record the light waves that bounce off to identify the colour and type of material. A jet of compressed air is used to remove contaminants such as CSP and sort cullet by colour.</w:t>
            </w:r>
          </w:p>
        </w:tc>
        <w:tc>
          <w:tcPr>
            <w:tcW w:w="3962" w:type="dxa"/>
            <w:vAlign w:val="center"/>
          </w:tcPr>
          <w:p w14:paraId="0E980C38" w14:textId="2F05F57C" w:rsidR="001B6159" w:rsidRPr="001B6159" w:rsidRDefault="00400A7C" w:rsidP="00FF788E">
            <w:pPr>
              <w:spacing w:before="120" w:after="120"/>
              <w:rPr>
                <w:u w:val="single"/>
              </w:rPr>
            </w:pPr>
            <w:proofErr w:type="spellStart"/>
            <w:r w:rsidRPr="001B6159">
              <w:rPr>
                <w:i/>
                <w:iCs/>
              </w:rPr>
              <w:t>Mogensen</w:t>
            </w:r>
            <w:proofErr w:type="spellEnd"/>
            <w:r w:rsidRPr="001B6159">
              <w:rPr>
                <w:i/>
                <w:iCs/>
              </w:rPr>
              <w:t xml:space="preserve"> </w:t>
            </w:r>
            <w:r w:rsidR="001B6159">
              <w:rPr>
                <w:i/>
                <w:iCs/>
              </w:rPr>
              <w:t>O</w:t>
            </w:r>
            <w:r w:rsidRPr="001B6159">
              <w:rPr>
                <w:i/>
                <w:iCs/>
              </w:rPr>
              <w:t xml:space="preserve">ptical </w:t>
            </w:r>
            <w:r w:rsidR="001B6159">
              <w:rPr>
                <w:i/>
                <w:iCs/>
              </w:rPr>
              <w:t>S</w:t>
            </w:r>
            <w:r w:rsidRPr="001B6159">
              <w:rPr>
                <w:i/>
                <w:iCs/>
              </w:rPr>
              <w:t>orters</w:t>
            </w:r>
          </w:p>
          <w:p w14:paraId="3D889072" w14:textId="77777777" w:rsidR="001B6159" w:rsidRDefault="00400A7C" w:rsidP="00FF788E">
            <w:pPr>
              <w:spacing w:before="120" w:after="120"/>
              <w:rPr>
                <w:u w:val="single"/>
              </w:rPr>
            </w:pPr>
            <w:proofErr w:type="spellStart"/>
            <w:r w:rsidRPr="00400A7C">
              <w:rPr>
                <w:u w:val="single"/>
              </w:rPr>
              <w:t>MSort</w:t>
            </w:r>
            <w:proofErr w:type="spellEnd"/>
            <w:r w:rsidRPr="00400A7C">
              <w:rPr>
                <w:u w:val="single"/>
              </w:rPr>
              <w:t xml:space="preserve"> AF/AK (smallest machine): </w:t>
            </w:r>
            <w:proofErr w:type="gramStart"/>
            <w:r w:rsidRPr="001B6159">
              <w:t>sorts</w:t>
            </w:r>
            <w:proofErr w:type="gramEnd"/>
            <w:r w:rsidRPr="001B6159">
              <w:t xml:space="preserve"> material size 4-30mm, 2-5 t/h.</w:t>
            </w:r>
            <w:r w:rsidRPr="00400A7C">
              <w:rPr>
                <w:u w:val="single"/>
              </w:rPr>
              <w:t xml:space="preserve">  </w:t>
            </w:r>
          </w:p>
          <w:p w14:paraId="76758F40" w14:textId="77777777" w:rsidR="001B6159" w:rsidRDefault="00400A7C" w:rsidP="00FF788E">
            <w:pPr>
              <w:spacing w:before="120" w:after="120"/>
              <w:rPr>
                <w:u w:val="single"/>
              </w:rPr>
            </w:pPr>
            <w:proofErr w:type="spellStart"/>
            <w:r w:rsidRPr="00400A7C">
              <w:rPr>
                <w:u w:val="single"/>
              </w:rPr>
              <w:t>MSort</w:t>
            </w:r>
            <w:proofErr w:type="spellEnd"/>
            <w:r w:rsidRPr="00400A7C">
              <w:rPr>
                <w:u w:val="single"/>
              </w:rPr>
              <w:t xml:space="preserve"> AS/AT:</w:t>
            </w:r>
            <w:r w:rsidRPr="001B6159">
              <w:t xml:space="preserve"> </w:t>
            </w:r>
            <w:proofErr w:type="gramStart"/>
            <w:r w:rsidRPr="001B6159">
              <w:t>sorts</w:t>
            </w:r>
            <w:proofErr w:type="gramEnd"/>
            <w:r w:rsidRPr="001B6159">
              <w:t xml:space="preserve"> material size 1580mm, 90t/h.  </w:t>
            </w:r>
          </w:p>
          <w:p w14:paraId="2064C5F9" w14:textId="3B1A2E78" w:rsidR="00392719" w:rsidRPr="006A3A0A" w:rsidRDefault="00400A7C" w:rsidP="00FF788E">
            <w:pPr>
              <w:spacing w:before="120" w:after="120"/>
              <w:rPr>
                <w:u w:val="single"/>
              </w:rPr>
            </w:pPr>
            <w:proofErr w:type="spellStart"/>
            <w:r w:rsidRPr="00400A7C">
              <w:rPr>
                <w:u w:val="single"/>
              </w:rPr>
              <w:t>MSort</w:t>
            </w:r>
            <w:proofErr w:type="spellEnd"/>
            <w:r w:rsidRPr="00400A7C">
              <w:rPr>
                <w:u w:val="single"/>
              </w:rPr>
              <w:t xml:space="preserve"> AG/AH (biggest machine):</w:t>
            </w:r>
            <w:r w:rsidRPr="001B6159">
              <w:t xml:space="preserve"> </w:t>
            </w:r>
            <w:proofErr w:type="gramStart"/>
            <w:r w:rsidRPr="001B6159">
              <w:t>sorts</w:t>
            </w:r>
            <w:proofErr w:type="gramEnd"/>
            <w:r w:rsidRPr="001B6159">
              <w:t xml:space="preserve"> material size 80-250mm, 200-250t/h.</w:t>
            </w:r>
          </w:p>
        </w:tc>
      </w:tr>
    </w:tbl>
    <w:p w14:paraId="6F454A26" w14:textId="77777777" w:rsidR="00724AD2" w:rsidRDefault="00724AD2" w:rsidP="007A252C">
      <w:pPr>
        <w:sectPr w:rsidR="00724AD2" w:rsidSect="002960CD">
          <w:pgSz w:w="11906" w:h="16838" w:code="9"/>
          <w:pgMar w:top="1418" w:right="1276" w:bottom="567" w:left="1418" w:header="425" w:footer="425" w:gutter="0"/>
          <w:cols w:space="708"/>
          <w:titlePg/>
          <w:docGrid w:linePitch="360"/>
        </w:sectPr>
      </w:pPr>
    </w:p>
    <w:p w14:paraId="0BC5AF32" w14:textId="1D471CE5" w:rsidR="00675069" w:rsidRDefault="00675069" w:rsidP="00243AA8">
      <w:pPr>
        <w:pStyle w:val="Heading1"/>
      </w:pPr>
      <w:bookmarkStart w:id="15" w:name="_Toc54265072"/>
      <w:r w:rsidRPr="00675069">
        <w:lastRenderedPageBreak/>
        <w:t>Conclusion</w:t>
      </w:r>
    </w:p>
    <w:p w14:paraId="63961ED3" w14:textId="77777777" w:rsidR="00675069" w:rsidRDefault="00675069" w:rsidP="00675069">
      <w:r>
        <w:t xml:space="preserve">In terms of the scale of waste exports, glass export is relatively minor compared to other waste materials, such as paper and plastics, and is not expected to grow to represent a significant percentage of collected glass. Domestic glass manufacturers have indicated their desire to increase the recycled glass content of their products and MRA estimates that the resulting increase in glass cullet demand is higher than quantities of glass cullet that has historically been exported from Australia. </w:t>
      </w:r>
    </w:p>
    <w:p w14:paraId="7F060C4F" w14:textId="047E79DA" w:rsidR="00675069" w:rsidRDefault="00675069" w:rsidP="00675069">
      <w:r>
        <w:t xml:space="preserve">The general feedback from stakeholders is the export of glass should be allowed where there is a viable overseas market and beneficial reuse. Requirement of export should be that the material be ‘clean’, or decontaminated. Based on the stakeholder consultation process, MRA understands that exports of glass from Australia have predominantly been for glass container remanufacture, with smaller quantities exported for water filtration media and abrasives. </w:t>
      </w:r>
    </w:p>
    <w:p w14:paraId="46B1DAFA" w14:textId="4E877622" w:rsidR="00675069" w:rsidRDefault="00675069" w:rsidP="00675069">
      <w:r>
        <w:t xml:space="preserve">While industry standards exist for glass cullet, feedback from the stakeholders, particularly from those that currently export glass, indicates that the specifications used are those set by individual customers. Feedback from stakeholders indicated that industry specifications for other uses of glass exports, such as water filtration and sand blasting, do not currently exist and product quality is specified by customers. Generally, stakeholders advised that there were limited requirements from their overseas customers to assure the product specifications. </w:t>
      </w:r>
    </w:p>
    <w:p w14:paraId="69A701C8" w14:textId="3910DADA" w:rsidR="00675069" w:rsidRDefault="00675069" w:rsidP="00675069">
      <w:r>
        <w:t xml:space="preserve">However, as industry standards do not currently exist for some waste glass products that are being exported, customer specific specifications would likely be nominated by some exporters during the licencing process. </w:t>
      </w:r>
    </w:p>
    <w:p w14:paraId="59D6DDC3" w14:textId="77777777" w:rsidR="001B5C01" w:rsidRDefault="001B5C01">
      <w:pPr>
        <w:spacing w:after="0" w:line="240" w:lineRule="auto"/>
        <w:rPr>
          <w:rFonts w:cs="Arial"/>
          <w:color w:val="17365D" w:themeColor="text2" w:themeShade="BF"/>
          <w:sz w:val="40"/>
        </w:rPr>
      </w:pPr>
      <w:r>
        <w:br w:type="page"/>
      </w:r>
    </w:p>
    <w:p w14:paraId="03A6B2F0" w14:textId="64959736" w:rsidR="007A252C" w:rsidRDefault="00243AA8" w:rsidP="00243AA8">
      <w:pPr>
        <w:pStyle w:val="Heading1"/>
      </w:pPr>
      <w:r>
        <w:lastRenderedPageBreak/>
        <w:t>Reference List</w:t>
      </w:r>
      <w:bookmarkEnd w:id="15"/>
    </w:p>
    <w:p w14:paraId="2B281A05" w14:textId="2A8A3161" w:rsidR="00C36D51" w:rsidRDefault="003744E8" w:rsidP="007A252C">
      <w:r>
        <w:t xml:space="preserve">Australian Bureau of </w:t>
      </w:r>
      <w:proofErr w:type="gramStart"/>
      <w:r>
        <w:t xml:space="preserve">Statistics </w:t>
      </w:r>
      <w:r w:rsidR="00C36D51" w:rsidRPr="00C36D51">
        <w:t>,</w:t>
      </w:r>
      <w:proofErr w:type="gramEnd"/>
      <w:r w:rsidR="00C36D51" w:rsidRPr="00C36D51">
        <w:t xml:space="preserve"> 2020, ABS export data collation May </w:t>
      </w:r>
    </w:p>
    <w:p w14:paraId="5558D646" w14:textId="77777777" w:rsidR="00C36D51" w:rsidRDefault="00C36D51" w:rsidP="007A252C">
      <w:r w:rsidRPr="00C36D51">
        <w:t xml:space="preserve">Australian Council of Recycling, Beneficiated cullet specifications (glass) </w:t>
      </w:r>
    </w:p>
    <w:p w14:paraId="2E842F5B" w14:textId="6AABE3A6" w:rsidR="00C36D51" w:rsidRDefault="00C36D51" w:rsidP="007A252C">
      <w:proofErr w:type="spellStart"/>
      <w:r w:rsidRPr="00C36D51">
        <w:t>Allgaier</w:t>
      </w:r>
      <w:proofErr w:type="spellEnd"/>
      <w:r w:rsidRPr="00C36D51">
        <w:t xml:space="preserve">-Group, </w:t>
      </w:r>
      <w:hyperlink r:id="rId16" w:history="1">
        <w:r w:rsidRPr="004443D3">
          <w:rPr>
            <w:rStyle w:val="Hyperlink"/>
          </w:rPr>
          <w:t>https://www.ferver.eu/sites/default/files/cleaningdryingsorting_of_cullet.pdf</w:t>
        </w:r>
      </w:hyperlink>
      <w:r w:rsidRPr="00C36D51">
        <w:t xml:space="preserve"> </w:t>
      </w:r>
    </w:p>
    <w:p w14:paraId="16E09F41" w14:textId="54B357EE" w:rsidR="00C36D51" w:rsidRDefault="00C36D51" w:rsidP="007A252C">
      <w:proofErr w:type="spellStart"/>
      <w:r w:rsidRPr="00C36D51">
        <w:t>Andela</w:t>
      </w:r>
      <w:proofErr w:type="spellEnd"/>
      <w:r w:rsidRPr="00C36D51">
        <w:t xml:space="preserve"> Products, </w:t>
      </w:r>
      <w:hyperlink r:id="rId17" w:history="1">
        <w:r w:rsidRPr="004443D3">
          <w:rPr>
            <w:rStyle w:val="Hyperlink"/>
          </w:rPr>
          <w:t>https://andelaproducts.com/wp-content/uploads/2018/11/2019-AGB-3HD-SYSTEMPACKET.pdf</w:t>
        </w:r>
      </w:hyperlink>
      <w:r w:rsidRPr="00C36D51">
        <w:t xml:space="preserve"> </w:t>
      </w:r>
    </w:p>
    <w:p w14:paraId="26761E89" w14:textId="41C0898B" w:rsidR="008C7F41" w:rsidRDefault="00C36D51" w:rsidP="007A252C">
      <w:r w:rsidRPr="00C36D51">
        <w:t xml:space="preserve">Australian Packaging Covenant Organisation, 2019, APCO Packaging Material Flow Analysis 2018 </w:t>
      </w:r>
    </w:p>
    <w:p w14:paraId="57052139" w14:textId="20D1FA0C" w:rsidR="008C7F41" w:rsidRDefault="00C36D51" w:rsidP="007A252C">
      <w:r w:rsidRPr="00C36D51">
        <w:t xml:space="preserve">Australian Packaging Covenant Organisation, 2019, Australian Packaging Consumption &amp; Resource Recovery Data </w:t>
      </w:r>
    </w:p>
    <w:p w14:paraId="7155491A" w14:textId="77777777" w:rsidR="008C7F41" w:rsidRDefault="00C36D51" w:rsidP="007A252C">
      <w:r w:rsidRPr="00C36D51">
        <w:t xml:space="preserve">Australian Packaging Covenant Organisation, 2019, Glass Working Group 2018 Report </w:t>
      </w:r>
    </w:p>
    <w:p w14:paraId="34682410" w14:textId="77777777" w:rsidR="00887610" w:rsidRDefault="00C36D51" w:rsidP="007A252C">
      <w:r w:rsidRPr="00C36D51">
        <w:t xml:space="preserve">Australian Packaging Covenant Organisation, 2016, National Recycling and Report Survey 2015-16. </w:t>
      </w:r>
    </w:p>
    <w:p w14:paraId="166DAA56" w14:textId="0A561B19" w:rsidR="00887610" w:rsidRDefault="00C36D51" w:rsidP="007A252C">
      <w:r w:rsidRPr="00C36D51">
        <w:t xml:space="preserve">Blue Environment/Department of Agriculture, Water and the Environment, 2020, ABS waste data export from Australia for May, </w:t>
      </w:r>
      <w:hyperlink r:id="rId18" w:history="1">
        <w:r w:rsidR="00887610" w:rsidRPr="004443D3">
          <w:rPr>
            <w:rStyle w:val="Hyperlink"/>
          </w:rPr>
          <w:t>https://www.environment.gov.au/protection/waste-resource-recovery/nationalwaste-policy/waste-exports</w:t>
        </w:r>
      </w:hyperlink>
      <w:r w:rsidRPr="00C36D51">
        <w:t xml:space="preserve"> </w:t>
      </w:r>
    </w:p>
    <w:p w14:paraId="3743E918" w14:textId="77777777" w:rsidR="00887610" w:rsidRDefault="00C36D51" w:rsidP="007A252C">
      <w:r w:rsidRPr="00C36D51">
        <w:t xml:space="preserve">Blue Environment, 2017, Hazardous Waste in Australia 2017 </w:t>
      </w:r>
    </w:p>
    <w:p w14:paraId="3E088A03" w14:textId="77777777" w:rsidR="00887610" w:rsidRDefault="00C36D51" w:rsidP="007A252C">
      <w:r w:rsidRPr="00C36D51">
        <w:t xml:space="preserve">Blue Environment, 2019, Exports of Australian waste-derived products and wastes in July </w:t>
      </w:r>
    </w:p>
    <w:p w14:paraId="5F932143" w14:textId="77777777" w:rsidR="00887610" w:rsidRDefault="00C36D51" w:rsidP="007A252C">
      <w:r w:rsidRPr="00C36D51">
        <w:t xml:space="preserve">Cement Concrete &amp; Aggregates Australia, 2009, Technical Note 71: Coarse asphalt aggregate – the requirements of AS2758.5 </w:t>
      </w:r>
    </w:p>
    <w:p w14:paraId="5DD2F1C6" w14:textId="77777777" w:rsidR="006D0156" w:rsidRDefault="00C36D51" w:rsidP="007A252C">
      <w:r w:rsidRPr="00C36D51">
        <w:t xml:space="preserve">COAG, 2019, Banning exports of waste plastic, paper, </w:t>
      </w:r>
      <w:proofErr w:type="gramStart"/>
      <w:r w:rsidRPr="00C36D51">
        <w:t>glass</w:t>
      </w:r>
      <w:proofErr w:type="gramEnd"/>
      <w:r w:rsidRPr="00C36D51">
        <w:t xml:space="preserve"> and tyres – Discussion paper </w:t>
      </w:r>
    </w:p>
    <w:p w14:paraId="005F704D" w14:textId="77777777" w:rsidR="006D0156" w:rsidRDefault="00C36D51" w:rsidP="007A252C">
      <w:r w:rsidRPr="00C36D51">
        <w:t xml:space="preserve">Department of Transport and Main Roads &amp; Queensland Government, 2016, Technical Specification: Transport and Main Roads Specifications MRTS35 Recycled Materials for Pavements </w:t>
      </w:r>
    </w:p>
    <w:p w14:paraId="5C1D9782" w14:textId="7BC091BE" w:rsidR="006D0156" w:rsidRDefault="00C36D51" w:rsidP="007A252C">
      <w:proofErr w:type="spellStart"/>
      <w:r w:rsidRPr="00C36D51">
        <w:t>Doppstadt</w:t>
      </w:r>
      <w:proofErr w:type="spellEnd"/>
      <w:r w:rsidRPr="00C36D51">
        <w:t xml:space="preserve">, </w:t>
      </w:r>
      <w:proofErr w:type="spellStart"/>
      <w:r w:rsidRPr="00C36D51">
        <w:t>Airflex</w:t>
      </w:r>
      <w:proofErr w:type="spellEnd"/>
      <w:r w:rsidRPr="00C36D51">
        <w:t xml:space="preserve"> 1500, </w:t>
      </w:r>
      <w:hyperlink r:id="rId19" w:history="1">
        <w:r w:rsidR="006D0156" w:rsidRPr="004443D3">
          <w:rPr>
            <w:rStyle w:val="Hyperlink"/>
          </w:rPr>
          <w:t>https://www.doppstadt.de/fileadmin/user_upload/04_News/Downloads/DE/Stationaere_Maschinen/Brosc huere_AirFlex_1500_DE.pdf</w:t>
        </w:r>
      </w:hyperlink>
      <w:r w:rsidR="006D0156">
        <w:t xml:space="preserve"> </w:t>
      </w:r>
      <w:r w:rsidRPr="00C36D51">
        <w:t xml:space="preserve"> </w:t>
      </w:r>
    </w:p>
    <w:p w14:paraId="1FB6E812" w14:textId="77777777" w:rsidR="00DB0731" w:rsidRDefault="00C36D51" w:rsidP="007A252C">
      <w:r w:rsidRPr="00C36D51">
        <w:t xml:space="preserve">EPA Victoria &amp; Victoria State Government, 2019, Fact sheet: Use of glass fines </w:t>
      </w:r>
    </w:p>
    <w:p w14:paraId="4303863A" w14:textId="2C0F7849" w:rsidR="00DB0731" w:rsidRDefault="00C36D51" w:rsidP="007A252C">
      <w:r w:rsidRPr="00C36D51">
        <w:t xml:space="preserve">EPA Victoria &amp; Victoria State Government, 2019, Fact sheet: Use of glass fines, </w:t>
      </w:r>
      <w:hyperlink r:id="rId20" w:history="1">
        <w:r w:rsidR="00DB0731" w:rsidRPr="004443D3">
          <w:rPr>
            <w:rStyle w:val="Hyperlink"/>
          </w:rPr>
          <w:t>https://ref.epa.vic.gov.au/~/media/Publications/1748.pdf</w:t>
        </w:r>
      </w:hyperlink>
      <w:r w:rsidRPr="00C36D51">
        <w:t xml:space="preserve"> </w:t>
      </w:r>
    </w:p>
    <w:p w14:paraId="04394EF6" w14:textId="77777777" w:rsidR="00DB0731" w:rsidRDefault="00C36D51" w:rsidP="007A252C">
      <w:r w:rsidRPr="00C36D51">
        <w:t xml:space="preserve">European Commission Joint Research Centre &amp; Institute for Prospective Technological Studies, 2011, End-of-Waste Criteria for Glass Cullet: Technical Proposals </w:t>
      </w:r>
    </w:p>
    <w:p w14:paraId="2BDA5ED8" w14:textId="77777777" w:rsidR="00DB0731" w:rsidRDefault="00C36D51" w:rsidP="007A252C">
      <w:r w:rsidRPr="00C36D51">
        <w:t xml:space="preserve">Icon Water, Recovered Glass Sand Fact Sheet </w:t>
      </w:r>
    </w:p>
    <w:p w14:paraId="78A44EE3" w14:textId="36DD634D" w:rsidR="00DB0731" w:rsidRDefault="00C36D51" w:rsidP="007A252C">
      <w:proofErr w:type="gramStart"/>
      <w:r w:rsidRPr="00C36D51">
        <w:t>IFE ,</w:t>
      </w:r>
      <w:proofErr w:type="gramEnd"/>
      <w:r w:rsidRPr="00C36D51">
        <w:t xml:space="preserve"> Eddy Current Separators, </w:t>
      </w:r>
      <w:hyperlink r:id="rId21" w:history="1">
        <w:r w:rsidR="00DB0731" w:rsidRPr="004443D3">
          <w:rPr>
            <w:rStyle w:val="Hyperlink"/>
          </w:rPr>
          <w:t>https://www.ifebulk.com/files/inhalt/ressourcen/prospekte/prospekt_wirbelstromscheider.pdf</w:t>
        </w:r>
      </w:hyperlink>
      <w:r w:rsidRPr="00C36D51">
        <w:t xml:space="preserve"> </w:t>
      </w:r>
    </w:p>
    <w:p w14:paraId="715F34DE" w14:textId="129C0982" w:rsidR="00DB0731" w:rsidRDefault="00C36D51" w:rsidP="007A252C">
      <w:proofErr w:type="gramStart"/>
      <w:r w:rsidRPr="00C36D51">
        <w:lastRenderedPageBreak/>
        <w:t>IFE,  Waste</w:t>
      </w:r>
      <w:proofErr w:type="gramEnd"/>
      <w:r w:rsidRPr="00C36D51">
        <w:t xml:space="preserve"> screens, </w:t>
      </w:r>
      <w:hyperlink r:id="rId22" w:history="1">
        <w:r w:rsidR="00DB0731" w:rsidRPr="004443D3">
          <w:rPr>
            <w:rStyle w:val="Hyperlink"/>
          </w:rPr>
          <w:t>https://www.ife-bulk.com/files/inhalt/ressourcen/prospekte/prospekt_muellsiebe.pdf</w:t>
        </w:r>
      </w:hyperlink>
      <w:r w:rsidRPr="00C36D51">
        <w:t xml:space="preserve"> </w:t>
      </w:r>
    </w:p>
    <w:p w14:paraId="45A7217D" w14:textId="287271C1" w:rsidR="00DB0731" w:rsidRDefault="00C36D51" w:rsidP="007A252C">
      <w:r w:rsidRPr="00C36D51">
        <w:t>I</w:t>
      </w:r>
      <w:r w:rsidR="00DB0731">
        <w:t>FE</w:t>
      </w:r>
      <w:r w:rsidRPr="00C36D51">
        <w:t xml:space="preserve">, </w:t>
      </w:r>
      <w:proofErr w:type="spellStart"/>
      <w:r w:rsidRPr="00C36D51">
        <w:t>Overband</w:t>
      </w:r>
      <w:proofErr w:type="spellEnd"/>
      <w:r w:rsidRPr="00C36D51">
        <w:t xml:space="preserve"> Separators, </w:t>
      </w:r>
      <w:hyperlink r:id="rId23" w:history="1">
        <w:r w:rsidR="00DB0731" w:rsidRPr="004443D3">
          <w:rPr>
            <w:rStyle w:val="Hyperlink"/>
          </w:rPr>
          <w:t>https://www.ifebulk.com/files/inhalt/ressourcen/prospekte/prospekt_ueberbandmagnetscheider.pdf</w:t>
        </w:r>
      </w:hyperlink>
      <w:r w:rsidRPr="00C36D51">
        <w:t xml:space="preserve"> </w:t>
      </w:r>
    </w:p>
    <w:p w14:paraId="0DCEDACF" w14:textId="77777777" w:rsidR="00DB0731" w:rsidRDefault="00C36D51" w:rsidP="007A252C">
      <w:r w:rsidRPr="00C36D51">
        <w:t xml:space="preserve">ISRI, 2020, ISRI Scrap Specifications Circular </w:t>
      </w:r>
    </w:p>
    <w:p w14:paraId="345D4C87" w14:textId="55F7B0AC" w:rsidR="00235BB7" w:rsidRDefault="00C36D51" w:rsidP="007A252C">
      <w:proofErr w:type="spellStart"/>
      <w:r w:rsidRPr="00C36D51">
        <w:t>Jost</w:t>
      </w:r>
      <w:proofErr w:type="spellEnd"/>
      <w:r w:rsidRPr="00C36D51">
        <w:t xml:space="preserve">, Zig Zag Air Separator, </w:t>
      </w:r>
      <w:hyperlink r:id="rId24" w:history="1">
        <w:r w:rsidR="00235BB7" w:rsidRPr="004443D3">
          <w:rPr>
            <w:rStyle w:val="Hyperlink"/>
          </w:rPr>
          <w:t>https://www.joest.com/en/products/sifting-sorting-separating/zig-zag-airseparator/</w:t>
        </w:r>
      </w:hyperlink>
      <w:r w:rsidRPr="00C36D51">
        <w:t xml:space="preserve"> </w:t>
      </w:r>
    </w:p>
    <w:p w14:paraId="2D2B5963" w14:textId="55CCFEF1" w:rsidR="007A252C" w:rsidRPr="00044421" w:rsidRDefault="00C36D51" w:rsidP="007A252C">
      <w:r w:rsidRPr="00C36D51">
        <w:t>Main Roads Western Australia, 2019, Specification 302 Earthworks</w:t>
      </w:r>
    </w:p>
    <w:p w14:paraId="6504FF8F" w14:textId="70F9CD7D" w:rsidR="00A5042B" w:rsidRDefault="00235BB7" w:rsidP="007A252C">
      <w:proofErr w:type="spellStart"/>
      <w:r w:rsidRPr="00235BB7">
        <w:t>Mclanahan</w:t>
      </w:r>
      <w:proofErr w:type="spellEnd"/>
      <w:r w:rsidRPr="00235BB7">
        <w:t xml:space="preserve">, Double Roll Crushers, </w:t>
      </w:r>
      <w:hyperlink r:id="rId25" w:history="1">
        <w:r w:rsidR="009F298D" w:rsidRPr="004443D3">
          <w:rPr>
            <w:rStyle w:val="Hyperlink"/>
          </w:rPr>
          <w:t>https://s3.amazonaws.com/mclanahan.com/files/Resources/Brochures/Dry/Double-RollCrusher_Metric_NA_Brochure.pdf?mtime=20190719074537</w:t>
        </w:r>
      </w:hyperlink>
      <w:r w:rsidR="009F298D">
        <w:t xml:space="preserve"> </w:t>
      </w:r>
      <w:r w:rsidRPr="00235BB7">
        <w:t xml:space="preserve"> </w:t>
      </w:r>
    </w:p>
    <w:p w14:paraId="53154DFD" w14:textId="0B30E8E7" w:rsidR="00A5042B" w:rsidRDefault="00235BB7" w:rsidP="007A252C">
      <w:r w:rsidRPr="00235BB7">
        <w:t xml:space="preserve">Metso, Vertical shaft impact (VSI) crushers, </w:t>
      </w:r>
      <w:hyperlink r:id="rId26" w:history="1">
        <w:r w:rsidR="00A5042B" w:rsidRPr="004443D3">
          <w:rPr>
            <w:rStyle w:val="Hyperlink"/>
          </w:rPr>
          <w:t>https://www.metso.com/products/crushers/impactcrushers/vertical-shaft-impact-vsi-crushers/</w:t>
        </w:r>
      </w:hyperlink>
      <w:r w:rsidRPr="00235BB7">
        <w:t xml:space="preserve"> </w:t>
      </w:r>
    </w:p>
    <w:p w14:paraId="7FDAD405" w14:textId="35382FED" w:rsidR="00A5042B" w:rsidRDefault="00235BB7" w:rsidP="007A252C">
      <w:r w:rsidRPr="00235BB7">
        <w:t xml:space="preserve">NSW EPA, 2014, The recovered glass sand order 2014, </w:t>
      </w:r>
      <w:hyperlink r:id="rId27" w:history="1">
        <w:r w:rsidR="00A5042B" w:rsidRPr="004443D3">
          <w:rPr>
            <w:rStyle w:val="Hyperlink"/>
          </w:rPr>
          <w:t>https://www.epa.nsw.gov.au//media/epa/corporate-site/resources/waste/rro14-glasssand.pdf?la=en&amp;hash=0236F03847053B2A675C89F824FD6F4474F94020</w:t>
        </w:r>
      </w:hyperlink>
      <w:r w:rsidRPr="00235BB7">
        <w:t xml:space="preserve"> </w:t>
      </w:r>
    </w:p>
    <w:p w14:paraId="7DFBDD62" w14:textId="0BBA8111" w:rsidR="00A5042B" w:rsidRDefault="00235BB7" w:rsidP="007A252C">
      <w:r w:rsidRPr="00235BB7">
        <w:t xml:space="preserve">NSW EPA, 2018, Glass Recovery Data Report – Confidential NSW Government presentation for the National Committee for Clinical Engineering (NCCE) Meeting, 2019, Waste Markets – Post National Sword and moving towards a circular economy, </w:t>
      </w:r>
      <w:hyperlink r:id="rId28" w:history="1">
        <w:r w:rsidR="00A5042B" w:rsidRPr="004443D3">
          <w:rPr>
            <w:rStyle w:val="Hyperlink"/>
          </w:rPr>
          <w:t>https://www.epa.nsw.gov.au/-/media/epa/corporate-site/resources/community/nccce/nccce-presentationwaste-markets-and-glass.pdf?la=en&amp;hash=617E600A5AE3D39279D2354D87AFAF8C00AA9185</w:t>
        </w:r>
      </w:hyperlink>
      <w:r w:rsidRPr="00235BB7">
        <w:t xml:space="preserve"> </w:t>
      </w:r>
    </w:p>
    <w:p w14:paraId="3797BE95" w14:textId="5FC12CF1" w:rsidR="001D603D" w:rsidRDefault="00235BB7" w:rsidP="007A252C">
      <w:r w:rsidRPr="00235BB7">
        <w:t xml:space="preserve">Official Journal of the European Union, 2012, Commission regulation (EU) No 1179/2012,  </w:t>
      </w:r>
      <w:hyperlink r:id="rId29" w:history="1">
        <w:r w:rsidR="001D603D" w:rsidRPr="004443D3">
          <w:rPr>
            <w:rStyle w:val="Hyperlink"/>
          </w:rPr>
          <w:t>https://eurlex.europa.eu/legal-content/EN/TXT/PDF/?uri=CELEX:32012R1179</w:t>
        </w:r>
      </w:hyperlink>
      <w:r w:rsidRPr="00235BB7">
        <w:t xml:space="preserve"> </w:t>
      </w:r>
    </w:p>
    <w:p w14:paraId="01BE29FF" w14:textId="77777777" w:rsidR="001D603D" w:rsidRDefault="00235BB7" w:rsidP="007A252C">
      <w:r w:rsidRPr="00235BB7">
        <w:t xml:space="preserve">Randell Environmental Consulting for the Dept. of the Environment and Energy, 2018, Assessment of Australian recycling infrastructure and 2016-17 exports to China – Metals (2018) </w:t>
      </w:r>
    </w:p>
    <w:p w14:paraId="595C60B2" w14:textId="77777777" w:rsidR="001D603D" w:rsidRDefault="00235BB7" w:rsidP="007A252C">
      <w:r w:rsidRPr="00235BB7">
        <w:t xml:space="preserve">RMIT University &amp; Sustainability Victoria, 2018, Glass fines final report </w:t>
      </w:r>
    </w:p>
    <w:p w14:paraId="5217DC6C" w14:textId="77777777" w:rsidR="001D603D" w:rsidRDefault="00235BB7" w:rsidP="007A252C">
      <w:r w:rsidRPr="00235BB7">
        <w:t xml:space="preserve">Sustainable Resource Use Pty Ltd, 2019, Recycling market development review </w:t>
      </w:r>
    </w:p>
    <w:p w14:paraId="3F2E7A74" w14:textId="77777777" w:rsidR="009F298D" w:rsidRDefault="00235BB7" w:rsidP="007A252C">
      <w:r w:rsidRPr="00235BB7">
        <w:t xml:space="preserve">Sustainable Resource Use, 2019, Recycling market situation: Summary Review </w:t>
      </w:r>
    </w:p>
    <w:p w14:paraId="62F88DEF" w14:textId="77777777" w:rsidR="009F298D" w:rsidRDefault="00235BB7" w:rsidP="007A252C">
      <w:r w:rsidRPr="00235BB7">
        <w:t xml:space="preserve">Sustainable Resource Use for Dept. of the Environment and Energy, 2019, Assessment of Australian recycling infrastructure – Glass packaging update (2019) </w:t>
      </w:r>
    </w:p>
    <w:p w14:paraId="353581B8" w14:textId="77777777" w:rsidR="009F298D" w:rsidRDefault="00235BB7" w:rsidP="007A252C">
      <w:r w:rsidRPr="00235BB7">
        <w:t xml:space="preserve">Transport for NSW &amp; NSW Government, 2020, QA Specification 3154 – Granulated Glass Aggregate. </w:t>
      </w:r>
    </w:p>
    <w:p w14:paraId="7CB66BEB" w14:textId="57372558" w:rsidR="009F298D" w:rsidRDefault="00235BB7" w:rsidP="007A252C">
      <w:r w:rsidRPr="00235BB7">
        <w:t xml:space="preserve">Transport for NSW &amp; NSW Government, 2020, Recycled Crushed Glass (RCG) in asphalt, https://www.rms.nsw.gov.au/business-industry/partners-suppliers/documents/approved-productsmaterials/recycled-crushed-glass-rcg-in-asphalt.pdf Waste Initiatives, Glass Crushers, </w:t>
      </w:r>
      <w:hyperlink r:id="rId30" w:history="1">
        <w:r w:rsidR="009F298D" w:rsidRPr="004443D3">
          <w:rPr>
            <w:rStyle w:val="Hyperlink"/>
          </w:rPr>
          <w:t>https://wasteinitiatives.com.au/products/glass-crushers/</w:t>
        </w:r>
      </w:hyperlink>
      <w:r w:rsidRPr="00235BB7">
        <w:t xml:space="preserve"> </w:t>
      </w:r>
    </w:p>
    <w:p w14:paraId="7310E748" w14:textId="79A09135" w:rsidR="007A252C" w:rsidRPr="007A252C" w:rsidRDefault="007A252C" w:rsidP="007A252C"/>
    <w:sectPr w:rsidR="007A252C" w:rsidRPr="007A252C" w:rsidSect="00381766">
      <w:pgSz w:w="11906" w:h="16838" w:code="9"/>
      <w:pgMar w:top="1418" w:right="1276" w:bottom="567"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8CF7E" w14:textId="77777777" w:rsidR="007B0D92" w:rsidRDefault="007B0D92" w:rsidP="00A60185">
      <w:pPr>
        <w:spacing w:after="0" w:line="240" w:lineRule="auto"/>
      </w:pPr>
      <w:r>
        <w:separator/>
      </w:r>
    </w:p>
  </w:endnote>
  <w:endnote w:type="continuationSeparator" w:id="0">
    <w:p w14:paraId="67061E6D" w14:textId="77777777" w:rsidR="007B0D92" w:rsidRDefault="007B0D92" w:rsidP="00A60185">
      <w:pPr>
        <w:spacing w:after="0" w:line="240" w:lineRule="auto"/>
      </w:pPr>
      <w:r>
        <w:continuationSeparator/>
      </w:r>
    </w:p>
  </w:endnote>
  <w:endnote w:type="continuationNotice" w:id="1">
    <w:p w14:paraId="173FF1D9" w14:textId="77777777" w:rsidR="007B0D92" w:rsidRDefault="007B0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43830"/>
      <w:docPartObj>
        <w:docPartGallery w:val="Page Numbers (Bottom of Page)"/>
        <w:docPartUnique/>
      </w:docPartObj>
    </w:sdtPr>
    <w:sdtEndPr/>
    <w:sdtContent>
      <w:p w14:paraId="6862C0DE" w14:textId="77777777" w:rsidR="007B0D92" w:rsidRDefault="007B0D9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2A82D" w14:textId="77777777" w:rsidR="007B0D92" w:rsidRDefault="007B0D92">
    <w:pPr>
      <w:pStyle w:val="Footer"/>
    </w:pPr>
    <w:r w:rsidRPr="001E3C58">
      <w:rPr>
        <w:noProof/>
        <w:lang w:eastAsia="en-AU"/>
      </w:rPr>
      <w:drawing>
        <wp:anchor distT="0" distB="0" distL="114300" distR="114300" simplePos="0" relativeHeight="251657216" behindDoc="0" locked="0" layoutInCell="1" allowOverlap="1" wp14:anchorId="14342D81" wp14:editId="30C2586C">
          <wp:simplePos x="0" y="0"/>
          <wp:positionH relativeFrom="page">
            <wp:posOffset>-2092</wp:posOffset>
          </wp:positionH>
          <wp:positionV relativeFrom="page">
            <wp:posOffset>9889262</wp:posOffset>
          </wp:positionV>
          <wp:extent cx="7591936" cy="37310"/>
          <wp:effectExtent l="19050" t="0" r="9014" b="0"/>
          <wp:wrapNone/>
          <wp:docPr id="5" name="Picture 1" descr="C:\Users\a11944\AppData\Local\Microsoft\Windows\Temporary Internet Files\Content.Outlook\DEX22WEH\HR_dotted_line_darker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1944\AppData\Local\Microsoft\Windows\Temporary Internet Files\Content.Outlook\DEX22WEH\HR_dotted_line_darkerblue.png"/>
                  <pic:cNvPicPr preferRelativeResize="0">
                    <a:picLocks noChangeAspect="1" noChangeArrowheads="1"/>
                  </pic:cNvPicPr>
                </pic:nvPicPr>
                <pic:blipFill>
                  <a:blip r:embed="rId1" cstate="print"/>
                  <a:srcRect/>
                  <a:stretch>
                    <a:fillRect/>
                  </a:stretch>
                </pic:blipFill>
                <pic:spPr bwMode="auto">
                  <a:xfrm>
                    <a:off x="0" y="0"/>
                    <a:ext cx="7591936" cy="37310"/>
                  </a:xfrm>
                  <a:prstGeom prst="rect">
                    <a:avLst/>
                  </a:prstGeom>
                  <a:noFill/>
                  <a:ln w="9525">
                    <a:noFill/>
                    <a:miter lim="800000"/>
                    <a:headEnd/>
                    <a:tailEnd/>
                  </a:ln>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F34B2" w14:textId="43CFAAF2" w:rsidR="007B0D92" w:rsidRDefault="007B0D92" w:rsidP="003A7D4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4774530"/>
      <w:docPartObj>
        <w:docPartGallery w:val="Page Numbers (Bottom of Page)"/>
        <w:docPartUnique/>
      </w:docPartObj>
    </w:sdtPr>
    <w:sdtEndPr/>
    <w:sdtContent>
      <w:p w14:paraId="07AB1962" w14:textId="77777777" w:rsidR="007B0D92" w:rsidRDefault="00103639" w:rsidP="003A7D43">
        <w:pPr>
          <w:pStyle w:val="Footer"/>
          <w:jc w:val="center"/>
        </w:pPr>
        <w:sdt>
          <w:sdtPr>
            <w:id w:val="336665877"/>
            <w:docPartObj>
              <w:docPartGallery w:val="Page Numbers (Bottom of Page)"/>
              <w:docPartUnique/>
            </w:docPartObj>
          </w:sdtPr>
          <w:sdtEndPr/>
          <w:sdtContent>
            <w:r w:rsidR="007B0D92">
              <w:fldChar w:fldCharType="begin"/>
            </w:r>
            <w:r w:rsidR="007B0D92">
              <w:instrText xml:space="preserve"> PAGE   \* MERGEFORMAT </w:instrText>
            </w:r>
            <w:r w:rsidR="007B0D92">
              <w:fldChar w:fldCharType="separate"/>
            </w:r>
            <w:r w:rsidR="007B0D92">
              <w:rPr>
                <w:noProof/>
              </w:rPr>
              <w:t>2</w:t>
            </w:r>
            <w:r w:rsidR="007B0D92">
              <w:rPr>
                <w:noProof/>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9D783" w14:textId="77777777" w:rsidR="007B0D92" w:rsidRDefault="007B0D92" w:rsidP="00A60185">
      <w:pPr>
        <w:spacing w:after="0" w:line="240" w:lineRule="auto"/>
      </w:pPr>
      <w:r>
        <w:separator/>
      </w:r>
    </w:p>
  </w:footnote>
  <w:footnote w:type="continuationSeparator" w:id="0">
    <w:p w14:paraId="1E50B0AE" w14:textId="77777777" w:rsidR="007B0D92" w:rsidRDefault="007B0D92" w:rsidP="00A60185">
      <w:pPr>
        <w:spacing w:after="0" w:line="240" w:lineRule="auto"/>
      </w:pPr>
      <w:r>
        <w:continuationSeparator/>
      </w:r>
    </w:p>
  </w:footnote>
  <w:footnote w:type="continuationNotice" w:id="1">
    <w:p w14:paraId="69F0E3D7" w14:textId="77777777" w:rsidR="007B0D92" w:rsidRDefault="007B0D92">
      <w:pPr>
        <w:spacing w:after="0" w:line="240" w:lineRule="auto"/>
      </w:pPr>
    </w:p>
  </w:footnote>
  <w:footnote w:id="2">
    <w:p w14:paraId="3F2D2768" w14:textId="77777777" w:rsidR="007B0D92" w:rsidRPr="00E7084D" w:rsidRDefault="007B0D92" w:rsidP="00F02764">
      <w:pPr>
        <w:pStyle w:val="FootnoteText"/>
      </w:pPr>
      <w:r>
        <w:rPr>
          <w:rStyle w:val="FootnoteReference"/>
        </w:rPr>
        <w:footnoteRef/>
      </w:r>
      <w:r>
        <w:t xml:space="preserve"> Sustainable Resource Use (2019), </w:t>
      </w:r>
      <w:r>
        <w:rPr>
          <w:i/>
          <w:iCs/>
        </w:rPr>
        <w:t>Recycling market situation</w:t>
      </w:r>
      <w:r>
        <w:t xml:space="preserve">, accessed on 13 October 2020, available at: </w:t>
      </w:r>
      <w:hyperlink r:id="rId1" w:history="1">
        <w:r w:rsidRPr="007A273B">
          <w:rPr>
            <w:rStyle w:val="Hyperlink"/>
          </w:rPr>
          <w:t>https://www.environment.gov.au/system/files/resources/12ab3fc8-7154-44e1-8691-cc05fd9d72bb/files/recycling-market-review-paper.pdf</w:t>
        </w:r>
      </w:hyperlink>
      <w:r>
        <w:t xml:space="preserve"> </w:t>
      </w:r>
    </w:p>
  </w:footnote>
  <w:footnote w:id="3">
    <w:p w14:paraId="0BD2A343" w14:textId="113E3022" w:rsidR="007B0D92" w:rsidRPr="00283400" w:rsidRDefault="007B0D92">
      <w:pPr>
        <w:pStyle w:val="FootnoteText"/>
      </w:pPr>
      <w:r>
        <w:rPr>
          <w:rStyle w:val="FootnoteReference"/>
        </w:rPr>
        <w:footnoteRef/>
      </w:r>
      <w:r>
        <w:t xml:space="preserve"> Australian Packaging Covenant Organisation (2016), </w:t>
      </w:r>
      <w:r>
        <w:rPr>
          <w:i/>
          <w:iCs/>
        </w:rPr>
        <w:t xml:space="preserve">National Recycling and Report Survey 2015-16, </w:t>
      </w:r>
      <w:r>
        <w:t xml:space="preserve">accessed on 13 October 2020, available at: </w:t>
      </w:r>
      <w:hyperlink r:id="rId2" w:history="1">
        <w:r w:rsidRPr="007A273B">
          <w:rPr>
            <w:rStyle w:val="Hyperlink"/>
          </w:rPr>
          <w:t>https://www.packagingcovenant.org.au/documents/item/1196</w:t>
        </w:r>
      </w:hyperlink>
      <w:r>
        <w:t xml:space="preserve"> </w:t>
      </w:r>
    </w:p>
  </w:footnote>
  <w:footnote w:id="4">
    <w:p w14:paraId="4F2B1F9B" w14:textId="408E8215" w:rsidR="007B0D92" w:rsidRPr="00571369" w:rsidRDefault="007B0D92">
      <w:pPr>
        <w:pStyle w:val="FootnoteText"/>
      </w:pPr>
      <w:r>
        <w:rPr>
          <w:rStyle w:val="FootnoteReference"/>
        </w:rPr>
        <w:footnoteRef/>
      </w:r>
      <w:r>
        <w:t xml:space="preserve"> Department of the Environment and Eneryg (2018), </w:t>
      </w:r>
      <w:r>
        <w:rPr>
          <w:i/>
          <w:iCs/>
        </w:rPr>
        <w:t>Analysis of Australia’s municipal recycling industrial capacity</w:t>
      </w:r>
      <w:r>
        <w:t xml:space="preserve">, accessed on 13 October 2020, available at: </w:t>
      </w:r>
      <w:hyperlink r:id="rId3" w:history="1">
        <w:r w:rsidRPr="007A273B">
          <w:rPr>
            <w:rStyle w:val="Hyperlink"/>
          </w:rPr>
          <w:t>https://www.environment.gov.au/system/files/resources/f0196d2e-9040-4547-8cb6-8b433923b53d/files/waste-stocktake-report.pdf</w:t>
        </w:r>
      </w:hyperlink>
      <w:r>
        <w:t xml:space="preserve"> </w:t>
      </w:r>
    </w:p>
  </w:footnote>
  <w:footnote w:id="5">
    <w:p w14:paraId="474589F6" w14:textId="169EAE25" w:rsidR="007B0D92" w:rsidRPr="0066472B" w:rsidRDefault="007B0D92">
      <w:pPr>
        <w:pStyle w:val="FootnoteText"/>
      </w:pPr>
      <w:r>
        <w:rPr>
          <w:rStyle w:val="FootnoteReference"/>
        </w:rPr>
        <w:footnoteRef/>
      </w:r>
      <w:r>
        <w:t xml:space="preserve"> Australian Packaging Convenant Organisation (2019), </w:t>
      </w:r>
      <w:r>
        <w:rPr>
          <w:i/>
          <w:iCs/>
        </w:rPr>
        <w:t>Australian Packaging Consumption Resource &amp; Recovery Data</w:t>
      </w:r>
      <w:r>
        <w:t xml:space="preserve">, accessed on 13 October 2020, available at: </w:t>
      </w:r>
      <w:hyperlink r:id="rId4" w:history="1">
        <w:r w:rsidRPr="007A273B">
          <w:rPr>
            <w:rStyle w:val="Hyperlink"/>
          </w:rPr>
          <w:t>https://www.packagingcovenant.org.au/documents/item/3164</w:t>
        </w:r>
      </w:hyperlink>
      <w:r>
        <w:t xml:space="preserve"> </w:t>
      </w:r>
    </w:p>
  </w:footnote>
  <w:footnote w:id="6">
    <w:p w14:paraId="57C0364C" w14:textId="464D5EA6" w:rsidR="007B0D92" w:rsidRPr="006311FC" w:rsidRDefault="007B0D92">
      <w:pPr>
        <w:pStyle w:val="FootnoteText"/>
      </w:pPr>
      <w:r>
        <w:rPr>
          <w:rStyle w:val="FootnoteReference"/>
        </w:rPr>
        <w:footnoteRef/>
      </w:r>
      <w:r>
        <w:t xml:space="preserve"> Australian Packaging Covenant Organisation (2019), </w:t>
      </w:r>
      <w:r>
        <w:rPr>
          <w:i/>
          <w:iCs/>
        </w:rPr>
        <w:t>Glass Working Group 2018</w:t>
      </w:r>
      <w:r>
        <w:t xml:space="preserve">, accessed on 13 October 2020, available at: </w:t>
      </w:r>
      <w:hyperlink r:id="rId5" w:history="1">
        <w:r w:rsidRPr="007A273B">
          <w:rPr>
            <w:rStyle w:val="Hyperlink"/>
          </w:rPr>
          <w:t>https://www.packagingcovenant.org.au/documents/item/2177</w:t>
        </w:r>
      </w:hyperlink>
      <w:r>
        <w:t xml:space="preserve">. </w:t>
      </w:r>
    </w:p>
  </w:footnote>
  <w:footnote w:id="7">
    <w:p w14:paraId="0E68947B" w14:textId="16A6D081" w:rsidR="007B0D92" w:rsidRPr="007034DD" w:rsidRDefault="007B0D92">
      <w:pPr>
        <w:pStyle w:val="FootnoteText"/>
      </w:pPr>
      <w:r>
        <w:rPr>
          <w:rStyle w:val="FootnoteReference"/>
        </w:rPr>
        <w:footnoteRef/>
      </w:r>
      <w:r>
        <w:t xml:space="preserve"> Sustainable Resource Use (2019), </w:t>
      </w:r>
      <w:r>
        <w:rPr>
          <w:i/>
          <w:iCs/>
        </w:rPr>
        <w:t>Assessment of Australian recycling infrastructure – Glass packaging update</w:t>
      </w:r>
      <w:r>
        <w:t xml:space="preserve">, accessed on 13 October 2020, available at: </w:t>
      </w:r>
      <w:hyperlink r:id="rId6" w:history="1">
        <w:r w:rsidRPr="007A273B">
          <w:rPr>
            <w:rStyle w:val="Hyperlink"/>
          </w:rPr>
          <w:t>https://www.environment.gov.au/system/files/resources/367a8ec1-67e2-44fc-9dd0-3daa90c886e9/files/assessment-australian-recycling-infrastructure-glass-packaging.pdf</w:t>
        </w:r>
      </w:hyperlink>
      <w:r>
        <w:t xml:space="preserve"> </w:t>
      </w:r>
    </w:p>
  </w:footnote>
  <w:footnote w:id="8">
    <w:p w14:paraId="4E252A3D" w14:textId="07B259A0" w:rsidR="007B0D92" w:rsidRDefault="007B0D92">
      <w:pPr>
        <w:pStyle w:val="FootnoteText"/>
      </w:pPr>
      <w:r>
        <w:rPr>
          <w:rStyle w:val="FootnoteReference"/>
        </w:rPr>
        <w:footnoteRef/>
      </w:r>
      <w:r>
        <w:t xml:space="preserve"> Sustainable Resource Use (2019), </w:t>
      </w:r>
      <w:r>
        <w:rPr>
          <w:i/>
          <w:iCs/>
        </w:rPr>
        <w:t>Assessment of Australian recycling infrastructure – Glass packaging update</w:t>
      </w:r>
    </w:p>
  </w:footnote>
  <w:footnote w:id="9">
    <w:p w14:paraId="077796CC" w14:textId="7046973F" w:rsidR="007B0D92" w:rsidRDefault="007B0D92">
      <w:pPr>
        <w:pStyle w:val="FootnoteText"/>
      </w:pPr>
      <w:r>
        <w:rPr>
          <w:rStyle w:val="FootnoteReference"/>
        </w:rPr>
        <w:footnoteRef/>
      </w:r>
      <w:r>
        <w:t xml:space="preserve"> Australian Packaging Covenant Organisation (2019), </w:t>
      </w:r>
      <w:r>
        <w:rPr>
          <w:i/>
          <w:iCs/>
        </w:rPr>
        <w:t>Glass Working Group 2018</w:t>
      </w:r>
    </w:p>
  </w:footnote>
  <w:footnote w:id="10">
    <w:p w14:paraId="05421DBA" w14:textId="77777777" w:rsidR="007B0D92" w:rsidRDefault="007B0D92" w:rsidP="006E4CF7">
      <w:pPr>
        <w:pStyle w:val="FootnoteText"/>
      </w:pPr>
      <w:r>
        <w:rPr>
          <w:rStyle w:val="FootnoteReference"/>
        </w:rPr>
        <w:footnoteRef/>
      </w:r>
      <w:r>
        <w:t xml:space="preserve"> Australian Packaging Convenant Organisation (2019), </w:t>
      </w:r>
      <w:r>
        <w:rPr>
          <w:i/>
          <w:iCs/>
        </w:rPr>
        <w:t>Australian Packaging Consumption Resource &amp; Recovery Data</w:t>
      </w:r>
    </w:p>
  </w:footnote>
  <w:footnote w:id="11">
    <w:p w14:paraId="1522959F" w14:textId="31E22EBC" w:rsidR="007B0D92" w:rsidRPr="00476C11" w:rsidRDefault="007B0D92">
      <w:pPr>
        <w:pStyle w:val="FootnoteText"/>
        <w:rPr>
          <w:lang w:val="en-US"/>
        </w:rPr>
      </w:pPr>
      <w:r>
        <w:rPr>
          <w:rStyle w:val="FootnoteReference"/>
        </w:rPr>
        <w:footnoteRef/>
      </w:r>
      <w:r>
        <w:t xml:space="preserve"> </w:t>
      </w:r>
      <w:r>
        <w:rPr>
          <w:lang w:val="en-US"/>
        </w:rPr>
        <w:t>Other includes: Singapore, Philippines and South Africa.</w:t>
      </w:r>
    </w:p>
  </w:footnote>
  <w:footnote w:id="12">
    <w:p w14:paraId="3B2096B8" w14:textId="255F445A" w:rsidR="007B0D92" w:rsidRPr="00755867" w:rsidRDefault="007B0D92">
      <w:pPr>
        <w:pStyle w:val="FootnoteText"/>
      </w:pPr>
      <w:r>
        <w:rPr>
          <w:rStyle w:val="FootnoteReference"/>
        </w:rPr>
        <w:footnoteRef/>
      </w:r>
      <w:r>
        <w:t xml:space="preserve"> Institute of Scrap Recycling Industries (2020), </w:t>
      </w:r>
      <w:r>
        <w:rPr>
          <w:i/>
        </w:rPr>
        <w:t>ISRI Scrap Specifications Circular,</w:t>
      </w:r>
      <w:r>
        <w:t xml:space="preserve"> accessed on 14 October 2020 at: </w:t>
      </w:r>
      <w:hyperlink r:id="rId7" w:history="1">
        <w:r w:rsidRPr="00A463CD">
          <w:rPr>
            <w:rStyle w:val="Hyperlink"/>
          </w:rPr>
          <w:t>http://www.scrap2.org/specs/</w:t>
        </w:r>
      </w:hyperlink>
      <w:r>
        <w:t xml:space="preserve">. </w:t>
      </w:r>
    </w:p>
  </w:footnote>
  <w:footnote w:id="13">
    <w:p w14:paraId="0CC086A7" w14:textId="594D56EA" w:rsidR="007B0D92" w:rsidRDefault="007B0D92">
      <w:pPr>
        <w:pStyle w:val="FootnoteText"/>
      </w:pPr>
      <w:r>
        <w:rPr>
          <w:rStyle w:val="FootnoteReference"/>
        </w:rPr>
        <w:footnoteRef/>
      </w:r>
      <w:r>
        <w:t xml:space="preserve"> European Union (2012), </w:t>
      </w:r>
      <w:r>
        <w:rPr>
          <w:i/>
        </w:rPr>
        <w:t>Commission Regulation No 1179/2012,</w:t>
      </w:r>
      <w:r>
        <w:t xml:space="preserve"> Official Journal of the European Union, available at 14 October 2020 at: </w:t>
      </w:r>
      <w:hyperlink r:id="rId8" w:history="1">
        <w:r w:rsidRPr="00A463CD">
          <w:rPr>
            <w:rStyle w:val="Hyperlink"/>
          </w:rPr>
          <w:t>https://eur-lex.europa.eu/legal-content/EN/TXT/PDF/?uri=CELEX:32012R1179</w:t>
        </w:r>
      </w:hyperlink>
      <w:r>
        <w:t>.</w:t>
      </w:r>
    </w:p>
  </w:footnote>
  <w:footnote w:id="14">
    <w:p w14:paraId="25ECCB5C" w14:textId="3176C7A1" w:rsidR="007B0D92" w:rsidRPr="00180FD2" w:rsidRDefault="007B0D92">
      <w:pPr>
        <w:pStyle w:val="FootnoteText"/>
      </w:pPr>
      <w:r>
        <w:rPr>
          <w:rStyle w:val="FootnoteReference"/>
        </w:rPr>
        <w:footnoteRef/>
      </w:r>
      <w:r>
        <w:t xml:space="preserve"> Vieitez et al (2011), </w:t>
      </w:r>
      <w:r>
        <w:rPr>
          <w:i/>
        </w:rPr>
        <w:t>End-of-Waste Criteria for Glass Cullet: Technical Proposals</w:t>
      </w:r>
      <w:r>
        <w:t xml:space="preserve">, JRC Scientific and Technical Reports, accessed on 14 October 2020 at: </w:t>
      </w:r>
      <w:hyperlink r:id="rId9" w:history="1">
        <w:r w:rsidRPr="00A463CD">
          <w:rPr>
            <w:rStyle w:val="Hyperlink"/>
          </w:rPr>
          <w:t>https://publications.jrc.ec.europa.eu/repository/bitstream/JRC68281/jrc68281.pdf</w:t>
        </w:r>
      </w:hyperlink>
      <w:r>
        <w:t xml:space="preserve"> </w:t>
      </w:r>
    </w:p>
  </w:footnote>
  <w:footnote w:id="15">
    <w:p w14:paraId="324EE422" w14:textId="10ECA0BE" w:rsidR="007B0D92" w:rsidRPr="006E3C37" w:rsidRDefault="007B0D92">
      <w:pPr>
        <w:pStyle w:val="FootnoteText"/>
      </w:pPr>
      <w:r>
        <w:rPr>
          <w:rStyle w:val="FootnoteReference"/>
        </w:rPr>
        <w:footnoteRef/>
      </w:r>
      <w:r>
        <w:t xml:space="preserve"> Cement Conrete &amp; Aggregates Australia (2009), </w:t>
      </w:r>
      <w:r>
        <w:rPr>
          <w:i/>
          <w:iCs/>
        </w:rPr>
        <w:t>Technical Note 71; Coarse asphalt aggregate – the requirements of AS2758.5</w:t>
      </w:r>
      <w:r>
        <w:t xml:space="preserve">, accessed on 22 October 2020 at: </w:t>
      </w:r>
      <w:hyperlink r:id="rId10" w:history="1">
        <w:r w:rsidRPr="004443D3">
          <w:rPr>
            <w:rStyle w:val="Hyperlink"/>
          </w:rPr>
          <w:t>https://www.ccaa.com.au/imis_prod/documents/Library%20Documents/Tech%20Note%2071%20Course%20Asphalt%20LR.pdf</w:t>
        </w:r>
      </w:hyperlink>
      <w:r>
        <w:t>.</w:t>
      </w:r>
    </w:p>
  </w:footnote>
  <w:footnote w:id="16">
    <w:p w14:paraId="0CFADF45" w14:textId="60DF5BA2" w:rsidR="007B0D92" w:rsidRPr="004E253A" w:rsidRDefault="007B0D92">
      <w:pPr>
        <w:pStyle w:val="FootnoteText"/>
      </w:pPr>
      <w:r>
        <w:rPr>
          <w:rStyle w:val="FootnoteReference"/>
        </w:rPr>
        <w:footnoteRef/>
      </w:r>
      <w:r>
        <w:t xml:space="preserve"> NSW EPA (2019), </w:t>
      </w:r>
      <w:r>
        <w:rPr>
          <w:i/>
          <w:iCs/>
        </w:rPr>
        <w:t>Waste Markets – Post National Sword and Moving Towards a Circular Economy</w:t>
      </w:r>
      <w:r>
        <w:t xml:space="preserve">, Presentation for the National Committee for Clinical Engineering Meeting, accessed on 22 October 2020 at: </w:t>
      </w:r>
      <w:hyperlink r:id="rId11" w:history="1">
        <w:r w:rsidRPr="004443D3">
          <w:rPr>
            <w:rStyle w:val="Hyperlink"/>
          </w:rPr>
          <w:t>https://www.epa.nsw.gov.au/-/media/epa/corporate-site/resources/community/nccce/nccce-presentation-waste-markets-and-glass.pdf?la=en&amp;hash=617E600A5AE3D39279D2354D87AFAF8C00AA9185</w:t>
        </w:r>
      </w:hyperlink>
      <w:r>
        <w:t>.</w:t>
      </w:r>
    </w:p>
  </w:footnote>
  <w:footnote w:id="17">
    <w:p w14:paraId="1588E863" w14:textId="779D5F26" w:rsidR="007B0D92" w:rsidRPr="00B1201C" w:rsidRDefault="007B0D92">
      <w:pPr>
        <w:pStyle w:val="FootnoteText"/>
      </w:pPr>
      <w:r>
        <w:rPr>
          <w:rStyle w:val="FootnoteReference"/>
        </w:rPr>
        <w:footnoteRef/>
      </w:r>
      <w:r>
        <w:t xml:space="preserve"> RMS NSW (2020), </w:t>
      </w:r>
      <w:r>
        <w:rPr>
          <w:i/>
          <w:iCs/>
        </w:rPr>
        <w:t>Recycled Crush Glass in Asphalt</w:t>
      </w:r>
      <w:r>
        <w:t xml:space="preserve">, accessed on 22 October 2020 at: </w:t>
      </w:r>
      <w:hyperlink r:id="rId12" w:history="1">
        <w:r w:rsidRPr="004443D3">
          <w:rPr>
            <w:rStyle w:val="Hyperlink"/>
          </w:rPr>
          <w:t>https://www.rms.nsw.gov.au/business-industry/partners-suppliers/documents/approved-products-materials/recycled-crushed-glass-rcg-in-asphalt.pdf</w:t>
        </w:r>
      </w:hyperlink>
      <w:r>
        <w:t xml:space="preserve">. </w:t>
      </w:r>
    </w:p>
  </w:footnote>
  <w:footnote w:id="18">
    <w:p w14:paraId="2F1E7848" w14:textId="73CB420C" w:rsidR="007B0D92" w:rsidRPr="00BB7B3D" w:rsidRDefault="007B0D92">
      <w:pPr>
        <w:pStyle w:val="FootnoteText"/>
      </w:pPr>
      <w:r>
        <w:rPr>
          <w:rStyle w:val="FootnoteReference"/>
        </w:rPr>
        <w:footnoteRef/>
      </w:r>
      <w:r>
        <w:t xml:space="preserve"> EPA Victoria (2019), </w:t>
      </w:r>
      <w:r>
        <w:rPr>
          <w:i/>
          <w:iCs/>
        </w:rPr>
        <w:t>Fact Sheet – Use of Glass Fines</w:t>
      </w:r>
      <w:r>
        <w:t xml:space="preserve">, accessed on 22 October 2020 at: </w:t>
      </w:r>
      <w:hyperlink r:id="rId13" w:history="1">
        <w:r w:rsidRPr="004443D3">
          <w:rPr>
            <w:rStyle w:val="Hyperlink"/>
          </w:rPr>
          <w:t>https://ref.epa.vic.gov.au/~/media/Publications/1748.pdf</w:t>
        </w:r>
      </w:hyperlink>
      <w:r>
        <w:t>.</w:t>
      </w:r>
    </w:p>
  </w:footnote>
  <w:footnote w:id="19">
    <w:p w14:paraId="20D7A0C6" w14:textId="78F7D1CD" w:rsidR="007B0D92" w:rsidRPr="00FD2301" w:rsidRDefault="007B0D92">
      <w:pPr>
        <w:pStyle w:val="FootnoteText"/>
      </w:pPr>
      <w:r>
        <w:rPr>
          <w:rStyle w:val="FootnoteReference"/>
        </w:rPr>
        <w:footnoteRef/>
      </w:r>
      <w:r>
        <w:t xml:space="preserve"> Mainroads WA (2019), </w:t>
      </w:r>
      <w:r>
        <w:rPr>
          <w:i/>
          <w:iCs/>
        </w:rPr>
        <w:t>Earthworks – Specification 302</w:t>
      </w:r>
      <w:r>
        <w:t xml:space="preserve">, accessed on 22 October 2020 at: </w:t>
      </w:r>
      <w:hyperlink r:id="rId14" w:history="1">
        <w:r w:rsidRPr="004443D3">
          <w:rPr>
            <w:rStyle w:val="Hyperlink"/>
          </w:rPr>
          <w:t>https://www.mainroads.wa.gov.au/globalassets/technical-commercial/technical-library/specifications/300-series-earthworks/specification-302-earthworks.pdf</w:t>
        </w:r>
      </w:hyperlink>
      <w:r>
        <w:t xml:space="preserve">. </w:t>
      </w:r>
    </w:p>
  </w:footnote>
  <w:footnote w:id="20">
    <w:p w14:paraId="6F608CD1" w14:textId="1256BCFB" w:rsidR="007B0D92" w:rsidRPr="000E411D" w:rsidRDefault="007B0D92" w:rsidP="00B4584A">
      <w:pPr>
        <w:pStyle w:val="FootnoteText"/>
      </w:pPr>
      <w:r>
        <w:rPr>
          <w:rStyle w:val="FootnoteReference"/>
        </w:rPr>
        <w:footnoteRef/>
      </w:r>
      <w:r>
        <w:t xml:space="preserve"> Blue Environment (2017), </w:t>
      </w:r>
      <w:r>
        <w:rPr>
          <w:i/>
          <w:iCs/>
        </w:rPr>
        <w:t>Hazardous Waste in Australia</w:t>
      </w:r>
      <w:r>
        <w:t xml:space="preserve">, available at 22 October 2020 at: </w:t>
      </w:r>
      <w:hyperlink r:id="rId15" w:history="1">
        <w:r w:rsidRPr="004443D3">
          <w:rPr>
            <w:rStyle w:val="Hyperlink"/>
          </w:rPr>
          <w:t>https://www.environment.gov.au/system/files/resources/291b8289-29d8-4fc1-90ce-1f44e09913f7/files/hazardous-waste-australia-2017.pdf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588D" w14:textId="77777777" w:rsidR="007B0D92" w:rsidRDefault="007B0D92"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93958" w14:textId="248B865A" w:rsidR="007B0D92" w:rsidRDefault="007B0D92">
    <w:pPr>
      <w:pStyle w:val="Header"/>
    </w:pPr>
  </w:p>
  <w:p w14:paraId="1279D643" w14:textId="77777777" w:rsidR="007B0D92" w:rsidRDefault="007B0D92">
    <w:pPr>
      <w:pStyle w:val="Header"/>
    </w:pPr>
    <w:r>
      <w:rPr>
        <w:noProof/>
        <w:lang w:eastAsia="en-AU"/>
      </w:rPr>
      <w:drawing>
        <wp:inline distT="0" distB="0" distL="0" distR="0" wp14:anchorId="0223AB77" wp14:editId="2D759DD1">
          <wp:extent cx="3409950" cy="10572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9950" cy="10572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5B143" w14:textId="2A38301A" w:rsidR="007B0D92" w:rsidRDefault="007B0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6665213"/>
    <w:multiLevelType w:val="hybridMultilevel"/>
    <w:tmpl w:val="D890A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456429"/>
    <w:multiLevelType w:val="multilevel"/>
    <w:tmpl w:val="E898CC72"/>
    <w:numStyleLink w:val="KeyPoints"/>
  </w:abstractNum>
  <w:abstractNum w:abstractNumId="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15:restartNumberingAfterBreak="0">
    <w:nsid w:val="7F8037C2"/>
    <w:multiLevelType w:val="hybridMultilevel"/>
    <w:tmpl w:val="74B6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 w:numId="8">
    <w:abstractNumId w:val="7"/>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323DA9"/>
    <w:rsid w:val="000010CF"/>
    <w:rsid w:val="00004AEE"/>
    <w:rsid w:val="00005CAA"/>
    <w:rsid w:val="0000747B"/>
    <w:rsid w:val="00010210"/>
    <w:rsid w:val="000112B6"/>
    <w:rsid w:val="00012D66"/>
    <w:rsid w:val="0001476D"/>
    <w:rsid w:val="00015ADA"/>
    <w:rsid w:val="00020C99"/>
    <w:rsid w:val="00025722"/>
    <w:rsid w:val="0002707B"/>
    <w:rsid w:val="00034528"/>
    <w:rsid w:val="00036F66"/>
    <w:rsid w:val="000373D8"/>
    <w:rsid w:val="000406B0"/>
    <w:rsid w:val="00044772"/>
    <w:rsid w:val="00044803"/>
    <w:rsid w:val="0005148E"/>
    <w:rsid w:val="00053D4F"/>
    <w:rsid w:val="00053F36"/>
    <w:rsid w:val="000701B4"/>
    <w:rsid w:val="00072C5A"/>
    <w:rsid w:val="000759E5"/>
    <w:rsid w:val="00077962"/>
    <w:rsid w:val="00084AC6"/>
    <w:rsid w:val="00091608"/>
    <w:rsid w:val="0009333C"/>
    <w:rsid w:val="000963E7"/>
    <w:rsid w:val="0009704F"/>
    <w:rsid w:val="000A0F11"/>
    <w:rsid w:val="000A125A"/>
    <w:rsid w:val="000A57CD"/>
    <w:rsid w:val="000B3758"/>
    <w:rsid w:val="000B7681"/>
    <w:rsid w:val="000B795D"/>
    <w:rsid w:val="000B7B42"/>
    <w:rsid w:val="000C02B7"/>
    <w:rsid w:val="000C5100"/>
    <w:rsid w:val="000C5342"/>
    <w:rsid w:val="000C706A"/>
    <w:rsid w:val="000D2887"/>
    <w:rsid w:val="000D5493"/>
    <w:rsid w:val="000D6ADF"/>
    <w:rsid w:val="000D6D63"/>
    <w:rsid w:val="000E0081"/>
    <w:rsid w:val="000E07CF"/>
    <w:rsid w:val="000E31C1"/>
    <w:rsid w:val="000E35F7"/>
    <w:rsid w:val="000E411D"/>
    <w:rsid w:val="000E52A7"/>
    <w:rsid w:val="000F2CF2"/>
    <w:rsid w:val="000F7155"/>
    <w:rsid w:val="00100BEF"/>
    <w:rsid w:val="00103639"/>
    <w:rsid w:val="001105DF"/>
    <w:rsid w:val="00111326"/>
    <w:rsid w:val="0011498E"/>
    <w:rsid w:val="00116FE2"/>
    <w:rsid w:val="00117A45"/>
    <w:rsid w:val="001217B9"/>
    <w:rsid w:val="001222DC"/>
    <w:rsid w:val="001224AE"/>
    <w:rsid w:val="00123FB1"/>
    <w:rsid w:val="00124F3D"/>
    <w:rsid w:val="00131E87"/>
    <w:rsid w:val="0013265D"/>
    <w:rsid w:val="001337D4"/>
    <w:rsid w:val="001406C7"/>
    <w:rsid w:val="00147C12"/>
    <w:rsid w:val="001527A1"/>
    <w:rsid w:val="001530DC"/>
    <w:rsid w:val="00153B70"/>
    <w:rsid w:val="00154989"/>
    <w:rsid w:val="00155A9F"/>
    <w:rsid w:val="00160262"/>
    <w:rsid w:val="00163AD5"/>
    <w:rsid w:val="001657E7"/>
    <w:rsid w:val="00166530"/>
    <w:rsid w:val="0016780A"/>
    <w:rsid w:val="001713FA"/>
    <w:rsid w:val="00173EBF"/>
    <w:rsid w:val="00175ED3"/>
    <w:rsid w:val="00177B55"/>
    <w:rsid w:val="00180FD2"/>
    <w:rsid w:val="001842A2"/>
    <w:rsid w:val="00186BF4"/>
    <w:rsid w:val="00187FA8"/>
    <w:rsid w:val="0019004D"/>
    <w:rsid w:val="00190F10"/>
    <w:rsid w:val="00192672"/>
    <w:rsid w:val="00192F5E"/>
    <w:rsid w:val="00197772"/>
    <w:rsid w:val="00197794"/>
    <w:rsid w:val="001A1006"/>
    <w:rsid w:val="001A51C8"/>
    <w:rsid w:val="001A6167"/>
    <w:rsid w:val="001B4CA8"/>
    <w:rsid w:val="001B5C01"/>
    <w:rsid w:val="001B5EA1"/>
    <w:rsid w:val="001B6159"/>
    <w:rsid w:val="001B775A"/>
    <w:rsid w:val="001C15BF"/>
    <w:rsid w:val="001C4F3D"/>
    <w:rsid w:val="001D0CDC"/>
    <w:rsid w:val="001D1D82"/>
    <w:rsid w:val="001D3EA2"/>
    <w:rsid w:val="001D603D"/>
    <w:rsid w:val="001D778F"/>
    <w:rsid w:val="001E1182"/>
    <w:rsid w:val="001E3C58"/>
    <w:rsid w:val="001F40AF"/>
    <w:rsid w:val="001F5D02"/>
    <w:rsid w:val="001F7BD8"/>
    <w:rsid w:val="00202C90"/>
    <w:rsid w:val="002137CE"/>
    <w:rsid w:val="00213DE8"/>
    <w:rsid w:val="00216118"/>
    <w:rsid w:val="002209AB"/>
    <w:rsid w:val="00221545"/>
    <w:rsid w:val="002251E3"/>
    <w:rsid w:val="00227A95"/>
    <w:rsid w:val="0023077E"/>
    <w:rsid w:val="002316BD"/>
    <w:rsid w:val="00233F68"/>
    <w:rsid w:val="00235BB7"/>
    <w:rsid w:val="00236CBD"/>
    <w:rsid w:val="002423E1"/>
    <w:rsid w:val="00242ACE"/>
    <w:rsid w:val="00243AA8"/>
    <w:rsid w:val="00243E8B"/>
    <w:rsid w:val="00245397"/>
    <w:rsid w:val="002473FC"/>
    <w:rsid w:val="00252E3C"/>
    <w:rsid w:val="00255655"/>
    <w:rsid w:val="00255916"/>
    <w:rsid w:val="00262198"/>
    <w:rsid w:val="00280ABF"/>
    <w:rsid w:val="00282DED"/>
    <w:rsid w:val="00283400"/>
    <w:rsid w:val="002855EB"/>
    <w:rsid w:val="00285F1B"/>
    <w:rsid w:val="0029247B"/>
    <w:rsid w:val="0029291B"/>
    <w:rsid w:val="00292B81"/>
    <w:rsid w:val="002931CA"/>
    <w:rsid w:val="002960CD"/>
    <w:rsid w:val="002A00B8"/>
    <w:rsid w:val="002B18AE"/>
    <w:rsid w:val="002B39B9"/>
    <w:rsid w:val="002B5ACB"/>
    <w:rsid w:val="002B5FEE"/>
    <w:rsid w:val="002B6944"/>
    <w:rsid w:val="002C1C93"/>
    <w:rsid w:val="002C5066"/>
    <w:rsid w:val="002C50DC"/>
    <w:rsid w:val="002C5813"/>
    <w:rsid w:val="002C69A5"/>
    <w:rsid w:val="002C7946"/>
    <w:rsid w:val="002D18E0"/>
    <w:rsid w:val="002D4678"/>
    <w:rsid w:val="002D4AAC"/>
    <w:rsid w:val="002D4BF3"/>
    <w:rsid w:val="002E134A"/>
    <w:rsid w:val="002E34E5"/>
    <w:rsid w:val="002F045A"/>
    <w:rsid w:val="002F40EC"/>
    <w:rsid w:val="002F6D84"/>
    <w:rsid w:val="0030039D"/>
    <w:rsid w:val="0030326F"/>
    <w:rsid w:val="003036CE"/>
    <w:rsid w:val="0031065C"/>
    <w:rsid w:val="00310701"/>
    <w:rsid w:val="00315468"/>
    <w:rsid w:val="00315980"/>
    <w:rsid w:val="00316F7F"/>
    <w:rsid w:val="003218E8"/>
    <w:rsid w:val="00323DA9"/>
    <w:rsid w:val="00324ED6"/>
    <w:rsid w:val="00325E34"/>
    <w:rsid w:val="00325ED4"/>
    <w:rsid w:val="00330DCE"/>
    <w:rsid w:val="00331E11"/>
    <w:rsid w:val="00334761"/>
    <w:rsid w:val="00337EBC"/>
    <w:rsid w:val="00341DCD"/>
    <w:rsid w:val="0034563E"/>
    <w:rsid w:val="0034658A"/>
    <w:rsid w:val="00347966"/>
    <w:rsid w:val="003518D6"/>
    <w:rsid w:val="0035460C"/>
    <w:rsid w:val="003556BD"/>
    <w:rsid w:val="003609D7"/>
    <w:rsid w:val="003643CE"/>
    <w:rsid w:val="00365147"/>
    <w:rsid w:val="00366174"/>
    <w:rsid w:val="0037016E"/>
    <w:rsid w:val="00371A41"/>
    <w:rsid w:val="00372908"/>
    <w:rsid w:val="00372D93"/>
    <w:rsid w:val="003744E8"/>
    <w:rsid w:val="00381766"/>
    <w:rsid w:val="00382D82"/>
    <w:rsid w:val="00383020"/>
    <w:rsid w:val="003834BD"/>
    <w:rsid w:val="00386E09"/>
    <w:rsid w:val="00387235"/>
    <w:rsid w:val="00392719"/>
    <w:rsid w:val="00394D7E"/>
    <w:rsid w:val="00396027"/>
    <w:rsid w:val="003975FD"/>
    <w:rsid w:val="003A7D43"/>
    <w:rsid w:val="003B057D"/>
    <w:rsid w:val="003B1E7B"/>
    <w:rsid w:val="003B2AA0"/>
    <w:rsid w:val="003B60CC"/>
    <w:rsid w:val="003C1B25"/>
    <w:rsid w:val="003C2443"/>
    <w:rsid w:val="003C55BC"/>
    <w:rsid w:val="003C5DA3"/>
    <w:rsid w:val="003D4BCD"/>
    <w:rsid w:val="003D590D"/>
    <w:rsid w:val="003D6C2B"/>
    <w:rsid w:val="003E01D8"/>
    <w:rsid w:val="003E2100"/>
    <w:rsid w:val="003E4E34"/>
    <w:rsid w:val="003E7F11"/>
    <w:rsid w:val="003F10B6"/>
    <w:rsid w:val="003F3ABA"/>
    <w:rsid w:val="003F6F5B"/>
    <w:rsid w:val="003F778B"/>
    <w:rsid w:val="00400A7C"/>
    <w:rsid w:val="004022C5"/>
    <w:rsid w:val="0040342D"/>
    <w:rsid w:val="0041192D"/>
    <w:rsid w:val="00413EE1"/>
    <w:rsid w:val="0042128E"/>
    <w:rsid w:val="00432B60"/>
    <w:rsid w:val="00435825"/>
    <w:rsid w:val="00435F17"/>
    <w:rsid w:val="00440698"/>
    <w:rsid w:val="004540E2"/>
    <w:rsid w:val="00454454"/>
    <w:rsid w:val="004566E1"/>
    <w:rsid w:val="00457073"/>
    <w:rsid w:val="00467924"/>
    <w:rsid w:val="004712A5"/>
    <w:rsid w:val="004722DC"/>
    <w:rsid w:val="0047266F"/>
    <w:rsid w:val="00472CF2"/>
    <w:rsid w:val="00475683"/>
    <w:rsid w:val="00476C11"/>
    <w:rsid w:val="00476D6B"/>
    <w:rsid w:val="00486664"/>
    <w:rsid w:val="00486CC9"/>
    <w:rsid w:val="00490E95"/>
    <w:rsid w:val="00492C16"/>
    <w:rsid w:val="004A039E"/>
    <w:rsid w:val="004A0678"/>
    <w:rsid w:val="004A0AC6"/>
    <w:rsid w:val="004A48A3"/>
    <w:rsid w:val="004A573D"/>
    <w:rsid w:val="004A5FA2"/>
    <w:rsid w:val="004B0D92"/>
    <w:rsid w:val="004B0EC0"/>
    <w:rsid w:val="004B66F1"/>
    <w:rsid w:val="004C3EA0"/>
    <w:rsid w:val="004C51C3"/>
    <w:rsid w:val="004C7466"/>
    <w:rsid w:val="004C7706"/>
    <w:rsid w:val="004D13F6"/>
    <w:rsid w:val="004D208A"/>
    <w:rsid w:val="004D326D"/>
    <w:rsid w:val="004E253A"/>
    <w:rsid w:val="004F7169"/>
    <w:rsid w:val="00500D66"/>
    <w:rsid w:val="00514C8E"/>
    <w:rsid w:val="00531DBF"/>
    <w:rsid w:val="005335AC"/>
    <w:rsid w:val="0053532C"/>
    <w:rsid w:val="00545759"/>
    <w:rsid w:val="00545BE0"/>
    <w:rsid w:val="00546930"/>
    <w:rsid w:val="00554C6A"/>
    <w:rsid w:val="00562E85"/>
    <w:rsid w:val="0056332F"/>
    <w:rsid w:val="00571369"/>
    <w:rsid w:val="005719B3"/>
    <w:rsid w:val="0057295E"/>
    <w:rsid w:val="00581C39"/>
    <w:rsid w:val="005903B6"/>
    <w:rsid w:val="005A0247"/>
    <w:rsid w:val="005A126E"/>
    <w:rsid w:val="005A452F"/>
    <w:rsid w:val="005B140D"/>
    <w:rsid w:val="005B1847"/>
    <w:rsid w:val="005B23E4"/>
    <w:rsid w:val="005C1A38"/>
    <w:rsid w:val="005C1FEA"/>
    <w:rsid w:val="005C3495"/>
    <w:rsid w:val="005C6BE3"/>
    <w:rsid w:val="005E3DFC"/>
    <w:rsid w:val="005E5942"/>
    <w:rsid w:val="005E60AF"/>
    <w:rsid w:val="005F1DEA"/>
    <w:rsid w:val="006003E7"/>
    <w:rsid w:val="00607FC9"/>
    <w:rsid w:val="00611DB4"/>
    <w:rsid w:val="00612F26"/>
    <w:rsid w:val="006202F7"/>
    <w:rsid w:val="00620BB1"/>
    <w:rsid w:val="00622957"/>
    <w:rsid w:val="00622A73"/>
    <w:rsid w:val="00622FE1"/>
    <w:rsid w:val="0062521C"/>
    <w:rsid w:val="00630A2B"/>
    <w:rsid w:val="006311FC"/>
    <w:rsid w:val="00631E34"/>
    <w:rsid w:val="00632DC7"/>
    <w:rsid w:val="006357FB"/>
    <w:rsid w:val="006406FC"/>
    <w:rsid w:val="00640E57"/>
    <w:rsid w:val="006413A6"/>
    <w:rsid w:val="006444A7"/>
    <w:rsid w:val="00646122"/>
    <w:rsid w:val="00647328"/>
    <w:rsid w:val="0065138B"/>
    <w:rsid w:val="00653E16"/>
    <w:rsid w:val="00657220"/>
    <w:rsid w:val="00657362"/>
    <w:rsid w:val="0066104B"/>
    <w:rsid w:val="00662A6E"/>
    <w:rsid w:val="006638F9"/>
    <w:rsid w:val="0066472B"/>
    <w:rsid w:val="006655EE"/>
    <w:rsid w:val="00666578"/>
    <w:rsid w:val="00667C10"/>
    <w:rsid w:val="00667EF4"/>
    <w:rsid w:val="00667F18"/>
    <w:rsid w:val="00675069"/>
    <w:rsid w:val="00676490"/>
    <w:rsid w:val="00676FCA"/>
    <w:rsid w:val="00677177"/>
    <w:rsid w:val="00677211"/>
    <w:rsid w:val="0068612E"/>
    <w:rsid w:val="006866CF"/>
    <w:rsid w:val="00687C92"/>
    <w:rsid w:val="0069534E"/>
    <w:rsid w:val="0069669C"/>
    <w:rsid w:val="006A02EB"/>
    <w:rsid w:val="006A0EC1"/>
    <w:rsid w:val="006A1200"/>
    <w:rsid w:val="006A3A0A"/>
    <w:rsid w:val="006A4F4E"/>
    <w:rsid w:val="006A6C23"/>
    <w:rsid w:val="006A7048"/>
    <w:rsid w:val="006B14DB"/>
    <w:rsid w:val="006B21C4"/>
    <w:rsid w:val="006B3358"/>
    <w:rsid w:val="006C2C7B"/>
    <w:rsid w:val="006C4A1A"/>
    <w:rsid w:val="006D0156"/>
    <w:rsid w:val="006D02CD"/>
    <w:rsid w:val="006D0393"/>
    <w:rsid w:val="006D1A83"/>
    <w:rsid w:val="006D3E97"/>
    <w:rsid w:val="006E1CFE"/>
    <w:rsid w:val="006E1D7B"/>
    <w:rsid w:val="006E3C37"/>
    <w:rsid w:val="006E4CF7"/>
    <w:rsid w:val="006F10C4"/>
    <w:rsid w:val="006F40E9"/>
    <w:rsid w:val="006F428E"/>
    <w:rsid w:val="006F5603"/>
    <w:rsid w:val="006F7B87"/>
    <w:rsid w:val="00701400"/>
    <w:rsid w:val="007034DD"/>
    <w:rsid w:val="007037CF"/>
    <w:rsid w:val="00710A19"/>
    <w:rsid w:val="00711CA4"/>
    <w:rsid w:val="007155F5"/>
    <w:rsid w:val="007167C0"/>
    <w:rsid w:val="00720481"/>
    <w:rsid w:val="00721B4F"/>
    <w:rsid w:val="00723F78"/>
    <w:rsid w:val="00724AD2"/>
    <w:rsid w:val="007308F8"/>
    <w:rsid w:val="00733193"/>
    <w:rsid w:val="007334E6"/>
    <w:rsid w:val="00736B88"/>
    <w:rsid w:val="007411D8"/>
    <w:rsid w:val="007418A6"/>
    <w:rsid w:val="007431ED"/>
    <w:rsid w:val="00743473"/>
    <w:rsid w:val="00744DDA"/>
    <w:rsid w:val="00745D7C"/>
    <w:rsid w:val="00745E03"/>
    <w:rsid w:val="00750A83"/>
    <w:rsid w:val="00755867"/>
    <w:rsid w:val="0075732A"/>
    <w:rsid w:val="007600F8"/>
    <w:rsid w:val="00760262"/>
    <w:rsid w:val="0076310C"/>
    <w:rsid w:val="0076744F"/>
    <w:rsid w:val="00767BCE"/>
    <w:rsid w:val="00767EFC"/>
    <w:rsid w:val="007707DE"/>
    <w:rsid w:val="00770B5D"/>
    <w:rsid w:val="0077235E"/>
    <w:rsid w:val="00774866"/>
    <w:rsid w:val="007752F1"/>
    <w:rsid w:val="00776768"/>
    <w:rsid w:val="007779D5"/>
    <w:rsid w:val="0078187A"/>
    <w:rsid w:val="00784B12"/>
    <w:rsid w:val="00787293"/>
    <w:rsid w:val="007909DF"/>
    <w:rsid w:val="00791A35"/>
    <w:rsid w:val="00794ED8"/>
    <w:rsid w:val="0079567E"/>
    <w:rsid w:val="007A252C"/>
    <w:rsid w:val="007A2573"/>
    <w:rsid w:val="007A4587"/>
    <w:rsid w:val="007A4A3F"/>
    <w:rsid w:val="007B0D92"/>
    <w:rsid w:val="007B106C"/>
    <w:rsid w:val="007B1A4E"/>
    <w:rsid w:val="007B395E"/>
    <w:rsid w:val="007B3D05"/>
    <w:rsid w:val="007B5503"/>
    <w:rsid w:val="007C179C"/>
    <w:rsid w:val="007C6BB3"/>
    <w:rsid w:val="007C7192"/>
    <w:rsid w:val="007D14B4"/>
    <w:rsid w:val="007D3AD7"/>
    <w:rsid w:val="007D5EB7"/>
    <w:rsid w:val="007E24F6"/>
    <w:rsid w:val="007F1F52"/>
    <w:rsid w:val="007F5AF1"/>
    <w:rsid w:val="00800F64"/>
    <w:rsid w:val="00801050"/>
    <w:rsid w:val="00802F0B"/>
    <w:rsid w:val="00804D8C"/>
    <w:rsid w:val="00806A47"/>
    <w:rsid w:val="00810A67"/>
    <w:rsid w:val="008272F1"/>
    <w:rsid w:val="008319B9"/>
    <w:rsid w:val="008323F5"/>
    <w:rsid w:val="00833CF7"/>
    <w:rsid w:val="00834BD9"/>
    <w:rsid w:val="00834CDE"/>
    <w:rsid w:val="00837286"/>
    <w:rsid w:val="008376C6"/>
    <w:rsid w:val="00840F35"/>
    <w:rsid w:val="00842464"/>
    <w:rsid w:val="00845601"/>
    <w:rsid w:val="00852FF4"/>
    <w:rsid w:val="00855C5C"/>
    <w:rsid w:val="008572ED"/>
    <w:rsid w:val="00870668"/>
    <w:rsid w:val="00876048"/>
    <w:rsid w:val="00887610"/>
    <w:rsid w:val="00887A52"/>
    <w:rsid w:val="0089387E"/>
    <w:rsid w:val="0089777E"/>
    <w:rsid w:val="008A3C96"/>
    <w:rsid w:val="008B4019"/>
    <w:rsid w:val="008B5DFA"/>
    <w:rsid w:val="008B65C9"/>
    <w:rsid w:val="008B6FD8"/>
    <w:rsid w:val="008C2D4A"/>
    <w:rsid w:val="008C3148"/>
    <w:rsid w:val="008C7F41"/>
    <w:rsid w:val="008D3900"/>
    <w:rsid w:val="008D6E1D"/>
    <w:rsid w:val="008E03A0"/>
    <w:rsid w:val="008E0954"/>
    <w:rsid w:val="008F0FCA"/>
    <w:rsid w:val="008F39B4"/>
    <w:rsid w:val="008F4162"/>
    <w:rsid w:val="00903E02"/>
    <w:rsid w:val="00907DEC"/>
    <w:rsid w:val="00913175"/>
    <w:rsid w:val="00916EDB"/>
    <w:rsid w:val="00917292"/>
    <w:rsid w:val="00920861"/>
    <w:rsid w:val="00922B13"/>
    <w:rsid w:val="009242EF"/>
    <w:rsid w:val="009260A5"/>
    <w:rsid w:val="00930D4D"/>
    <w:rsid w:val="00932291"/>
    <w:rsid w:val="00932861"/>
    <w:rsid w:val="00932FEA"/>
    <w:rsid w:val="0093408E"/>
    <w:rsid w:val="00934E77"/>
    <w:rsid w:val="009415BE"/>
    <w:rsid w:val="00942604"/>
    <w:rsid w:val="00942F5D"/>
    <w:rsid w:val="00946275"/>
    <w:rsid w:val="00952DDF"/>
    <w:rsid w:val="009530EF"/>
    <w:rsid w:val="0095381A"/>
    <w:rsid w:val="00963B6A"/>
    <w:rsid w:val="00970950"/>
    <w:rsid w:val="00971939"/>
    <w:rsid w:val="0097297C"/>
    <w:rsid w:val="009812D4"/>
    <w:rsid w:val="0098425E"/>
    <w:rsid w:val="009916CC"/>
    <w:rsid w:val="009920D8"/>
    <w:rsid w:val="009A0B5B"/>
    <w:rsid w:val="009A14D5"/>
    <w:rsid w:val="009B1C4D"/>
    <w:rsid w:val="009B38BE"/>
    <w:rsid w:val="009B726A"/>
    <w:rsid w:val="009C3355"/>
    <w:rsid w:val="009C3D0F"/>
    <w:rsid w:val="009D0DC6"/>
    <w:rsid w:val="009D77D6"/>
    <w:rsid w:val="009E1B19"/>
    <w:rsid w:val="009E2C41"/>
    <w:rsid w:val="009F298D"/>
    <w:rsid w:val="009F35E2"/>
    <w:rsid w:val="009F5ADB"/>
    <w:rsid w:val="009F5FE5"/>
    <w:rsid w:val="009F65F9"/>
    <w:rsid w:val="009F68BA"/>
    <w:rsid w:val="00A06277"/>
    <w:rsid w:val="00A079DC"/>
    <w:rsid w:val="00A111C2"/>
    <w:rsid w:val="00A21FF1"/>
    <w:rsid w:val="00A338E7"/>
    <w:rsid w:val="00A35CAA"/>
    <w:rsid w:val="00A36E7F"/>
    <w:rsid w:val="00A41E65"/>
    <w:rsid w:val="00A437FA"/>
    <w:rsid w:val="00A43E0A"/>
    <w:rsid w:val="00A4411E"/>
    <w:rsid w:val="00A44795"/>
    <w:rsid w:val="00A5042B"/>
    <w:rsid w:val="00A530C7"/>
    <w:rsid w:val="00A55F5B"/>
    <w:rsid w:val="00A60185"/>
    <w:rsid w:val="00A60889"/>
    <w:rsid w:val="00A610B1"/>
    <w:rsid w:val="00A64E48"/>
    <w:rsid w:val="00A661EA"/>
    <w:rsid w:val="00A753D0"/>
    <w:rsid w:val="00A814F9"/>
    <w:rsid w:val="00A830E5"/>
    <w:rsid w:val="00A87135"/>
    <w:rsid w:val="00A9204C"/>
    <w:rsid w:val="00A93280"/>
    <w:rsid w:val="00A951EA"/>
    <w:rsid w:val="00A959DE"/>
    <w:rsid w:val="00AA2548"/>
    <w:rsid w:val="00AA58C4"/>
    <w:rsid w:val="00AA5E0F"/>
    <w:rsid w:val="00AA7003"/>
    <w:rsid w:val="00AB1195"/>
    <w:rsid w:val="00AB11C8"/>
    <w:rsid w:val="00AB1F00"/>
    <w:rsid w:val="00AB3F3C"/>
    <w:rsid w:val="00AB7FD4"/>
    <w:rsid w:val="00AC08A8"/>
    <w:rsid w:val="00AD56C8"/>
    <w:rsid w:val="00AD58F2"/>
    <w:rsid w:val="00AE001C"/>
    <w:rsid w:val="00AE4337"/>
    <w:rsid w:val="00AF1201"/>
    <w:rsid w:val="00B02CCC"/>
    <w:rsid w:val="00B0512A"/>
    <w:rsid w:val="00B0529F"/>
    <w:rsid w:val="00B1201C"/>
    <w:rsid w:val="00B1418B"/>
    <w:rsid w:val="00B17575"/>
    <w:rsid w:val="00B21195"/>
    <w:rsid w:val="00B24B22"/>
    <w:rsid w:val="00B24EC8"/>
    <w:rsid w:val="00B25310"/>
    <w:rsid w:val="00B32F8F"/>
    <w:rsid w:val="00B3492A"/>
    <w:rsid w:val="00B36203"/>
    <w:rsid w:val="00B3741E"/>
    <w:rsid w:val="00B41D0A"/>
    <w:rsid w:val="00B4584A"/>
    <w:rsid w:val="00B475EA"/>
    <w:rsid w:val="00B50FE9"/>
    <w:rsid w:val="00B545B6"/>
    <w:rsid w:val="00B54607"/>
    <w:rsid w:val="00B54DE9"/>
    <w:rsid w:val="00B553EC"/>
    <w:rsid w:val="00B55E3F"/>
    <w:rsid w:val="00B67BC4"/>
    <w:rsid w:val="00B77D12"/>
    <w:rsid w:val="00B83433"/>
    <w:rsid w:val="00B8640B"/>
    <w:rsid w:val="00B93DD0"/>
    <w:rsid w:val="00B945EC"/>
    <w:rsid w:val="00B97732"/>
    <w:rsid w:val="00BA4932"/>
    <w:rsid w:val="00BA5A64"/>
    <w:rsid w:val="00BA65A8"/>
    <w:rsid w:val="00BA6D19"/>
    <w:rsid w:val="00BA7461"/>
    <w:rsid w:val="00BA7DA9"/>
    <w:rsid w:val="00BB7B3D"/>
    <w:rsid w:val="00BC4215"/>
    <w:rsid w:val="00BC68F6"/>
    <w:rsid w:val="00BD1A6F"/>
    <w:rsid w:val="00BE4A60"/>
    <w:rsid w:val="00BE6D3C"/>
    <w:rsid w:val="00BE7852"/>
    <w:rsid w:val="00BF7CEE"/>
    <w:rsid w:val="00C014D7"/>
    <w:rsid w:val="00C03880"/>
    <w:rsid w:val="00C05833"/>
    <w:rsid w:val="00C05DB6"/>
    <w:rsid w:val="00C10C94"/>
    <w:rsid w:val="00C135CF"/>
    <w:rsid w:val="00C258C1"/>
    <w:rsid w:val="00C2683F"/>
    <w:rsid w:val="00C3184D"/>
    <w:rsid w:val="00C36D51"/>
    <w:rsid w:val="00C46A07"/>
    <w:rsid w:val="00C4714E"/>
    <w:rsid w:val="00C51CCA"/>
    <w:rsid w:val="00C5504F"/>
    <w:rsid w:val="00C55374"/>
    <w:rsid w:val="00C55877"/>
    <w:rsid w:val="00C57B55"/>
    <w:rsid w:val="00C63376"/>
    <w:rsid w:val="00C641CA"/>
    <w:rsid w:val="00C66D2E"/>
    <w:rsid w:val="00C74F97"/>
    <w:rsid w:val="00C80F74"/>
    <w:rsid w:val="00C8276E"/>
    <w:rsid w:val="00C830B8"/>
    <w:rsid w:val="00C8365F"/>
    <w:rsid w:val="00C8417A"/>
    <w:rsid w:val="00C842AC"/>
    <w:rsid w:val="00C91855"/>
    <w:rsid w:val="00C944F8"/>
    <w:rsid w:val="00C96688"/>
    <w:rsid w:val="00C979D2"/>
    <w:rsid w:val="00CA0723"/>
    <w:rsid w:val="00CA30CE"/>
    <w:rsid w:val="00CA743D"/>
    <w:rsid w:val="00CB1690"/>
    <w:rsid w:val="00CB75C5"/>
    <w:rsid w:val="00CC4365"/>
    <w:rsid w:val="00CC4A46"/>
    <w:rsid w:val="00CD11B0"/>
    <w:rsid w:val="00CD551D"/>
    <w:rsid w:val="00CE71C2"/>
    <w:rsid w:val="00CF2D01"/>
    <w:rsid w:val="00CF42D5"/>
    <w:rsid w:val="00CF47E0"/>
    <w:rsid w:val="00CF4EDA"/>
    <w:rsid w:val="00D00152"/>
    <w:rsid w:val="00D021CB"/>
    <w:rsid w:val="00D02CDD"/>
    <w:rsid w:val="00D10933"/>
    <w:rsid w:val="00D10C6E"/>
    <w:rsid w:val="00D10F1A"/>
    <w:rsid w:val="00D116C0"/>
    <w:rsid w:val="00D116F8"/>
    <w:rsid w:val="00D1699E"/>
    <w:rsid w:val="00D17596"/>
    <w:rsid w:val="00D20C6C"/>
    <w:rsid w:val="00D21201"/>
    <w:rsid w:val="00D22640"/>
    <w:rsid w:val="00D22D15"/>
    <w:rsid w:val="00D25B97"/>
    <w:rsid w:val="00D26D3A"/>
    <w:rsid w:val="00D45EE3"/>
    <w:rsid w:val="00D50618"/>
    <w:rsid w:val="00D509E9"/>
    <w:rsid w:val="00D52FE6"/>
    <w:rsid w:val="00D53B1C"/>
    <w:rsid w:val="00D54848"/>
    <w:rsid w:val="00D5672F"/>
    <w:rsid w:val="00D5718E"/>
    <w:rsid w:val="00D60904"/>
    <w:rsid w:val="00D60A82"/>
    <w:rsid w:val="00D772C6"/>
    <w:rsid w:val="00D847E0"/>
    <w:rsid w:val="00D909CD"/>
    <w:rsid w:val="00DA1B12"/>
    <w:rsid w:val="00DA4C41"/>
    <w:rsid w:val="00DA54C9"/>
    <w:rsid w:val="00DA6739"/>
    <w:rsid w:val="00DA6CAE"/>
    <w:rsid w:val="00DB0183"/>
    <w:rsid w:val="00DB0731"/>
    <w:rsid w:val="00DB1A9E"/>
    <w:rsid w:val="00DB1B6A"/>
    <w:rsid w:val="00DB31D6"/>
    <w:rsid w:val="00DB4005"/>
    <w:rsid w:val="00DC01AE"/>
    <w:rsid w:val="00DC34EB"/>
    <w:rsid w:val="00DC40A4"/>
    <w:rsid w:val="00DD2BBD"/>
    <w:rsid w:val="00DE0322"/>
    <w:rsid w:val="00DE6F9A"/>
    <w:rsid w:val="00DF1019"/>
    <w:rsid w:val="00DF1C2D"/>
    <w:rsid w:val="00DF1E5B"/>
    <w:rsid w:val="00DF2275"/>
    <w:rsid w:val="00DF3F5E"/>
    <w:rsid w:val="00DF5653"/>
    <w:rsid w:val="00DF798B"/>
    <w:rsid w:val="00E0596E"/>
    <w:rsid w:val="00E06F66"/>
    <w:rsid w:val="00E13430"/>
    <w:rsid w:val="00E17D3D"/>
    <w:rsid w:val="00E220DC"/>
    <w:rsid w:val="00E248F2"/>
    <w:rsid w:val="00E26C6F"/>
    <w:rsid w:val="00E30294"/>
    <w:rsid w:val="00E33446"/>
    <w:rsid w:val="00E356E5"/>
    <w:rsid w:val="00E36C4D"/>
    <w:rsid w:val="00E36F81"/>
    <w:rsid w:val="00E45765"/>
    <w:rsid w:val="00E5098C"/>
    <w:rsid w:val="00E5785A"/>
    <w:rsid w:val="00E60213"/>
    <w:rsid w:val="00E661B2"/>
    <w:rsid w:val="00E7084D"/>
    <w:rsid w:val="00E71FAB"/>
    <w:rsid w:val="00E74D29"/>
    <w:rsid w:val="00E83C74"/>
    <w:rsid w:val="00E83CEE"/>
    <w:rsid w:val="00E91F18"/>
    <w:rsid w:val="00E9226D"/>
    <w:rsid w:val="00EA1F8B"/>
    <w:rsid w:val="00EA416C"/>
    <w:rsid w:val="00EA5941"/>
    <w:rsid w:val="00EA5C0B"/>
    <w:rsid w:val="00EB60CE"/>
    <w:rsid w:val="00EB7A8C"/>
    <w:rsid w:val="00EB7D53"/>
    <w:rsid w:val="00ED54FF"/>
    <w:rsid w:val="00EE3146"/>
    <w:rsid w:val="00EE39CD"/>
    <w:rsid w:val="00EF3153"/>
    <w:rsid w:val="00EF4AC4"/>
    <w:rsid w:val="00EF50BB"/>
    <w:rsid w:val="00EF53FF"/>
    <w:rsid w:val="00F00192"/>
    <w:rsid w:val="00F01DF6"/>
    <w:rsid w:val="00F02764"/>
    <w:rsid w:val="00F0340D"/>
    <w:rsid w:val="00F059A6"/>
    <w:rsid w:val="00F10B4F"/>
    <w:rsid w:val="00F1121E"/>
    <w:rsid w:val="00F23756"/>
    <w:rsid w:val="00F2523A"/>
    <w:rsid w:val="00F25FFA"/>
    <w:rsid w:val="00F26F18"/>
    <w:rsid w:val="00F310D2"/>
    <w:rsid w:val="00F36F3D"/>
    <w:rsid w:val="00F37165"/>
    <w:rsid w:val="00F37F51"/>
    <w:rsid w:val="00F40EB7"/>
    <w:rsid w:val="00F42632"/>
    <w:rsid w:val="00F477BD"/>
    <w:rsid w:val="00F53491"/>
    <w:rsid w:val="00F570BB"/>
    <w:rsid w:val="00F612F3"/>
    <w:rsid w:val="00F65A1C"/>
    <w:rsid w:val="00F66F50"/>
    <w:rsid w:val="00F71219"/>
    <w:rsid w:val="00F810FD"/>
    <w:rsid w:val="00F82FF8"/>
    <w:rsid w:val="00F8330D"/>
    <w:rsid w:val="00F84305"/>
    <w:rsid w:val="00F8485C"/>
    <w:rsid w:val="00F87149"/>
    <w:rsid w:val="00F87FFE"/>
    <w:rsid w:val="00F94821"/>
    <w:rsid w:val="00F954C9"/>
    <w:rsid w:val="00F96E05"/>
    <w:rsid w:val="00FA2D63"/>
    <w:rsid w:val="00FA3F08"/>
    <w:rsid w:val="00FA4CF0"/>
    <w:rsid w:val="00FA61AA"/>
    <w:rsid w:val="00FA69A4"/>
    <w:rsid w:val="00FB1279"/>
    <w:rsid w:val="00FB1495"/>
    <w:rsid w:val="00FC2C2B"/>
    <w:rsid w:val="00FC3BC5"/>
    <w:rsid w:val="00FD1694"/>
    <w:rsid w:val="00FD2301"/>
    <w:rsid w:val="00FD5683"/>
    <w:rsid w:val="00FD69C6"/>
    <w:rsid w:val="00FD7636"/>
    <w:rsid w:val="00FE1E00"/>
    <w:rsid w:val="00FE3229"/>
    <w:rsid w:val="00FE4CF2"/>
    <w:rsid w:val="00FE74C3"/>
    <w:rsid w:val="00FF215C"/>
    <w:rsid w:val="00FF3534"/>
    <w:rsid w:val="00FF49E8"/>
    <w:rsid w:val="00FF672F"/>
    <w:rsid w:val="00FF7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CBAAD1"/>
  <w15:docId w15:val="{0D295DFE-1627-4034-84CD-96708C6E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52C"/>
    <w:pPr>
      <w:spacing w:after="200" w:line="276" w:lineRule="auto"/>
    </w:pPr>
    <w:rPr>
      <w:sz w:val="22"/>
      <w:szCs w:val="22"/>
      <w:lang w:eastAsia="en-US"/>
    </w:rPr>
  </w:style>
  <w:style w:type="paragraph" w:styleId="Heading1">
    <w:name w:val="heading 1"/>
    <w:basedOn w:val="Normal"/>
    <w:next w:val="Normal"/>
    <w:link w:val="Heading1Char"/>
    <w:uiPriority w:val="9"/>
    <w:qFormat/>
    <w:rsid w:val="00E17D3D"/>
    <w:pPr>
      <w:keepNext/>
      <w:outlineLvl w:val="0"/>
    </w:pPr>
    <w:rPr>
      <w:rFonts w:cs="Arial"/>
      <w:color w:val="17365D" w:themeColor="text2" w:themeShade="BF"/>
      <w:sz w:val="40"/>
    </w:rPr>
  </w:style>
  <w:style w:type="paragraph" w:styleId="Heading2">
    <w:name w:val="heading 2"/>
    <w:basedOn w:val="Normal"/>
    <w:next w:val="Normal"/>
    <w:link w:val="Heading2Char"/>
    <w:uiPriority w:val="9"/>
    <w:qFormat/>
    <w:rsid w:val="00E17D3D"/>
    <w:pPr>
      <w:keepNext/>
      <w:outlineLvl w:val="1"/>
    </w:pPr>
    <w:rPr>
      <w:rFonts w:cs="Arial"/>
      <w:b/>
      <w:color w:val="17365D" w:themeColor="text2" w:themeShade="BF"/>
      <w:sz w:val="32"/>
    </w:rPr>
  </w:style>
  <w:style w:type="paragraph" w:styleId="Heading3">
    <w:name w:val="heading 3"/>
    <w:basedOn w:val="Normal"/>
    <w:next w:val="Normal"/>
    <w:link w:val="Heading3Char"/>
    <w:uiPriority w:val="9"/>
    <w:qFormat/>
    <w:rsid w:val="00E17D3D"/>
    <w:pPr>
      <w:keepNext/>
      <w:outlineLvl w:val="2"/>
    </w:pPr>
    <w:rPr>
      <w:rFonts w:cs="Arial"/>
      <w:b/>
      <w:i/>
      <w:color w:val="17365D" w:themeColor="text2" w:themeShade="BF"/>
      <w:sz w:val="24"/>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E17D3D"/>
    <w:rPr>
      <w:rFonts w:cs="Arial"/>
      <w:color w:val="17365D" w:themeColor="text2" w:themeShade="BF"/>
      <w:sz w:val="40"/>
      <w:szCs w:val="22"/>
      <w:lang w:eastAsia="en-US"/>
    </w:rPr>
  </w:style>
  <w:style w:type="character" w:customStyle="1" w:styleId="Heading2Char">
    <w:name w:val="Heading 2 Char"/>
    <w:basedOn w:val="DefaultParagraphFont"/>
    <w:link w:val="Heading2"/>
    <w:uiPriority w:val="9"/>
    <w:rsid w:val="00E17D3D"/>
    <w:rPr>
      <w:rFonts w:cs="Arial"/>
      <w:b/>
      <w:color w:val="17365D" w:themeColor="text2" w:themeShade="BF"/>
      <w:sz w:val="32"/>
      <w:szCs w:val="22"/>
      <w:lang w:eastAsia="en-US"/>
    </w:rPr>
  </w:style>
  <w:style w:type="character" w:customStyle="1" w:styleId="Heading3Char">
    <w:name w:val="Heading 3 Char"/>
    <w:basedOn w:val="DefaultParagraphFont"/>
    <w:link w:val="Heading3"/>
    <w:uiPriority w:val="9"/>
    <w:rsid w:val="00E17D3D"/>
    <w:rPr>
      <w:rFonts w:cs="Arial"/>
      <w:b/>
      <w:i/>
      <w:color w:val="17365D" w:themeColor="text2" w:themeShade="BF"/>
      <w:sz w:val="24"/>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FootnoteText">
    <w:name w:val="footnote text"/>
    <w:basedOn w:val="Normal"/>
    <w:link w:val="FootnoteTextChar"/>
    <w:uiPriority w:val="99"/>
    <w:semiHidden/>
    <w:unhideWhenUsed/>
    <w:rsid w:val="007A25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252C"/>
    <w:rPr>
      <w:lang w:eastAsia="en-US"/>
    </w:rPr>
  </w:style>
  <w:style w:type="character" w:styleId="FootnoteReference">
    <w:name w:val="footnote reference"/>
    <w:basedOn w:val="DefaultParagraphFont"/>
    <w:uiPriority w:val="99"/>
    <w:semiHidden/>
    <w:unhideWhenUsed/>
    <w:rsid w:val="007A252C"/>
    <w:rPr>
      <w:vertAlign w:val="superscript"/>
    </w:rPr>
  </w:style>
  <w:style w:type="paragraph" w:styleId="Caption">
    <w:name w:val="caption"/>
    <w:basedOn w:val="Normal"/>
    <w:next w:val="Normal"/>
    <w:uiPriority w:val="35"/>
    <w:unhideWhenUsed/>
    <w:qFormat/>
    <w:rsid w:val="007A252C"/>
    <w:pPr>
      <w:spacing w:after="80"/>
    </w:pPr>
    <w:rPr>
      <w:b/>
      <w:bCs/>
      <w:sz w:val="20"/>
      <w:szCs w:val="18"/>
    </w:rPr>
  </w:style>
  <w:style w:type="paragraph" w:customStyle="1" w:styleId="ReportTitle">
    <w:name w:val="Report Title"/>
    <w:basedOn w:val="Normal"/>
    <w:uiPriority w:val="11"/>
    <w:qFormat/>
    <w:rsid w:val="00F96E05"/>
    <w:rPr>
      <w:b/>
      <w:color w:val="17365D" w:themeColor="text2" w:themeShade="BF"/>
      <w:sz w:val="52"/>
    </w:rPr>
  </w:style>
  <w:style w:type="paragraph" w:customStyle="1" w:styleId="Reportsubtitle">
    <w:name w:val="Report sub title"/>
    <w:basedOn w:val="ReportTitle"/>
    <w:uiPriority w:val="11"/>
    <w:qFormat/>
    <w:rsid w:val="006E1D7B"/>
    <w:rPr>
      <w:b w:val="0"/>
      <w:color w:val="auto"/>
      <w:sz w:val="32"/>
    </w:rPr>
  </w:style>
  <w:style w:type="paragraph" w:styleId="TOCHeading">
    <w:name w:val="TOC Heading"/>
    <w:basedOn w:val="Heading1"/>
    <w:next w:val="Normal"/>
    <w:uiPriority w:val="39"/>
    <w:unhideWhenUsed/>
    <w:qFormat/>
    <w:rsid w:val="00CA743D"/>
    <w:pPr>
      <w:keepLines/>
      <w:spacing w:before="480" w:after="360"/>
      <w:outlineLvl w:val="9"/>
    </w:pPr>
    <w:rPr>
      <w:rFonts w:eastAsiaTheme="majorEastAsia" w:cstheme="majorBidi"/>
      <w:bCs/>
      <w:szCs w:val="28"/>
      <w:lang w:val="en-US"/>
    </w:rPr>
  </w:style>
  <w:style w:type="paragraph" w:styleId="TOC1">
    <w:name w:val="toc 1"/>
    <w:basedOn w:val="Normal"/>
    <w:next w:val="Normal"/>
    <w:autoRedefine/>
    <w:uiPriority w:val="39"/>
    <w:unhideWhenUsed/>
    <w:rsid w:val="00D5672F"/>
    <w:pPr>
      <w:spacing w:after="100"/>
    </w:pPr>
    <w:rPr>
      <w:b/>
    </w:rPr>
  </w:style>
  <w:style w:type="paragraph" w:styleId="TOC2">
    <w:name w:val="toc 2"/>
    <w:basedOn w:val="Normal"/>
    <w:next w:val="Normal"/>
    <w:autoRedefine/>
    <w:uiPriority w:val="39"/>
    <w:unhideWhenUsed/>
    <w:rsid w:val="00D5672F"/>
    <w:pPr>
      <w:spacing w:after="100"/>
      <w:ind w:left="220"/>
    </w:pPr>
  </w:style>
  <w:style w:type="paragraph" w:styleId="TOC3">
    <w:name w:val="toc 3"/>
    <w:basedOn w:val="Normal"/>
    <w:next w:val="Normal"/>
    <w:autoRedefine/>
    <w:uiPriority w:val="39"/>
    <w:unhideWhenUsed/>
    <w:rsid w:val="00D5672F"/>
    <w:pPr>
      <w:spacing w:after="100"/>
      <w:ind w:left="440"/>
    </w:pPr>
    <w:rPr>
      <w:i/>
    </w:rPr>
  </w:style>
  <w:style w:type="character" w:styleId="Hyperlink">
    <w:name w:val="Hyperlink"/>
    <w:basedOn w:val="DefaultParagraphFont"/>
    <w:uiPriority w:val="99"/>
    <w:unhideWhenUsed/>
    <w:rsid w:val="00D5672F"/>
    <w:rPr>
      <w:color w:val="0000FF" w:themeColor="hyperlink"/>
      <w:u w:val="single"/>
    </w:rPr>
  </w:style>
  <w:style w:type="character" w:styleId="UnresolvedMention">
    <w:name w:val="Unresolved Mention"/>
    <w:basedOn w:val="DefaultParagraphFont"/>
    <w:uiPriority w:val="99"/>
    <w:semiHidden/>
    <w:unhideWhenUsed/>
    <w:rsid w:val="00283400"/>
    <w:rPr>
      <w:color w:val="605E5C"/>
      <w:shd w:val="clear" w:color="auto" w:fill="E1DFDD"/>
    </w:rPr>
  </w:style>
  <w:style w:type="character" w:styleId="CommentReference">
    <w:name w:val="annotation reference"/>
    <w:basedOn w:val="DefaultParagraphFont"/>
    <w:uiPriority w:val="99"/>
    <w:semiHidden/>
    <w:unhideWhenUsed/>
    <w:rsid w:val="00876048"/>
    <w:rPr>
      <w:sz w:val="16"/>
      <w:szCs w:val="16"/>
    </w:rPr>
  </w:style>
  <w:style w:type="paragraph" w:styleId="CommentText">
    <w:name w:val="annotation text"/>
    <w:basedOn w:val="Normal"/>
    <w:link w:val="CommentTextChar"/>
    <w:uiPriority w:val="99"/>
    <w:semiHidden/>
    <w:unhideWhenUsed/>
    <w:rsid w:val="00876048"/>
    <w:pPr>
      <w:spacing w:line="240" w:lineRule="auto"/>
    </w:pPr>
    <w:rPr>
      <w:sz w:val="20"/>
      <w:szCs w:val="20"/>
    </w:rPr>
  </w:style>
  <w:style w:type="character" w:customStyle="1" w:styleId="CommentTextChar">
    <w:name w:val="Comment Text Char"/>
    <w:basedOn w:val="DefaultParagraphFont"/>
    <w:link w:val="CommentText"/>
    <w:uiPriority w:val="99"/>
    <w:semiHidden/>
    <w:rsid w:val="00876048"/>
    <w:rPr>
      <w:lang w:eastAsia="en-US"/>
    </w:rPr>
  </w:style>
  <w:style w:type="paragraph" w:styleId="CommentSubject">
    <w:name w:val="annotation subject"/>
    <w:basedOn w:val="CommentText"/>
    <w:next w:val="CommentText"/>
    <w:link w:val="CommentSubjectChar"/>
    <w:uiPriority w:val="99"/>
    <w:semiHidden/>
    <w:unhideWhenUsed/>
    <w:rsid w:val="00876048"/>
    <w:rPr>
      <w:b/>
      <w:bCs/>
    </w:rPr>
  </w:style>
  <w:style w:type="character" w:customStyle="1" w:styleId="CommentSubjectChar">
    <w:name w:val="Comment Subject Char"/>
    <w:basedOn w:val="CommentTextChar"/>
    <w:link w:val="CommentSubject"/>
    <w:uiPriority w:val="99"/>
    <w:semiHidden/>
    <w:rsid w:val="00876048"/>
    <w:rPr>
      <w:b/>
      <w:bCs/>
      <w:lang w:eastAsia="en-US"/>
    </w:rPr>
  </w:style>
  <w:style w:type="paragraph" w:styleId="EndnoteText">
    <w:name w:val="endnote text"/>
    <w:basedOn w:val="Normal"/>
    <w:link w:val="EndnoteTextChar"/>
    <w:uiPriority w:val="99"/>
    <w:semiHidden/>
    <w:unhideWhenUsed/>
    <w:rsid w:val="007C71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7192"/>
    <w:rPr>
      <w:lang w:eastAsia="en-US"/>
    </w:rPr>
  </w:style>
  <w:style w:type="character" w:styleId="EndnoteReference">
    <w:name w:val="endnote reference"/>
    <w:basedOn w:val="DefaultParagraphFont"/>
    <w:uiPriority w:val="99"/>
    <w:semiHidden/>
    <w:unhideWhenUsed/>
    <w:rsid w:val="007C7192"/>
    <w:rPr>
      <w:vertAlign w:val="superscript"/>
    </w:rPr>
  </w:style>
  <w:style w:type="table" w:styleId="GridTable4-Accent1">
    <w:name w:val="Grid Table 4 Accent 1"/>
    <w:basedOn w:val="TableNormal"/>
    <w:uiPriority w:val="49"/>
    <w:rsid w:val="00DC01A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DC01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DC01A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DC01A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5Dark-Accent1">
    <w:name w:val="List Table 5 Dark Accent 1"/>
    <w:basedOn w:val="TableNormal"/>
    <w:uiPriority w:val="50"/>
    <w:rsid w:val="00DC01A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environment.gov.au/protection/waste-resource-recovery/nationalwaste-policy/waste-exports" TargetMode="External"/><Relationship Id="rId26" Type="http://schemas.openxmlformats.org/officeDocument/2006/relationships/hyperlink" Target="https://www.metso.com/products/crushers/impactcrushers/vertical-shaft-impact-vsi-crushers/" TargetMode="External"/><Relationship Id="rId3" Type="http://schemas.openxmlformats.org/officeDocument/2006/relationships/styles" Target="styles.xml"/><Relationship Id="rId21" Type="http://schemas.openxmlformats.org/officeDocument/2006/relationships/hyperlink" Target="https://www.ifebulk.com/files/inhalt/ressourcen/prospekte/prospekt_wirbelstromscheider.pdf"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ndelaproducts.com/wp-content/uploads/2018/11/2019-AGB-3HD-SYSTEMPACKET.pdf" TargetMode="External"/><Relationship Id="rId25" Type="http://schemas.openxmlformats.org/officeDocument/2006/relationships/hyperlink" Target="https://s3.amazonaws.com/mclanahan.com/files/Resources/Brochures/Dry/Double-RollCrusher_Metric_NA_Brochure.pdf?mtime=20190719074537"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ferver.eu/sites/default/files/cleaningdryingsorting_of_cullet.pdf" TargetMode="External"/><Relationship Id="rId20" Type="http://schemas.openxmlformats.org/officeDocument/2006/relationships/hyperlink" Target="https://ref.epa.vic.gov.au/~/media/Publications/1748.pdf" TargetMode="External"/><Relationship Id="rId29" Type="http://schemas.openxmlformats.org/officeDocument/2006/relationships/hyperlink" Target="https://eurlex.europa.eu/legal-content/EN/TXT/PDF/?uri=CELEX:32012R11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joest.com/en/products/sifting-sorting-separating/zig-zag-airseparato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asel.int/" TargetMode="External"/><Relationship Id="rId23" Type="http://schemas.openxmlformats.org/officeDocument/2006/relationships/hyperlink" Target="https://www.ifebulk.com/files/inhalt/ressourcen/prospekte/prospekt_ueberbandmagnetscheider.pdf" TargetMode="External"/><Relationship Id="rId28" Type="http://schemas.openxmlformats.org/officeDocument/2006/relationships/hyperlink" Target="https://www.epa.nsw.gov.au/-/media/epa/corporate-site/resources/community/nccce/nccce-presentationwaste-markets-and-glass.pdf?la=en&amp;hash=617E600A5AE3D39279D2354D87AFAF8C00AA9185" TargetMode="External"/><Relationship Id="rId10" Type="http://schemas.openxmlformats.org/officeDocument/2006/relationships/header" Target="header2.xml"/><Relationship Id="rId19" Type="http://schemas.openxmlformats.org/officeDocument/2006/relationships/hyperlink" Target="https://www.doppstadt.de/fileadmin/user_upload/04_News/Downloads/DE/Stationaere_Maschinen/Brosc%20huere_AirFlex_1500_DE.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www.ife-bulk.com/files/inhalt/ressourcen/prospekte/prospekt_muellsiebe.pdf" TargetMode="External"/><Relationship Id="rId27" Type="http://schemas.openxmlformats.org/officeDocument/2006/relationships/hyperlink" Target="https://www.epa.nsw.gov.au//media/epa/corporate-site/resources/waste/rro14-glasssand.pdf?la=en&amp;hash=0236F03847053B2A675C89F824FD6F4474F94020" TargetMode="External"/><Relationship Id="rId30" Type="http://schemas.openxmlformats.org/officeDocument/2006/relationships/hyperlink" Target="https://wasteinitiatives.com.au/products/glass-crushers/" TargetMode="External"/><Relationship Id="rId35" Type="http://schemas.openxmlformats.org/officeDocument/2006/relationships/customXml" Target="../customXml/item4.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PDF/?uri=CELEX:32012R1179" TargetMode="External"/><Relationship Id="rId13" Type="http://schemas.openxmlformats.org/officeDocument/2006/relationships/hyperlink" Target="https://ref.epa.vic.gov.au/~/media/Publications/1748.pdf" TargetMode="External"/><Relationship Id="rId3" Type="http://schemas.openxmlformats.org/officeDocument/2006/relationships/hyperlink" Target="https://www.environment.gov.au/system/files/resources/f0196d2e-9040-4547-8cb6-8b433923b53d/files/waste-stocktake-report.pdf" TargetMode="External"/><Relationship Id="rId7" Type="http://schemas.openxmlformats.org/officeDocument/2006/relationships/hyperlink" Target="http://www.scrap2.org/specs/" TargetMode="External"/><Relationship Id="rId12" Type="http://schemas.openxmlformats.org/officeDocument/2006/relationships/hyperlink" Target="https://www.rms.nsw.gov.au/business-industry/partners-suppliers/documents/approved-products-materials/recycled-crushed-glass-rcg-in-asphalt.pdf" TargetMode="External"/><Relationship Id="rId2" Type="http://schemas.openxmlformats.org/officeDocument/2006/relationships/hyperlink" Target="https://www.packagingcovenant.org.au/documents/item/1196" TargetMode="External"/><Relationship Id="rId1" Type="http://schemas.openxmlformats.org/officeDocument/2006/relationships/hyperlink" Target="https://www.environment.gov.au/system/files/resources/12ab3fc8-7154-44e1-8691-cc05fd9d72bb/files/recycling-market-review-paper.pdf" TargetMode="External"/><Relationship Id="rId6" Type="http://schemas.openxmlformats.org/officeDocument/2006/relationships/hyperlink" Target="https://www.environment.gov.au/system/files/resources/367a8ec1-67e2-44fc-9dd0-3daa90c886e9/files/assessment-australian-recycling-infrastructure-glass-packaging.pdf" TargetMode="External"/><Relationship Id="rId11" Type="http://schemas.openxmlformats.org/officeDocument/2006/relationships/hyperlink" Target="https://www.epa.nsw.gov.au/-/media/epa/corporate-site/resources/community/nccce/nccce-presentation-waste-markets-and-glass.pdf?la=en&amp;hash=617E600A5AE3D39279D2354D87AFAF8C00AA9185" TargetMode="External"/><Relationship Id="rId5" Type="http://schemas.openxmlformats.org/officeDocument/2006/relationships/hyperlink" Target="https://www.packagingcovenant.org.au/documents/item/2177" TargetMode="External"/><Relationship Id="rId15" Type="http://schemas.openxmlformats.org/officeDocument/2006/relationships/hyperlink" Target="https://www.environment.gov.au/system/files/resources/291b8289-29d8-4fc1-90ce-1f44e09913f7/files/hazardous-waste-australia-2017.pdf" TargetMode="External"/><Relationship Id="rId10" Type="http://schemas.openxmlformats.org/officeDocument/2006/relationships/hyperlink" Target="https://www.ccaa.com.au/imis_prod/documents/Library%20Documents/Tech%20Note%2071%20Course%20Asphalt%20LR.pdf" TargetMode="External"/><Relationship Id="rId4" Type="http://schemas.openxmlformats.org/officeDocument/2006/relationships/hyperlink" Target="https://www.packagingcovenant.org.au/documents/item/3164" TargetMode="External"/><Relationship Id="rId9" Type="http://schemas.openxmlformats.org/officeDocument/2006/relationships/hyperlink" Target="https://publications.jrc.ec.europa.eu/repository/bitstream/JRC68281/jrc68281.pdf" TargetMode="External"/><Relationship Id="rId14" Type="http://schemas.openxmlformats.org/officeDocument/2006/relationships/hyperlink" Target="https://www.mainroads.wa.gov.au/globalassets/technical-commercial/technical-library/specifications/300-series-earthworks/specification-302-earthwork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929B7586-7649-4BC6-8BE2-4CBC5EC156BB}">
  <ds:schemaRefs>
    <ds:schemaRef ds:uri="http://schemas.openxmlformats.org/officeDocument/2006/bibliography"/>
  </ds:schemaRefs>
</ds:datastoreItem>
</file>

<file path=customXml/itemProps2.xml><?xml version="1.0" encoding="utf-8"?>
<ds:datastoreItem xmlns:ds="http://schemas.openxmlformats.org/officeDocument/2006/customXml" ds:itemID="{D95B97ED-4D3E-4EC4-8EA9-E5E8E9B8F138}"/>
</file>

<file path=customXml/itemProps3.xml><?xml version="1.0" encoding="utf-8"?>
<ds:datastoreItem xmlns:ds="http://schemas.openxmlformats.org/officeDocument/2006/customXml" ds:itemID="{4CAF01DC-263A-42DC-94E0-4EE210A44933}"/>
</file>

<file path=customXml/itemProps4.xml><?xml version="1.0" encoding="utf-8"?>
<ds:datastoreItem xmlns:ds="http://schemas.openxmlformats.org/officeDocument/2006/customXml" ds:itemID="{7C28E69B-1ED2-4039-9978-B4E933DEBDC9}"/>
</file>

<file path=docProps/app.xml><?xml version="1.0" encoding="utf-8"?>
<Properties xmlns="http://schemas.openxmlformats.org/officeDocument/2006/extended-properties" xmlns:vt="http://schemas.openxmlformats.org/officeDocument/2006/docPropsVTypes">
  <Template>Normal.dotm</Template>
  <TotalTime>0</TotalTime>
  <Pages>21</Pages>
  <Words>5602</Words>
  <Characters>31933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Waste Glass Industry Standards - Snapshot of MRA Consulting Group's Report</vt:lpstr>
    </vt:vector>
  </TitlesOfParts>
  <Company/>
  <LinksUpToDate>false</LinksUpToDate>
  <CharactersWithSpaces>37461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Glass Industry Standards - Snapshot of MRA Consulting Group's Report</dc:title>
  <dc:subject/>
  <dc:creator>Department of Agriculture, Water and the Environment</dc:creator>
  <cp:keywords/>
  <dc:description/>
  <cp:revision>2</cp:revision>
  <dcterms:created xsi:type="dcterms:W3CDTF">2021-03-12T03:28:00Z</dcterms:created>
  <dcterms:modified xsi:type="dcterms:W3CDTF">2021-03-12T03:28:00Z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RecordPoint_RecordNumberSubmitted">
    <vt:lpwstr/>
  </property>
  <property fmtid="{D5CDD505-2E9C-101B-9397-08002B2CF9AE}" pid="4" name="Topic_Function">
    <vt:lpwstr>9;#Division|da85fcf3-7c8a-4c1c-8eee-0f28b34df767</vt:lpwstr>
  </property>
  <property fmtid="{D5CDD505-2E9C-101B-9397-08002B2CF9AE}" pid="5" name="ContentTypeId">
    <vt:lpwstr>0x0101004B6FD6131ACCD942B99EE496FC609FF4</vt:lpwstr>
  </property>
  <property fmtid="{D5CDD505-2E9C-101B-9397-08002B2CF9AE}" pid="6" name="RecordPoint_ActiveItemWebId">
    <vt:lpwstr>{2d7b2cc1-18c0-44b7-af41-031aabc3e1e1}</vt:lpwstr>
  </property>
  <property fmtid="{D5CDD505-2E9C-101B-9397-08002B2CF9AE}" pid="7" name="RecordPoint_WorkflowType">
    <vt:lpwstr>ActiveSubmitStub</vt:lpwstr>
  </property>
  <property fmtid="{D5CDD505-2E9C-101B-9397-08002B2CF9AE}" pid="8" name="DocumentPurpose">
    <vt:lpwstr>10;#Template|eb151fc1-30f7-4809-8b54-471eb89ae89c</vt:lpwstr>
  </property>
  <property fmtid="{D5CDD505-2E9C-101B-9397-08002B2CF9AE}" pid="9" name="RecordPoint_ActiveItemSiteId">
    <vt:lpwstr>{04b19458-2747-495c-8cfe-63b20256e621}</vt:lpwstr>
  </property>
  <property fmtid="{D5CDD505-2E9C-101B-9397-08002B2CF9AE}" pid="10" name="RecordPoint_ActiveItemListId">
    <vt:lpwstr>{ea8e87e6-b4d0-4847-8115-47d9812f67a2}</vt:lpwstr>
  </property>
  <property fmtid="{D5CDD505-2E9C-101B-9397-08002B2CF9AE}" pid="11" name="RecordPoint_SubmissionCompleted">
    <vt:lpwstr/>
  </property>
  <property fmtid="{D5CDD505-2E9C-101B-9397-08002B2CF9AE}" pid="12" name="RecordPoint_ActiveItemMoved">
    <vt:lpwstr/>
  </property>
  <property fmtid="{D5CDD505-2E9C-101B-9397-08002B2CF9AE}" pid="13" name="RecordPoint_ActiveItemUniqueId">
    <vt:lpwstr>{ca2c06f4-0992-429a-9c5a-0ce3f1d47e28}</vt:lpwstr>
  </property>
  <property fmtid="{D5CDD505-2E9C-101B-9397-08002B2CF9AE}" pid="14" name="RecordPoint_RecordFormat">
    <vt:lpwstr/>
  </property>
  <property fmtid="{D5CDD505-2E9C-101B-9397-08002B2CF9AE}" pid="15" name="Publishing Division">
    <vt:lpwstr>2;#Policy Analysis and Implementation Division|da0d1c52-b1f9-4866-9363-00dc108b8321</vt:lpwstr>
  </property>
  <property fmtid="{D5CDD505-2E9C-101B-9397-08002B2CF9AE}" pid="16" name="DotEE Location">
    <vt:lpwstr/>
  </property>
</Properties>
</file>