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7255" w14:textId="163C092F" w:rsidR="00DA6A45" w:rsidRPr="00DA6A45" w:rsidRDefault="00553E91" w:rsidP="004E2669">
      <w:pPr>
        <w:widowControl w:val="0"/>
        <w:spacing w:after="120"/>
        <w:rPr>
          <w:rFonts w:eastAsiaTheme="majorEastAsia" w:cstheme="majorBidi"/>
          <w:b/>
          <w:color w:val="4D4DB8"/>
          <w:sz w:val="28"/>
          <w:szCs w:val="26"/>
        </w:rPr>
      </w:pPr>
      <w:r>
        <w:rPr>
          <w:rFonts w:eastAsiaTheme="majorEastAsia" w:cstheme="majorBidi"/>
          <w:b/>
          <w:color w:val="4D4DB8"/>
          <w:sz w:val="28"/>
          <w:szCs w:val="26"/>
        </w:rPr>
        <w:t>Data on im</w:t>
      </w:r>
      <w:r w:rsidR="00DA6A45" w:rsidRPr="00DA6A45">
        <w:rPr>
          <w:rFonts w:eastAsiaTheme="majorEastAsia" w:cstheme="majorBidi"/>
          <w:b/>
          <w:color w:val="4D4DB8"/>
          <w:sz w:val="28"/>
          <w:szCs w:val="26"/>
        </w:rPr>
        <w:t>ports of waste and recovered materials in</w:t>
      </w:r>
      <w:r>
        <w:rPr>
          <w:rFonts w:eastAsiaTheme="majorEastAsia" w:cstheme="majorBidi"/>
          <w:b/>
          <w:color w:val="4D4DB8"/>
          <w:sz w:val="28"/>
          <w:szCs w:val="26"/>
        </w:rPr>
        <w:t>to Australia,</w:t>
      </w:r>
      <w:r w:rsidR="009B17CE">
        <w:rPr>
          <w:rFonts w:eastAsiaTheme="majorEastAsia" w:cstheme="majorBidi"/>
          <w:b/>
          <w:color w:val="4D4DB8"/>
          <w:sz w:val="28"/>
          <w:szCs w:val="26"/>
        </w:rPr>
        <w:t> </w:t>
      </w:r>
      <w:r w:rsidR="00DA6A45" w:rsidRPr="00DA6A45">
        <w:rPr>
          <w:rFonts w:eastAsiaTheme="majorEastAsia" w:cstheme="majorBidi"/>
          <w:b/>
          <w:color w:val="4D4DB8"/>
          <w:sz w:val="28"/>
          <w:szCs w:val="26"/>
        </w:rPr>
        <w:t>202</w:t>
      </w:r>
      <w:r w:rsidR="00110651">
        <w:rPr>
          <w:rFonts w:eastAsiaTheme="majorEastAsia" w:cstheme="majorBidi"/>
          <w:b/>
          <w:color w:val="4D4DB8"/>
          <w:sz w:val="28"/>
          <w:szCs w:val="26"/>
        </w:rPr>
        <w:t>1</w:t>
      </w:r>
    </w:p>
    <w:p w14:paraId="599D0EBA" w14:textId="6EBDD8D0" w:rsidR="00DA6A45" w:rsidRPr="00DA6A45" w:rsidRDefault="00A56CAC" w:rsidP="007619E5">
      <w:pPr>
        <w:spacing w:after="120"/>
        <w:jc w:val="right"/>
        <w:rPr>
          <w:i/>
        </w:rPr>
      </w:pPr>
      <w:r>
        <w:rPr>
          <w:i/>
        </w:rPr>
        <w:t>2</w:t>
      </w:r>
      <w:r w:rsidR="00953F0C">
        <w:rPr>
          <w:i/>
        </w:rPr>
        <w:t>8</w:t>
      </w:r>
      <w:r w:rsidR="00102B40">
        <w:rPr>
          <w:i/>
        </w:rPr>
        <w:t xml:space="preserve"> </w:t>
      </w:r>
      <w:r w:rsidR="00952CC5">
        <w:rPr>
          <w:i/>
        </w:rPr>
        <w:t xml:space="preserve">September </w:t>
      </w:r>
      <w:r w:rsidR="00DA6A45" w:rsidRPr="00DA6A45">
        <w:rPr>
          <w:i/>
        </w:rPr>
        <w:t>202</w:t>
      </w:r>
      <w:r w:rsidR="00E44550">
        <w:rPr>
          <w:i/>
        </w:rPr>
        <w:t>1</w:t>
      </w:r>
      <w:r w:rsidR="00DA6A45" w:rsidRPr="00DA6A45">
        <w:rPr>
          <w:i/>
        </w:rPr>
        <w:t>, Sally Donovan</w:t>
      </w:r>
      <w:r w:rsidR="00646F31">
        <w:rPr>
          <w:i/>
        </w:rPr>
        <w:t xml:space="preserve"> and Joe Pickin</w:t>
      </w:r>
    </w:p>
    <w:p w14:paraId="794AEC7A" w14:textId="77777777" w:rsidR="00DA6A45" w:rsidRPr="00DA6A45" w:rsidRDefault="00DA6A45" w:rsidP="007619E5">
      <w:pPr>
        <w:spacing w:after="120"/>
        <w:jc w:val="right"/>
        <w:rPr>
          <w:i/>
        </w:rPr>
      </w:pPr>
      <w:r w:rsidRPr="00DA6A45">
        <w:rPr>
          <w:i/>
          <w:sz w:val="16"/>
          <w:szCs w:val="16"/>
        </w:rPr>
        <w:t>©The Department of Agriculture, Water and the Environment</w:t>
      </w:r>
    </w:p>
    <w:p w14:paraId="3817858C" w14:textId="795C4AFF" w:rsidR="00AD4659" w:rsidRDefault="00AF1D05" w:rsidP="00DE1E19">
      <w:pPr>
        <w:pStyle w:val="BodyText"/>
        <w:spacing w:after="120"/>
      </w:pPr>
      <w:r>
        <w:t xml:space="preserve">Blue Environment </w:t>
      </w:r>
      <w:r w:rsidR="00FC2738">
        <w:t>wa</w:t>
      </w:r>
      <w:r>
        <w:t xml:space="preserve">s commissioned by the Department of </w:t>
      </w:r>
      <w:r w:rsidR="003B0ED0">
        <w:t xml:space="preserve">Agriculture, Water and </w:t>
      </w:r>
      <w:r w:rsidR="005D3814">
        <w:t xml:space="preserve">the </w:t>
      </w:r>
      <w:r w:rsidR="003B0ED0">
        <w:t>Environment</w:t>
      </w:r>
      <w:r>
        <w:t xml:space="preserve"> to </w:t>
      </w:r>
      <w:r w:rsidR="00FC2738">
        <w:t>collate</w:t>
      </w:r>
      <w:r w:rsidR="00DF2526">
        <w:t xml:space="preserve">, </w:t>
      </w:r>
      <w:r w:rsidR="001D40D7">
        <w:t xml:space="preserve">analyse and report </w:t>
      </w:r>
      <w:r w:rsidR="00FC2738">
        <w:t>data on</w:t>
      </w:r>
      <w:r w:rsidR="001D40D7">
        <w:t xml:space="preserve"> </w:t>
      </w:r>
      <w:r w:rsidR="00EC07F4">
        <w:t>imports</w:t>
      </w:r>
      <w:r w:rsidR="00862833">
        <w:t xml:space="preserve"> of </w:t>
      </w:r>
      <w:r w:rsidR="00693E99">
        <w:t>waste</w:t>
      </w:r>
      <w:r w:rsidR="003F0BCD">
        <w:t xml:space="preserve"> and recovered materials</w:t>
      </w:r>
      <w:r w:rsidR="00FC2738">
        <w:t xml:space="preserve"> during 2020-21</w:t>
      </w:r>
      <w:r w:rsidR="00AD4659">
        <w:rPr>
          <w:rStyle w:val="FootnoteReference"/>
        </w:rPr>
        <w:footnoteReference w:id="1"/>
      </w:r>
      <w:r>
        <w:t xml:space="preserve">. </w:t>
      </w:r>
      <w:r w:rsidR="00EC07F4">
        <w:t>The</w:t>
      </w:r>
      <w:r w:rsidR="00FC2738">
        <w:t xml:space="preserve"> analysis</w:t>
      </w:r>
      <w:r w:rsidR="00EC07F4">
        <w:t xml:space="preserve"> </w:t>
      </w:r>
      <w:r w:rsidR="00F604D4">
        <w:t xml:space="preserve">builds on a previous </w:t>
      </w:r>
      <w:r w:rsidR="00FC2738">
        <w:t xml:space="preserve">assessment </w:t>
      </w:r>
      <w:r w:rsidR="00895245">
        <w:t>covering</w:t>
      </w:r>
      <w:r w:rsidR="00FC2738">
        <w:t xml:space="preserve"> the period</w:t>
      </w:r>
      <w:r w:rsidR="00895245">
        <w:t xml:space="preserve"> </w:t>
      </w:r>
      <w:r w:rsidR="00EC07F4">
        <w:t>2016-17</w:t>
      </w:r>
      <w:r w:rsidR="00895245">
        <w:t xml:space="preserve"> to</w:t>
      </w:r>
      <w:r w:rsidR="00EC07F4">
        <w:t xml:space="preserve"> 2018-19. The import tonnages and reported values are </w:t>
      </w:r>
      <w:r w:rsidR="0059692E">
        <w:t>from</w:t>
      </w:r>
      <w:r w:rsidR="00EC07F4">
        <w:t xml:space="preserve"> the Australian Bureau of Statistics (ABS).</w:t>
      </w:r>
      <w:r w:rsidR="00FC2738">
        <w:t xml:space="preserve"> </w:t>
      </w:r>
    </w:p>
    <w:p w14:paraId="46C49E33" w14:textId="7465FDA7" w:rsidR="00E30EBE" w:rsidRPr="00850B51" w:rsidRDefault="00E30EBE" w:rsidP="00DE1E19">
      <w:pPr>
        <w:pStyle w:val="Heading3-nonumber"/>
      </w:pPr>
      <w:r w:rsidRPr="00C724AA">
        <w:t>Summary</w:t>
      </w:r>
    </w:p>
    <w:p w14:paraId="63848D02" w14:textId="7D7858AD" w:rsidR="00ED5F95" w:rsidRDefault="0083200E" w:rsidP="004E2669">
      <w:pPr>
        <w:pStyle w:val="BodyText"/>
        <w:shd w:val="clear" w:color="auto" w:fill="F2F2F2" w:themeFill="background1" w:themeFillShade="F2"/>
        <w:spacing w:after="120"/>
      </w:pPr>
      <w:r w:rsidRPr="004275B0">
        <w:t>In</w:t>
      </w:r>
      <w:r w:rsidR="009B17CE" w:rsidRPr="004275B0">
        <w:t> </w:t>
      </w:r>
      <w:r w:rsidR="00C742F0" w:rsidRPr="004275B0">
        <w:t>2</w:t>
      </w:r>
      <w:r w:rsidR="00110651" w:rsidRPr="004275B0">
        <w:t>0</w:t>
      </w:r>
      <w:r w:rsidR="005314B4" w:rsidRPr="004275B0">
        <w:t>20-</w:t>
      </w:r>
      <w:r w:rsidR="00110651" w:rsidRPr="004275B0">
        <w:t>21</w:t>
      </w:r>
      <w:r w:rsidRPr="004275B0">
        <w:t xml:space="preserve">, Australia </w:t>
      </w:r>
      <w:r w:rsidR="005314B4" w:rsidRPr="004275B0">
        <w:t>im</w:t>
      </w:r>
      <w:r w:rsidRPr="004275B0">
        <w:t xml:space="preserve">ported </w:t>
      </w:r>
      <w:r w:rsidR="00C3658F" w:rsidRPr="004275B0">
        <w:t>about</w:t>
      </w:r>
      <w:r w:rsidR="00ED5F95">
        <w:t xml:space="preserve"> </w:t>
      </w:r>
      <w:r w:rsidR="0075248F">
        <w:t>199</w:t>
      </w:r>
      <w:r w:rsidR="00ED5F95">
        <w:t xml:space="preserve">,000 tonnes of waste materials within the </w:t>
      </w:r>
      <w:r w:rsidR="00ED5F95" w:rsidRPr="004275B0">
        <w:t>national waste reporting</w:t>
      </w:r>
      <w:r w:rsidR="00ED5F95">
        <w:t xml:space="preserve"> scope of </w:t>
      </w:r>
      <w:r w:rsidR="00ED5F95" w:rsidRPr="004275B0">
        <w:t>‘core waste plus ash’</w:t>
      </w:r>
      <w:r w:rsidR="00ED5F95">
        <w:t>, with a reported value of $1</w:t>
      </w:r>
      <w:r w:rsidR="31431C8E">
        <w:t>40</w:t>
      </w:r>
      <w:r w:rsidR="00ED5F95">
        <w:t xml:space="preserve"> million</w:t>
      </w:r>
      <w:r w:rsidR="00ED5F95" w:rsidRPr="004275B0">
        <w:rPr>
          <w:rStyle w:val="FootnoteReference"/>
        </w:rPr>
        <w:footnoteReference w:id="2"/>
      </w:r>
      <w:r w:rsidR="00ED5F95">
        <w:t xml:space="preserve">. Almost half the quantity was scrap metals. </w:t>
      </w:r>
      <w:r w:rsidR="00C724AA">
        <w:t>The main sources were New Zealand (</w:t>
      </w:r>
      <w:r w:rsidR="365A55B0">
        <w:t>42</w:t>
      </w:r>
      <w:r w:rsidR="00C724AA">
        <w:t>%), India (</w:t>
      </w:r>
      <w:r w:rsidR="150FAB87">
        <w:t>20</w:t>
      </w:r>
      <w:r w:rsidR="00C724AA">
        <w:t>%) and the USA (</w:t>
      </w:r>
      <w:r w:rsidR="1F17475A">
        <w:t>20</w:t>
      </w:r>
      <w:r w:rsidR="00C724AA">
        <w:t>%).</w:t>
      </w:r>
    </w:p>
    <w:p w14:paraId="76243650" w14:textId="0CEEDB3D" w:rsidR="00ED5F95" w:rsidRDefault="00ED5F95" w:rsidP="004E2669">
      <w:pPr>
        <w:pStyle w:val="BodyText"/>
        <w:shd w:val="clear" w:color="auto" w:fill="F2F2F2" w:themeFill="background1" w:themeFillShade="F2"/>
        <w:spacing w:after="120"/>
      </w:pPr>
      <w:r>
        <w:t>A further 2.04 million tonnes of non-core waste were imported with a reported value of $5</w:t>
      </w:r>
      <w:r w:rsidR="5498302C">
        <w:t>14</w:t>
      </w:r>
      <w:r>
        <w:t xml:space="preserve"> million. This material comprised granulated slag</w:t>
      </w:r>
      <w:r w:rsidR="00C724AA">
        <w:t xml:space="preserve">, a by-product of iron and steel manufacture, from Japan, and various types of agricultural by-product. </w:t>
      </w:r>
    </w:p>
    <w:p w14:paraId="7F2147B7" w14:textId="656088D6" w:rsidR="00EF1F9C" w:rsidRPr="00E80652" w:rsidRDefault="00ED5F95" w:rsidP="004E2669">
      <w:pPr>
        <w:pStyle w:val="BodyText"/>
        <w:shd w:val="clear" w:color="auto" w:fill="F2F2F2" w:themeFill="background1" w:themeFillShade="F2"/>
        <w:spacing w:after="120"/>
        <w:rPr>
          <w:highlight w:val="yellow"/>
        </w:rPr>
      </w:pPr>
      <w:r>
        <w:t xml:space="preserve">The total </w:t>
      </w:r>
      <w:r w:rsidR="00C724AA">
        <w:t xml:space="preserve">of </w:t>
      </w:r>
      <w:r w:rsidR="005314B4" w:rsidRPr="004275B0">
        <w:t>2.</w:t>
      </w:r>
      <w:r w:rsidR="00C724AA">
        <w:t>2</w:t>
      </w:r>
      <w:r w:rsidR="0075248F">
        <w:t>3</w:t>
      </w:r>
      <w:r>
        <w:t xml:space="preserve"> </w:t>
      </w:r>
      <w:r w:rsidR="005314B4" w:rsidRPr="004275B0">
        <w:t>million </w:t>
      </w:r>
      <w:r w:rsidR="0083200E" w:rsidRPr="004275B0">
        <w:t xml:space="preserve">tonnes of </w:t>
      </w:r>
      <w:r w:rsidR="0059692E">
        <w:t xml:space="preserve">imported </w:t>
      </w:r>
      <w:r w:rsidR="00C9470A" w:rsidRPr="004275B0">
        <w:t>waste and recovered materials</w:t>
      </w:r>
      <w:r w:rsidR="0083200E" w:rsidRPr="004275B0">
        <w:t xml:space="preserve"> </w:t>
      </w:r>
      <w:r w:rsidR="00B5164B" w:rsidRPr="004275B0">
        <w:t>is about half of the waste exports for the same year, which were 4.2</w:t>
      </w:r>
      <w:r w:rsidR="00C724AA">
        <w:t>5 million tonnes</w:t>
      </w:r>
      <w:r w:rsidR="00B5164B" w:rsidRPr="004275B0">
        <w:t xml:space="preserve"> with a reported value of $3</w:t>
      </w:r>
      <w:r w:rsidR="00C724AA">
        <w:t>.</w:t>
      </w:r>
      <w:r w:rsidR="00B5164B" w:rsidRPr="004275B0">
        <w:t>20</w:t>
      </w:r>
      <w:r w:rsidR="009F2937">
        <w:t> </w:t>
      </w:r>
      <w:r w:rsidR="00C724AA">
        <w:t>b</w:t>
      </w:r>
      <w:r w:rsidR="009F2937">
        <w:t>illion</w:t>
      </w:r>
      <w:r w:rsidR="00B5164B" w:rsidRPr="004275B0">
        <w:t>.</w:t>
      </w:r>
      <w:r w:rsidR="00DD1345" w:rsidRPr="004275B0">
        <w:t xml:space="preserve"> </w:t>
      </w:r>
    </w:p>
    <w:p w14:paraId="259EE79F" w14:textId="08099975" w:rsidR="00553E91" w:rsidRPr="00DE1E19" w:rsidRDefault="00553E91" w:rsidP="00DE1E19">
      <w:pPr>
        <w:pStyle w:val="Heading3-nonumber"/>
      </w:pPr>
      <w:r w:rsidRPr="00DE1E19">
        <w:t>Background</w:t>
      </w:r>
    </w:p>
    <w:p w14:paraId="1D4E30F5" w14:textId="161EFACF" w:rsidR="00A613E2" w:rsidRDefault="00553E91" w:rsidP="004E2669">
      <w:pPr>
        <w:pStyle w:val="BodyText"/>
        <w:spacing w:after="120"/>
      </w:pPr>
      <w:r>
        <w:t>Exports of wastes and recovered materials</w:t>
      </w:r>
      <w:r w:rsidR="00C10BA7">
        <w:t xml:space="preserve"> captured the Australian public’s attention</w:t>
      </w:r>
      <w:r w:rsidR="008D2633">
        <w:t xml:space="preserve"> </w:t>
      </w:r>
      <w:r w:rsidR="00A613E2">
        <w:t>when</w:t>
      </w:r>
      <w:r w:rsidR="00C10BA7">
        <w:t xml:space="preserve"> China</w:t>
      </w:r>
      <w:r w:rsidR="00A613E2">
        <w:t xml:space="preserve"> imposed </w:t>
      </w:r>
      <w:r w:rsidR="00C10BA7">
        <w:t>restrictions</w:t>
      </w:r>
      <w:r w:rsidR="00A613E2">
        <w:t xml:space="preserve"> on waste imports. P</w:t>
      </w:r>
      <w:r w:rsidR="00C10BA7">
        <w:t>rominent news stories</w:t>
      </w:r>
      <w:r w:rsidR="00A613E2">
        <w:t xml:space="preserve"> followed showing</w:t>
      </w:r>
      <w:r w:rsidR="00C10BA7">
        <w:t xml:space="preserve"> the impacts of plastic</w:t>
      </w:r>
      <w:r w:rsidR="00A613E2">
        <w:t xml:space="preserve">, </w:t>
      </w:r>
      <w:r w:rsidR="00C10BA7">
        <w:t xml:space="preserve">textile </w:t>
      </w:r>
      <w:r w:rsidR="00A613E2">
        <w:t xml:space="preserve">and other </w:t>
      </w:r>
      <w:r w:rsidR="00C10BA7">
        <w:t>waste</w:t>
      </w:r>
      <w:r w:rsidR="00A613E2">
        <w:t>s</w:t>
      </w:r>
      <w:r w:rsidR="00C10BA7">
        <w:t xml:space="preserve"> in export destinations. </w:t>
      </w:r>
      <w:r w:rsidR="00A613E2">
        <w:t>Australia is gradually introducing b</w:t>
      </w:r>
      <w:r w:rsidR="00C90BC0">
        <w:t>ans on the</w:t>
      </w:r>
      <w:r w:rsidR="00C10BA7">
        <w:t xml:space="preserve"> exports of </w:t>
      </w:r>
      <w:r w:rsidR="008D2633">
        <w:t>some of these materials</w:t>
      </w:r>
      <w:r w:rsidR="00C90BC0">
        <w:t>.</w:t>
      </w:r>
    </w:p>
    <w:p w14:paraId="448D7DF0" w14:textId="4F7E1BEA" w:rsidR="00553E91" w:rsidRDefault="00A613E2" w:rsidP="004E2669">
      <w:pPr>
        <w:pStyle w:val="BodyText"/>
        <w:spacing w:after="120"/>
      </w:pPr>
      <w:r>
        <w:t>The Department of Agriculture, Water and the Environment has produced monthly and annual reports on Australia’s waste exports for the past three years</w:t>
      </w:r>
      <w:r>
        <w:rPr>
          <w:rStyle w:val="FootnoteReference"/>
        </w:rPr>
        <w:footnoteReference w:id="3"/>
      </w:r>
      <w:r>
        <w:t xml:space="preserve">. </w:t>
      </w:r>
      <w:r w:rsidR="00553E91">
        <w:t xml:space="preserve">This report </w:t>
      </w:r>
      <w:r w:rsidR="00B03945">
        <w:t>complements th</w:t>
      </w:r>
      <w:r>
        <w:t>os</w:t>
      </w:r>
      <w:r w:rsidR="00B03945">
        <w:t>e reports</w:t>
      </w:r>
      <w:r w:rsidR="00C90BC0">
        <w:t xml:space="preserve"> </w:t>
      </w:r>
      <w:r w:rsidR="00B03945">
        <w:t xml:space="preserve">by documenting data on waste imports. </w:t>
      </w:r>
      <w:r w:rsidR="00553E91">
        <w:t>It explore</w:t>
      </w:r>
      <w:r w:rsidR="005976DF">
        <w:t>s</w:t>
      </w:r>
      <w:r w:rsidR="00553E91">
        <w:t xml:space="preserve"> types of waste and recovered materials imported, including quantities, reported value, places of origin and jurisdiction of destination. </w:t>
      </w:r>
      <w:r w:rsidR="00703F46">
        <w:t>It builds on a previous analysis that covered the years 2016-17 to 2018-19.</w:t>
      </w:r>
    </w:p>
    <w:p w14:paraId="47323CC3" w14:textId="1D98D67F" w:rsidR="00876427" w:rsidRDefault="00703F46" w:rsidP="00876427">
      <w:pPr>
        <w:pStyle w:val="BodyText"/>
      </w:pPr>
      <w:r>
        <w:t>The report is based on ‘</w:t>
      </w:r>
      <w:r w:rsidRPr="00C90BC0">
        <w:t>Harmonized Tariff Item Statistical Classification</w:t>
      </w:r>
      <w:r>
        <w:t>’ (HTISC)</w:t>
      </w:r>
      <w:r w:rsidRPr="00C90BC0">
        <w:t xml:space="preserve"> </w:t>
      </w:r>
      <w:r>
        <w:t>import codes, which are mapped to waste</w:t>
      </w:r>
      <w:r w:rsidR="00876427">
        <w:rPr>
          <w:rStyle w:val="FootnoteReference"/>
        </w:rPr>
        <w:footnoteReference w:id="4"/>
      </w:r>
      <w:r>
        <w:t>, or partly to waste, and identified as either</w:t>
      </w:r>
      <w:r w:rsidR="00876427">
        <w:t>:</w:t>
      </w:r>
    </w:p>
    <w:p w14:paraId="4948710E" w14:textId="20DB3F1D" w:rsidR="00876427" w:rsidRDefault="00703F46" w:rsidP="00876427">
      <w:pPr>
        <w:pStyle w:val="Bullet1"/>
      </w:pPr>
      <w:r>
        <w:t>core waste plus ash</w:t>
      </w:r>
      <w:r w:rsidR="00876427">
        <w:t>, where ‘core waste’ is materials generally managed by the solid waste industry and the inclusion of ash</w:t>
      </w:r>
      <w:bookmarkStart w:id="1" w:name="_Ref81930007"/>
      <w:r w:rsidR="00444C23">
        <w:rPr>
          <w:rStyle w:val="FootnoteReference"/>
        </w:rPr>
        <w:footnoteReference w:id="5"/>
      </w:r>
      <w:bookmarkEnd w:id="1"/>
      <w:r w:rsidR="00876427">
        <w:t xml:space="preserve"> brings this total in line with the headline values of national waste reporting </w:t>
      </w:r>
    </w:p>
    <w:p w14:paraId="1E683872" w14:textId="436E5707" w:rsidR="00703F46" w:rsidRPr="00553E91" w:rsidRDefault="00703F46" w:rsidP="00876427">
      <w:pPr>
        <w:pStyle w:val="Bullet1"/>
      </w:pPr>
      <w:r>
        <w:t>non-core waste from agriculture or industrial processing</w:t>
      </w:r>
      <w:r w:rsidR="00876427">
        <w:t xml:space="preserve">, which </w:t>
      </w:r>
      <w:r>
        <w:t xml:space="preserve">are included here for completeness. </w:t>
      </w:r>
    </w:p>
    <w:p w14:paraId="6770AD32" w14:textId="77777777" w:rsidR="00BD7406" w:rsidRDefault="00BD7406"/>
    <w:p w14:paraId="4E68C54D" w14:textId="30BF517E" w:rsidR="00C724AA" w:rsidRDefault="00ED4A6A" w:rsidP="00BD7406">
      <w:pPr>
        <w:pStyle w:val="BodyText"/>
        <w:spacing w:after="120"/>
        <w:rPr>
          <w:rFonts w:eastAsiaTheme="majorEastAsia" w:cstheme="majorBidi"/>
          <w:b/>
          <w:color w:val="4D4DB8"/>
          <w:sz w:val="24"/>
          <w:szCs w:val="26"/>
        </w:rPr>
      </w:pPr>
      <w:r>
        <w:t>W</w:t>
      </w:r>
      <w:r w:rsidR="00BD7406">
        <w:t xml:space="preserve">aste materials </w:t>
      </w:r>
      <w:r>
        <w:t>may be</w:t>
      </w:r>
      <w:r w:rsidR="00BD7406">
        <w:t xml:space="preserve"> imported</w:t>
      </w:r>
      <w:r>
        <w:t xml:space="preserve"> into Australia for a range of reasons: </w:t>
      </w:r>
      <w:r w:rsidR="00BD7406">
        <w:t>recycling</w:t>
      </w:r>
      <w:r>
        <w:t>;</w:t>
      </w:r>
      <w:r w:rsidR="00BD7406">
        <w:t xml:space="preserve"> </w:t>
      </w:r>
      <w:r>
        <w:t xml:space="preserve">treatment of hazardous waste; </w:t>
      </w:r>
      <w:r w:rsidR="00BD7406">
        <w:t>aggregat</w:t>
      </w:r>
      <w:r>
        <w:t>ion</w:t>
      </w:r>
      <w:r w:rsidR="00BD7406">
        <w:t xml:space="preserve"> with Australian wastes for re-export</w:t>
      </w:r>
      <w:r>
        <w:t>;</w:t>
      </w:r>
      <w:r w:rsidR="00BD7406">
        <w:t xml:space="preserve"> </w:t>
      </w:r>
      <w:r>
        <w:t>re-</w:t>
      </w:r>
      <w:r w:rsidR="00BD7406">
        <w:t>import</w:t>
      </w:r>
      <w:r>
        <w:t xml:space="preserve"> of Australian materials after </w:t>
      </w:r>
      <w:r w:rsidR="00BD7406">
        <w:t xml:space="preserve">treatment </w:t>
      </w:r>
      <w:r>
        <w:t>overseas; or for industrial use (</w:t>
      </w:r>
      <w:r w:rsidR="00BD7406">
        <w:t>particularly</w:t>
      </w:r>
      <w:r>
        <w:t xml:space="preserve"> of</w:t>
      </w:r>
      <w:r w:rsidR="00BD7406">
        <w:t xml:space="preserve"> non-core wastes</w:t>
      </w:r>
      <w:r>
        <w:t>). It is important</w:t>
      </w:r>
      <w:r w:rsidR="001E3560">
        <w:t xml:space="preserve"> to understand these flows </w:t>
      </w:r>
      <w:r w:rsidR="00E748FA">
        <w:t>for</w:t>
      </w:r>
      <w:r w:rsidR="001E3560">
        <w:t xml:space="preserve"> </w:t>
      </w:r>
      <w:r>
        <w:t>waste infrastructure</w:t>
      </w:r>
      <w:r w:rsidR="001E3560">
        <w:t xml:space="preserve"> planning and </w:t>
      </w:r>
      <w:r w:rsidR="00E748FA">
        <w:t xml:space="preserve">in the broader context of </w:t>
      </w:r>
      <w:r w:rsidR="001E3560">
        <w:t>circular economy polic</w:t>
      </w:r>
      <w:r w:rsidR="00E748FA">
        <w:t>y</w:t>
      </w:r>
      <w:r>
        <w:t xml:space="preserve">. </w:t>
      </w:r>
      <w:r w:rsidR="00C724AA">
        <w:br w:type="page"/>
      </w:r>
    </w:p>
    <w:p w14:paraId="65AA49C0" w14:textId="3B307E44" w:rsidR="00397378" w:rsidRDefault="00553E91" w:rsidP="00DE1E19">
      <w:pPr>
        <w:pStyle w:val="Heading3-nonumber"/>
      </w:pPr>
      <w:r>
        <w:lastRenderedPageBreak/>
        <w:t>Annual trends in imports of waste</w:t>
      </w:r>
      <w:r w:rsidR="00EC07F4">
        <w:t xml:space="preserve"> and recovered materials</w:t>
      </w:r>
    </w:p>
    <w:p w14:paraId="7C9F6F24" w14:textId="4DBCA2A7" w:rsidR="001C65C3" w:rsidRDefault="00EC07F4" w:rsidP="004E2669">
      <w:pPr>
        <w:pStyle w:val="BodyText"/>
        <w:spacing w:after="120"/>
      </w:pPr>
      <w:r>
        <w:fldChar w:fldCharType="begin"/>
      </w:r>
      <w:r>
        <w:instrText xml:space="preserve"> REF _Ref80625572 \h </w:instrText>
      </w:r>
      <w:r>
        <w:fldChar w:fldCharType="separate"/>
      </w:r>
      <w:r w:rsidR="007E6720">
        <w:t xml:space="preserve">Figure </w:t>
      </w:r>
      <w:r w:rsidR="007E6720">
        <w:rPr>
          <w:noProof/>
        </w:rPr>
        <w:t>1</w:t>
      </w:r>
      <w:r>
        <w:fldChar w:fldCharType="end"/>
      </w:r>
      <w:r>
        <w:t xml:space="preserve"> shows the tonnage and reported value of imports of waste and recovered materials </w:t>
      </w:r>
      <w:r w:rsidR="009B183F">
        <w:t>during</w:t>
      </w:r>
      <w:r>
        <w:t xml:space="preserve"> </w:t>
      </w:r>
      <w:r w:rsidR="00F604D4">
        <w:t>2020-21</w:t>
      </w:r>
      <w:r w:rsidR="00426E28">
        <w:t xml:space="preserve">. </w:t>
      </w:r>
      <w:r w:rsidR="00703F46">
        <w:t>H</w:t>
      </w:r>
      <w:r w:rsidR="00F604D4">
        <w:t xml:space="preserve">istorical data from </w:t>
      </w:r>
      <w:r w:rsidR="00703F46">
        <w:t xml:space="preserve">2016-17 to 2018-19 </w:t>
      </w:r>
      <w:r w:rsidR="00F604D4">
        <w:t>is shown for comparison</w:t>
      </w:r>
      <w:r w:rsidR="0050731F">
        <w:t xml:space="preserve">. </w:t>
      </w:r>
      <w:r w:rsidR="00015A6D">
        <w:t>The top half of the figure shows core waste plus ash</w:t>
      </w:r>
      <w:r w:rsidR="00291010">
        <w:t xml:space="preserve">, while the bottom shows non-core wastes. </w:t>
      </w:r>
    </w:p>
    <w:p w14:paraId="54330B65" w14:textId="6F73D24A" w:rsidR="00E926BD" w:rsidRDefault="009B183F" w:rsidP="004E2669">
      <w:pPr>
        <w:pStyle w:val="BodyText"/>
        <w:spacing w:after="120"/>
      </w:pPr>
      <w:r>
        <w:t xml:space="preserve">About </w:t>
      </w:r>
      <w:r w:rsidR="0075248F">
        <w:t>199</w:t>
      </w:r>
      <w:r>
        <w:t xml:space="preserve">,000 tonnes of </w:t>
      </w:r>
      <w:r w:rsidR="00E926BD">
        <w:t xml:space="preserve">core waste and ash were imported during 2020-21. Quantities rose from 2016-17 to 2018-19, then dropped off in 2020-21. The </w:t>
      </w:r>
      <w:r w:rsidR="00ED5F95">
        <w:t xml:space="preserve">main imports are </w:t>
      </w:r>
      <w:r w:rsidR="00E926BD">
        <w:t xml:space="preserve">metals </w:t>
      </w:r>
      <w:r w:rsidR="00DA73BA">
        <w:t>(</w:t>
      </w:r>
      <w:r w:rsidR="00E926BD">
        <w:t>mainly scrap steel and ferrous wastes</w:t>
      </w:r>
      <w:r w:rsidR="00DA73BA">
        <w:t>),</w:t>
      </w:r>
      <w:r w:rsidR="00E926BD">
        <w:t xml:space="preserve"> hazardous waste and ash.</w:t>
      </w:r>
    </w:p>
    <w:p w14:paraId="5857A5A3" w14:textId="4E4604A4" w:rsidR="00E926BD" w:rsidRDefault="00E926BD" w:rsidP="004E2669">
      <w:pPr>
        <w:pStyle w:val="BodyText"/>
        <w:spacing w:after="120"/>
      </w:pPr>
      <w:r>
        <w:t>A further 2.04 million tonnes of non-core waste w</w:t>
      </w:r>
      <w:r w:rsidR="00571425">
        <w:t>ere</w:t>
      </w:r>
      <w:r>
        <w:t xml:space="preserve"> imported, comprising granulated slag (slag sand) and organics. These non-core wastes represent 88-92% of total waste imports in each year.</w:t>
      </w:r>
    </w:p>
    <w:p w14:paraId="2E3F46DE" w14:textId="495753F9" w:rsidR="00DA2673" w:rsidRDefault="00DA2673" w:rsidP="004E2669">
      <w:pPr>
        <w:pStyle w:val="BodyText"/>
        <w:spacing w:after="120"/>
      </w:pPr>
      <w:r>
        <w:t>In aggregate, about 2.</w:t>
      </w:r>
      <w:r w:rsidR="32679734">
        <w:t>23</w:t>
      </w:r>
      <w:r>
        <w:t xml:space="preserve"> million tonnes of waste and recovered materials were imported in 2020-21.</w:t>
      </w:r>
    </w:p>
    <w:p w14:paraId="07EA6661" w14:textId="58F0B4DE" w:rsidR="001C65C3" w:rsidRPr="001C65C3" w:rsidRDefault="00EC07F4" w:rsidP="00291010">
      <w:pPr>
        <w:pStyle w:val="Caption"/>
        <w:keepNext/>
        <w:tabs>
          <w:tab w:val="left" w:pos="1134"/>
        </w:tabs>
        <w:spacing w:before="0" w:after="120"/>
        <w:ind w:left="1134" w:hanging="1134"/>
      </w:pPr>
      <w:bookmarkStart w:id="2" w:name="_Ref80625572"/>
      <w:r>
        <w:t xml:space="preserve">Figure </w:t>
      </w:r>
      <w:r>
        <w:fldChar w:fldCharType="begin"/>
      </w:r>
      <w:r>
        <w:instrText>SEQ Figure \* ARABIC</w:instrText>
      </w:r>
      <w:r>
        <w:fldChar w:fldCharType="separate"/>
      </w:r>
      <w:r w:rsidR="007E6720">
        <w:rPr>
          <w:noProof/>
        </w:rPr>
        <w:t>1</w:t>
      </w:r>
      <w:r>
        <w:fldChar w:fldCharType="end"/>
      </w:r>
      <w:bookmarkEnd w:id="2"/>
      <w:r>
        <w:tab/>
        <w:t>Imports of waste and recovered materials into Australia by type, showing quantity (thousands of tonnes) to the left and reported value ($m) to the right</w:t>
      </w:r>
      <w:r w:rsidR="0033526F">
        <w:t>. The time period is financial year ending in June of the year stated.</w:t>
      </w:r>
    </w:p>
    <w:p w14:paraId="778BBDC8" w14:textId="363D514C" w:rsidR="00E80652" w:rsidRPr="00E80652" w:rsidRDefault="0033526F" w:rsidP="004E2669">
      <w:pPr>
        <w:pStyle w:val="BodyText"/>
        <w:spacing w:after="120"/>
      </w:pPr>
      <w:r>
        <w:rPr>
          <w:noProof/>
        </w:rPr>
        <mc:AlternateContent>
          <mc:Choice Requires="wps">
            <w:drawing>
              <wp:anchor distT="45720" distB="45720" distL="114300" distR="114300" simplePos="0" relativeHeight="251659264" behindDoc="0" locked="0" layoutInCell="1" allowOverlap="1" wp14:anchorId="45EC02C3" wp14:editId="66B01598">
                <wp:simplePos x="0" y="0"/>
                <wp:positionH relativeFrom="page">
                  <wp:posOffset>2924175</wp:posOffset>
                </wp:positionH>
                <wp:positionV relativeFrom="paragraph">
                  <wp:posOffset>2936875</wp:posOffset>
                </wp:positionV>
                <wp:extent cx="11207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solidFill>
                          <a:srgbClr val="FFFFFF">
                            <a:alpha val="0"/>
                          </a:srgbClr>
                        </a:solidFill>
                        <a:ln w="9525">
                          <a:noFill/>
                          <a:miter lim="800000"/>
                          <a:headEnd/>
                          <a:tailEnd/>
                        </a:ln>
                      </wps:spPr>
                      <wps:txbx>
                        <w:txbxContent>
                          <w:p w14:paraId="3AEE4C9D" w14:textId="0DED170E" w:rsidR="00015A6D" w:rsidRPr="0033526F" w:rsidRDefault="0033526F">
                            <w:pPr>
                              <w:rPr>
                                <w:b/>
                                <w:bCs/>
                                <w:color w:val="37378B" w:themeColor="accent1" w:themeShade="BF"/>
                                <w:lang w:val="en-US"/>
                              </w:rPr>
                            </w:pPr>
                            <w:r>
                              <w:rPr>
                                <w:b/>
                                <w:bCs/>
                                <w:color w:val="37378B" w:themeColor="accent1" w:themeShade="BF"/>
                                <w:lang w:val="en-US"/>
                              </w:rPr>
                              <w:t>Non-core waste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C02C3" id="_x0000_t202" coordsize="21600,21600" o:spt="202" path="m,l,21600r21600,l21600,xe">
                <v:stroke joinstyle="miter"/>
                <v:path gradientshapeok="t" o:connecttype="rect"/>
              </v:shapetype>
              <v:shape id="Text Box 2" o:spid="_x0000_s1026" type="#_x0000_t202" style="position:absolute;margin-left:230.25pt;margin-top:231.25pt;width:88.2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" stroked="f">
                <v:fill opacity="0"/>
                <v:textbox style="mso-fit-shape-to-text:t">
                  <w:txbxContent>
                    <w:p w14:paraId="3AEE4C9D" w14:textId="0DED170E" w:rsidR="00015A6D" w:rsidRPr="0033526F" w:rsidRDefault="0033526F">
                      <w:pPr>
                        <w:rPr>
                          <w:b/>
                          <w:bCs/>
                          <w:color w:val="37378B" w:themeColor="accent1" w:themeShade="BF"/>
                          <w:lang w:val="en-US"/>
                        </w:rPr>
                      </w:pPr>
                      <w:r>
                        <w:rPr>
                          <w:b/>
                          <w:bCs/>
                          <w:color w:val="37378B" w:themeColor="accent1" w:themeShade="BF"/>
                          <w:lang w:val="en-US"/>
                        </w:rPr>
                        <w:t>Non-core waste</w:t>
                      </w:r>
                    </w:p>
                  </w:txbxContent>
                </v:textbox>
                <w10:wrap anchorx="page"/>
              </v:shape>
            </w:pict>
          </mc:Fallback>
        </mc:AlternateContent>
      </w:r>
      <w:r w:rsidR="00291010">
        <w:rPr>
          <w:noProof/>
        </w:rPr>
        <mc:AlternateContent>
          <mc:Choice Requires="wps">
            <w:drawing>
              <wp:anchor distT="45720" distB="45720" distL="114300" distR="114300" simplePos="0" relativeHeight="251661312" behindDoc="0" locked="0" layoutInCell="1" allowOverlap="1" wp14:anchorId="3CFF6265" wp14:editId="1C94C5F7">
                <wp:simplePos x="0" y="0"/>
                <wp:positionH relativeFrom="margin">
                  <wp:posOffset>1894205</wp:posOffset>
                </wp:positionH>
                <wp:positionV relativeFrom="paragraph">
                  <wp:posOffset>12700</wp:posOffset>
                </wp:positionV>
                <wp:extent cx="146685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alpha val="0"/>
                          </a:srgbClr>
                        </a:solidFill>
                        <a:ln w="9525">
                          <a:noFill/>
                          <a:miter lim="800000"/>
                          <a:headEnd/>
                          <a:tailEnd/>
                        </a:ln>
                      </wps:spPr>
                      <wps:txbx>
                        <w:txbxContent>
                          <w:p w14:paraId="330692FA" w14:textId="735146E6" w:rsidR="00015A6D" w:rsidRPr="0033526F" w:rsidRDefault="00015A6D" w:rsidP="00015A6D">
                            <w:pPr>
                              <w:rPr>
                                <w:b/>
                                <w:bCs/>
                                <w:color w:val="37378B" w:themeColor="accent1" w:themeShade="BF"/>
                              </w:rPr>
                            </w:pPr>
                            <w:r w:rsidRPr="0033526F">
                              <w:rPr>
                                <w:b/>
                                <w:bCs/>
                                <w:color w:val="37378B" w:themeColor="accent1" w:themeShade="BF"/>
                              </w:rPr>
                              <w:t>Core waste plus ash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F6265" id="_x0000_s1027" type="#_x0000_t202" style="position:absolute;margin-left:149.15pt;margin-top:1pt;width:11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" stroked="f">
                <v:fill opacity="0"/>
                <v:textbox style="mso-fit-shape-to-text:t">
                  <w:txbxContent>
                    <w:p w14:paraId="330692FA" w14:textId="735146E6" w:rsidR="00015A6D" w:rsidRPr="0033526F" w:rsidRDefault="00015A6D" w:rsidP="00015A6D">
                      <w:pPr>
                        <w:rPr>
                          <w:b/>
                          <w:bCs/>
                          <w:color w:val="37378B" w:themeColor="accent1" w:themeShade="BF"/>
                        </w:rPr>
                      </w:pPr>
                      <w:r w:rsidRPr="0033526F">
                        <w:rPr>
                          <w:b/>
                          <w:bCs/>
                          <w:color w:val="37378B" w:themeColor="accent1" w:themeShade="BF"/>
                        </w:rPr>
                        <w:t>Core waste plus ash</w:t>
                      </w:r>
                    </w:p>
                  </w:txbxContent>
                </v:textbox>
                <w10:wrap anchorx="margin"/>
              </v:shape>
            </w:pict>
          </mc:Fallback>
        </mc:AlternateContent>
      </w:r>
      <w:r w:rsidR="00291010" w:rsidRPr="00291010">
        <w:rPr>
          <w:noProof/>
        </w:rPr>
        <w:t xml:space="preserve"> </w:t>
      </w:r>
      <w:r w:rsidR="00727A24">
        <w:rPr>
          <w:noProof/>
        </w:rPr>
        <w:drawing>
          <wp:inline distT="0" distB="0" distL="0" distR="0" wp14:anchorId="53965372" wp14:editId="46BCAB80">
            <wp:extent cx="6192520" cy="5923280"/>
            <wp:effectExtent l="0" t="0" r="0" b="127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a:blip r:embed="rId13"/>
                    <a:stretch>
                      <a:fillRect/>
                    </a:stretch>
                  </pic:blipFill>
                  <pic:spPr>
                    <a:xfrm>
                      <a:off x="0" y="0"/>
                      <a:ext cx="6192520" cy="5923280"/>
                    </a:xfrm>
                    <a:prstGeom prst="rect">
                      <a:avLst/>
                    </a:prstGeom>
                  </pic:spPr>
                </pic:pic>
              </a:graphicData>
            </a:graphic>
          </wp:inline>
        </w:drawing>
      </w:r>
    </w:p>
    <w:p w14:paraId="504FCDD8" w14:textId="3159E39A" w:rsidR="00FB013D" w:rsidRDefault="00FB013D" w:rsidP="00FB013D">
      <w:pPr>
        <w:pStyle w:val="BodyText"/>
        <w:spacing w:after="120"/>
      </w:pPr>
      <w:r>
        <w:lastRenderedPageBreak/>
        <w:t xml:space="preserve">The reported value of Australian imports of waste and recovered materials is shown over the same timeframe on the right side of </w:t>
      </w:r>
      <w:r>
        <w:fldChar w:fldCharType="begin"/>
      </w:r>
      <w:r>
        <w:instrText xml:space="preserve"> REF _Ref80625572 \h </w:instrText>
      </w:r>
      <w:r>
        <w:fldChar w:fldCharType="separate"/>
      </w:r>
      <w:r w:rsidR="007E6720">
        <w:t xml:space="preserve">Figure </w:t>
      </w:r>
      <w:r w:rsidR="007E6720">
        <w:rPr>
          <w:noProof/>
        </w:rPr>
        <w:t>1</w:t>
      </w:r>
      <w:r>
        <w:fldChar w:fldCharType="end"/>
      </w:r>
      <w:r>
        <w:t>. The value of imported core waste plus ash materials was $1</w:t>
      </w:r>
      <w:r w:rsidR="5EC24B89">
        <w:t>40</w:t>
      </w:r>
      <w:r>
        <w:t>m, the main portions being metals (</w:t>
      </w:r>
      <w:r w:rsidR="6425B407">
        <w:t>45</w:t>
      </w:r>
      <w:r>
        <w:t>%), hazardous (</w:t>
      </w:r>
      <w:r w:rsidR="11230A48">
        <w:t>11</w:t>
      </w:r>
      <w:r>
        <w:t>%) and tyres (2</w:t>
      </w:r>
      <w:r w:rsidR="48AD21B8">
        <w:t>7</w:t>
      </w:r>
      <w:r>
        <w:t>%). The non-core wastes had a reported value in 2020-21 of $5</w:t>
      </w:r>
      <w:r w:rsidR="5315249B">
        <w:t>14</w:t>
      </w:r>
      <w:r>
        <w:t xml:space="preserve"> million, of which 98% was in the organics. </w:t>
      </w:r>
    </w:p>
    <w:p w14:paraId="1C581DEB" w14:textId="4E1782E9" w:rsidR="00FB013D" w:rsidRDefault="00B1107A" w:rsidP="00FB013D">
      <w:pPr>
        <w:pStyle w:val="Heading3-nonumber"/>
      </w:pPr>
      <w:r>
        <w:t>Imports of core waste</w:t>
      </w:r>
    </w:p>
    <w:p w14:paraId="7326018B" w14:textId="58FD5174" w:rsidR="00CA1F92" w:rsidRDefault="00CA1F92" w:rsidP="004E2669">
      <w:pPr>
        <w:pStyle w:val="BodyText"/>
        <w:spacing w:after="120"/>
      </w:pPr>
      <w:r>
        <w:t xml:space="preserve">Imports of </w:t>
      </w:r>
      <w:r w:rsidRPr="00FB013D">
        <w:rPr>
          <w:b/>
          <w:bCs/>
        </w:rPr>
        <w:t>glass</w:t>
      </w:r>
      <w:r>
        <w:t xml:space="preserve"> waste </w:t>
      </w:r>
      <w:r w:rsidR="00BC3C94">
        <w:t>were</w:t>
      </w:r>
      <w:r>
        <w:t xml:space="preserve"> 17,000 tonnes in 2020-21</w:t>
      </w:r>
      <w:r w:rsidR="00FB013D">
        <w:t>,</w:t>
      </w:r>
      <w:r w:rsidR="00BC3C94">
        <w:t xml:space="preserve"> which was unusually high compared to previous years, and much higher than e</w:t>
      </w:r>
      <w:r w:rsidR="0019414B">
        <w:t xml:space="preserve">xports </w:t>
      </w:r>
      <w:r w:rsidR="00BC3C94">
        <w:t>which were</w:t>
      </w:r>
      <w:r w:rsidR="0019414B">
        <w:t xml:space="preserve"> just 377 tonnes</w:t>
      </w:r>
      <w:r>
        <w:t xml:space="preserve">. New Zealand </w:t>
      </w:r>
      <w:r w:rsidR="00BC3C94">
        <w:t>account</w:t>
      </w:r>
      <w:r w:rsidR="00FB013D">
        <w:t>ed</w:t>
      </w:r>
      <w:r w:rsidR="00BC3C94">
        <w:t xml:space="preserve"> for</w:t>
      </w:r>
      <w:r w:rsidR="00476FA4">
        <w:t xml:space="preserve"> 95%. </w:t>
      </w:r>
      <w:r w:rsidR="0019414B">
        <w:t>Owens-Illinois owned the only glass recycling plant in New Zealand</w:t>
      </w:r>
      <w:r w:rsidR="00AD2824">
        <w:rPr>
          <w:rStyle w:val="FootnoteReference"/>
        </w:rPr>
        <w:footnoteReference w:id="6"/>
      </w:r>
      <w:r w:rsidR="0019414B">
        <w:t>,</w:t>
      </w:r>
      <w:r w:rsidR="00FB013D">
        <w:t xml:space="preserve"> which reportedly had large stockpiles of waste glass,</w:t>
      </w:r>
      <w:r w:rsidR="0019414B">
        <w:t xml:space="preserve"> </w:t>
      </w:r>
      <w:r w:rsidR="00FB013D">
        <w:t>as well as</w:t>
      </w:r>
      <w:r w:rsidR="00AD2824">
        <w:t xml:space="preserve"> various</w:t>
      </w:r>
      <w:r w:rsidR="0019414B">
        <w:t xml:space="preserve"> plants</w:t>
      </w:r>
      <w:r w:rsidR="00AD2824">
        <w:t xml:space="preserve"> in</w:t>
      </w:r>
      <w:r w:rsidR="0019414B">
        <w:t xml:space="preserve"> </w:t>
      </w:r>
      <w:r w:rsidR="00AD2824">
        <w:t>Australia</w:t>
      </w:r>
      <w:r w:rsidR="00152761">
        <w:t xml:space="preserve">. </w:t>
      </w:r>
      <w:r w:rsidR="00762C8D">
        <w:t xml:space="preserve">These were purchased by </w:t>
      </w:r>
      <w:r w:rsidR="0019414B">
        <w:t>Visy</w:t>
      </w:r>
      <w:r w:rsidR="00762C8D">
        <w:t xml:space="preserve">, which </w:t>
      </w:r>
      <w:r w:rsidR="00FB013D">
        <w:t xml:space="preserve">declared an intention </w:t>
      </w:r>
      <w:r w:rsidR="0019414B">
        <w:t>to increase the recycled component of the glass from</w:t>
      </w:r>
      <w:r w:rsidR="00B9044C">
        <w:t xml:space="preserve"> </w:t>
      </w:r>
      <w:bookmarkStart w:id="3" w:name="_Hlk83376395"/>
      <w:r w:rsidR="00B9044C">
        <w:t>one-third to two-thirds</w:t>
      </w:r>
      <w:bookmarkEnd w:id="3"/>
      <w:r w:rsidR="0019414B">
        <w:rPr>
          <w:rStyle w:val="FootnoteReference"/>
        </w:rPr>
        <w:footnoteReference w:id="7"/>
      </w:r>
      <w:r w:rsidR="00FB013D">
        <w:t xml:space="preserve">. The imports may be stock transfers </w:t>
      </w:r>
      <w:r w:rsidR="00AD2824">
        <w:t>between plants</w:t>
      </w:r>
      <w:r w:rsidR="0019414B">
        <w:t xml:space="preserve">. </w:t>
      </w:r>
    </w:p>
    <w:p w14:paraId="162C72E9" w14:textId="0B0E4CA5" w:rsidR="00245614" w:rsidRDefault="00245614" w:rsidP="00245614">
      <w:pPr>
        <w:pStyle w:val="BodyText"/>
        <w:spacing w:after="120"/>
      </w:pPr>
      <w:r>
        <w:t xml:space="preserve">There are 30 codes in the </w:t>
      </w:r>
      <w:r w:rsidRPr="2D4C49D2">
        <w:rPr>
          <w:b/>
          <w:bCs/>
        </w:rPr>
        <w:t>hazardous waste</w:t>
      </w:r>
      <w:r>
        <w:t xml:space="preserve"> category, but the largest shares in 2020-21 were residual lyes from wood pulp manufacturing (6</w:t>
      </w:r>
      <w:r w:rsidR="628330A3">
        <w:t>5</w:t>
      </w:r>
      <w:r>
        <w:t>%) and slag, ash and residues containing lead (1</w:t>
      </w:r>
      <w:r w:rsidR="29264DFE">
        <w:t>8</w:t>
      </w:r>
      <w:r>
        <w:t xml:space="preserve">%). In previous years, slag, ash and residues containing metals and arsenic were the major imports. </w:t>
      </w:r>
    </w:p>
    <w:p w14:paraId="6B9DC612" w14:textId="200CEC6E" w:rsidR="001117BD" w:rsidRDefault="001117BD" w:rsidP="001117BD">
      <w:pPr>
        <w:pStyle w:val="BodyText"/>
        <w:spacing w:after="120"/>
      </w:pPr>
      <w:r>
        <w:t xml:space="preserve">Australia imported around 92,000 tonnes of scrap </w:t>
      </w:r>
      <w:r w:rsidRPr="00762C8D">
        <w:rPr>
          <w:b/>
          <w:bCs/>
        </w:rPr>
        <w:t>metals</w:t>
      </w:r>
      <w:r>
        <w:t xml:space="preserve"> in 2020-21, larger than in previous years, but insignificant compared to exports which were nearly 2.5 million tonnes. Waste and scrap of alloy steel accounted for 94% of metal imports and mainly came from New Zealand and USA. Copper waste and scrap was the second biggest import accounting for 3%. Around 85% of this came from the Pacific Island region including New Zealand, Fiji, New Caledonia, Vanuatu, and Papua New Guinea.</w:t>
      </w:r>
    </w:p>
    <w:p w14:paraId="7E5A5C8F" w14:textId="77777777" w:rsidR="001117BD" w:rsidRPr="00EA23B4" w:rsidRDefault="001117BD" w:rsidP="00245614">
      <w:pPr>
        <w:pStyle w:val="BodyText"/>
        <w:spacing w:after="1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53"/>
        <w:gridCol w:w="6099"/>
      </w:tblGrid>
      <w:tr w:rsidR="001117BD" w14:paraId="5BD9F865" w14:textId="77777777" w:rsidTr="000B32FD">
        <w:trPr>
          <w:trHeight w:val="604"/>
        </w:trPr>
        <w:tc>
          <w:tcPr>
            <w:tcW w:w="3823" w:type="dxa"/>
            <w:vMerge w:val="restart"/>
          </w:tcPr>
          <w:p w14:paraId="0E774B33" w14:textId="35882F7B" w:rsidR="001117BD" w:rsidRDefault="001117BD" w:rsidP="000C7144">
            <w:pPr>
              <w:pStyle w:val="BodyText"/>
              <w:spacing w:after="120"/>
            </w:pPr>
            <w:r>
              <w:t xml:space="preserve">Imports of </w:t>
            </w:r>
            <w:r w:rsidRPr="004141E3">
              <w:rPr>
                <w:b/>
                <w:bCs/>
              </w:rPr>
              <w:t>paper and cardboard</w:t>
            </w:r>
            <w:r>
              <w:t xml:space="preserve"> were 3,300 tonnes in 2020-21, down from 6,800 tonnes in 2018-19. Tonnages have historically been volatile. These quantities are a small fraction of exports of these materials, which exceeded a million tonnes in 2020-21. </w:t>
            </w:r>
            <w:r>
              <w:fldChar w:fldCharType="begin"/>
            </w:r>
            <w:r>
              <w:instrText xml:space="preserve"> REF _Ref80888814 \h </w:instrText>
            </w:r>
            <w:r>
              <w:fldChar w:fldCharType="separate"/>
            </w:r>
            <w:r w:rsidR="007E6720">
              <w:t xml:space="preserve">Figure </w:t>
            </w:r>
            <w:r w:rsidR="007E6720">
              <w:rPr>
                <w:noProof/>
              </w:rPr>
              <w:t>2</w:t>
            </w:r>
            <w:r>
              <w:fldChar w:fldCharType="end"/>
            </w:r>
            <w:r>
              <w:t xml:space="preserve"> shows imports by grade 2020-21. Pulp from recycled fibre made up the largest share, mainly arriving from Germany and the USA. Although derived from waste, this is a high-quality feedstock material, that does not require reprocessing before use. </w:t>
            </w:r>
            <w:r w:rsidR="00B9044C">
              <w:t>The USA provided some u</w:t>
            </w:r>
            <w:r>
              <w:t xml:space="preserve">nsorted scrap and </w:t>
            </w:r>
            <w:r w:rsidR="00B9044C">
              <w:t>‘</w:t>
            </w:r>
            <w:r>
              <w:t>mechanical</w:t>
            </w:r>
            <w:r w:rsidR="00B9044C">
              <w:t>’</w:t>
            </w:r>
            <w:r w:rsidR="00B9044C">
              <w:rPr>
                <w:rStyle w:val="FootnoteReference"/>
              </w:rPr>
              <w:footnoteReference w:id="8"/>
            </w:r>
            <w:r>
              <w:t xml:space="preserve">. </w:t>
            </w:r>
          </w:p>
        </w:tc>
        <w:tc>
          <w:tcPr>
            <w:tcW w:w="5919" w:type="dxa"/>
            <w:tcMar>
              <w:left w:w="170" w:type="dxa"/>
            </w:tcMar>
          </w:tcPr>
          <w:p w14:paraId="118CA671" w14:textId="67D2454D" w:rsidR="001117BD" w:rsidRDefault="001117BD" w:rsidP="00762C8D">
            <w:pPr>
              <w:pStyle w:val="Caption"/>
              <w:keepNext/>
              <w:spacing w:before="0" w:after="120"/>
              <w:ind w:left="993" w:hanging="993"/>
            </w:pPr>
            <w:bookmarkStart w:id="4" w:name="_Ref80888814"/>
            <w:r>
              <w:t xml:space="preserve">Figure </w:t>
            </w:r>
            <w:r>
              <w:fldChar w:fldCharType="begin"/>
            </w:r>
            <w:r>
              <w:instrText>SEQ Figure \* ARABIC</w:instrText>
            </w:r>
            <w:r>
              <w:fldChar w:fldCharType="separate"/>
            </w:r>
            <w:r w:rsidR="007E6720">
              <w:rPr>
                <w:noProof/>
              </w:rPr>
              <w:t>2</w:t>
            </w:r>
            <w:r>
              <w:fldChar w:fldCharType="end"/>
            </w:r>
            <w:bookmarkEnd w:id="4"/>
            <w:r>
              <w:tab/>
              <w:t>Imports of waste-derived paper and cardboard into Australia by grade, 2020-21</w:t>
            </w:r>
          </w:p>
        </w:tc>
      </w:tr>
      <w:tr w:rsidR="00DA73BA" w14:paraId="7CC7E1AC" w14:textId="77777777" w:rsidTr="000B32FD">
        <w:tc>
          <w:tcPr>
            <w:tcW w:w="3823" w:type="dxa"/>
            <w:vMerge/>
          </w:tcPr>
          <w:p w14:paraId="6C825402" w14:textId="77777777" w:rsidR="00DA73BA" w:rsidRDefault="00DA73BA" w:rsidP="000C7144">
            <w:pPr>
              <w:pStyle w:val="BodyText"/>
              <w:spacing w:after="120"/>
            </w:pPr>
          </w:p>
        </w:tc>
        <w:tc>
          <w:tcPr>
            <w:tcW w:w="5919" w:type="dxa"/>
            <w:tcMar>
              <w:left w:w="170" w:type="dxa"/>
            </w:tcMar>
          </w:tcPr>
          <w:p w14:paraId="5EDDC47D" w14:textId="44D971BD" w:rsidR="00DA73BA" w:rsidRDefault="00DA73BA" w:rsidP="000C7144">
            <w:pPr>
              <w:pStyle w:val="BodyText"/>
              <w:spacing w:after="120"/>
            </w:pPr>
            <w:r>
              <w:rPr>
                <w:noProof/>
              </w:rPr>
              <w:drawing>
                <wp:inline distT="0" distB="0" distL="0" distR="0" wp14:anchorId="3F21A7A7" wp14:editId="3C6D1116">
                  <wp:extent cx="3696335" cy="2105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b="10883"/>
                          <a:stretch/>
                        </pic:blipFill>
                        <pic:spPr bwMode="auto">
                          <a:xfrm>
                            <a:off x="0" y="0"/>
                            <a:ext cx="3728052" cy="212308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9CE2B9" w14:textId="6700AF16" w:rsidR="003619E7" w:rsidRDefault="003619E7" w:rsidP="004E2669">
      <w:pPr>
        <w:pStyle w:val="BodyText"/>
        <w:spacing w:after="120"/>
      </w:pPr>
    </w:p>
    <w:p w14:paraId="2049D78E" w14:textId="77777777" w:rsidR="003619E7" w:rsidRDefault="003619E7">
      <w:r>
        <w:br w:type="pag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024"/>
        <w:gridCol w:w="4728"/>
      </w:tblGrid>
      <w:tr w:rsidR="00DA73BA" w14:paraId="05D0C696" w14:textId="77777777" w:rsidTr="00DA73BA">
        <w:tc>
          <w:tcPr>
            <w:tcW w:w="5024" w:type="dxa"/>
            <w:vMerge w:val="restart"/>
          </w:tcPr>
          <w:p w14:paraId="2FC4320D" w14:textId="45007C71" w:rsidR="00DA73BA" w:rsidRDefault="00DA73BA" w:rsidP="000C7144">
            <w:pPr>
              <w:pStyle w:val="BodyText"/>
              <w:spacing w:after="120"/>
            </w:pPr>
            <w:r>
              <w:lastRenderedPageBreak/>
              <w:t xml:space="preserve">In 2020-21 Australia imported 9,800 tonnes of scrap </w:t>
            </w:r>
            <w:r w:rsidRPr="00B1107A">
              <w:rPr>
                <w:b/>
                <w:bCs/>
              </w:rPr>
              <w:t>plastics</w:t>
            </w:r>
            <w:r>
              <w:t xml:space="preserve">, which is about 8% of the tonnes exported. This is low compared to previously reported years, in which imports exceeded 12,000 tonnes. </w:t>
            </w:r>
            <w:r>
              <w:fldChar w:fldCharType="begin"/>
            </w:r>
            <w:r>
              <w:instrText xml:space="preserve"> REF _Ref81225398 \h </w:instrText>
            </w:r>
            <w:r>
              <w:fldChar w:fldCharType="separate"/>
            </w:r>
            <w:r w:rsidR="007E6720">
              <w:t xml:space="preserve">Figure </w:t>
            </w:r>
            <w:r w:rsidR="007E6720">
              <w:rPr>
                <w:noProof/>
              </w:rPr>
              <w:t>3</w:t>
            </w:r>
            <w:r>
              <w:fldChar w:fldCharType="end"/>
            </w:r>
            <w:r>
              <w:t xml:space="preserve"> shows the imports of scrap plastics by grade in 2020</w:t>
            </w:r>
            <w:r w:rsidR="00A00FA3">
              <w:noBreakHyphen/>
            </w:r>
            <w:r>
              <w:t xml:space="preserve">21, showing that mixed scrap is by far the largest portion. The main exporters were South Korea and China but small amounts came from many places. Polymers of ethylene were the second highest portion, and also declined from earlier years. Small amounts of vinyl were received mainly from Singapore and minor volumes of styrene were received from various countries.  </w:t>
            </w:r>
          </w:p>
          <w:p w14:paraId="14C0F78A" w14:textId="321A465B" w:rsidR="00DA73BA" w:rsidRDefault="00DA73BA" w:rsidP="003E0811">
            <w:pPr>
              <w:pStyle w:val="BodyText"/>
              <w:spacing w:after="120"/>
            </w:pPr>
            <w:r>
              <w:fldChar w:fldCharType="begin"/>
            </w:r>
            <w:r>
              <w:instrText xml:space="preserve"> REF _Ref81227918 \h </w:instrText>
            </w:r>
            <w:r>
              <w:fldChar w:fldCharType="separate"/>
            </w:r>
            <w:r w:rsidR="007E6720">
              <w:t xml:space="preserve">Figure </w:t>
            </w:r>
            <w:r w:rsidR="007E6720">
              <w:rPr>
                <w:noProof/>
              </w:rPr>
              <w:t>4</w:t>
            </w:r>
            <w:r>
              <w:fldChar w:fldCharType="end"/>
            </w:r>
            <w:r>
              <w:t xml:space="preserve"> shows the imports of waste </w:t>
            </w:r>
            <w:r w:rsidRPr="00B1107A">
              <w:rPr>
                <w:b/>
                <w:bCs/>
              </w:rPr>
              <w:t>tyres</w:t>
            </w:r>
            <w:r>
              <w:t xml:space="preserve"> into Australia by grade and country of origin. Imports are mainly </w:t>
            </w:r>
            <w:r w:rsidR="00D32977">
              <w:t xml:space="preserve">solid or cushion rubber tyres (47%) </w:t>
            </w:r>
            <w:r w:rsidR="00B85CE3">
              <w:t xml:space="preserve">coming from South East Asia </w:t>
            </w:r>
            <w:r w:rsidR="00D32977">
              <w:t xml:space="preserve">and </w:t>
            </w:r>
            <w:r>
              <w:t>scrap rubber from shredded tyres</w:t>
            </w:r>
            <w:r w:rsidR="00D32977">
              <w:t> (4</w:t>
            </w:r>
            <w:r w:rsidR="00B85CE3">
              <w:t>2</w:t>
            </w:r>
            <w:r w:rsidR="00D32977">
              <w:t>%)</w:t>
            </w:r>
            <w:r>
              <w:t xml:space="preserve"> coming from Malaysia (48%), Denmark (12%), India (8%) and Italy (8%). A small number of used pneumatic tyres were also received mainly from Netherlands (50%) and Taiwan (19%). In 2020-21, 1,300 tonnes of retreaded tyres were received, around 75% of which was from Malaysia. Some of these imports may be Australian scrap tyres processed overseas and brought back for subsequent on-shore use or re-export.</w:t>
            </w:r>
          </w:p>
          <w:p w14:paraId="1B1224E7" w14:textId="2F78E59D" w:rsidR="00DA73BA" w:rsidRDefault="00DA73BA" w:rsidP="000C7144">
            <w:pPr>
              <w:pStyle w:val="BodyText"/>
              <w:spacing w:after="120"/>
            </w:pPr>
            <w:r>
              <w:fldChar w:fldCharType="begin"/>
            </w:r>
            <w:r>
              <w:instrText xml:space="preserve"> REF _Ref81564344 \h </w:instrText>
            </w:r>
            <w:r>
              <w:fldChar w:fldCharType="separate"/>
            </w:r>
            <w:r w:rsidR="007E6720">
              <w:t xml:space="preserve">Figure </w:t>
            </w:r>
            <w:r w:rsidR="007E6720">
              <w:rPr>
                <w:noProof/>
              </w:rPr>
              <w:t>5</w:t>
            </w:r>
            <w:r>
              <w:fldChar w:fldCharType="end"/>
            </w:r>
            <w:r>
              <w:t xml:space="preserve"> shows the imports of scrap </w:t>
            </w:r>
            <w:r w:rsidRPr="00B1107A">
              <w:rPr>
                <w:b/>
                <w:bCs/>
              </w:rPr>
              <w:t>textiles</w:t>
            </w:r>
            <w:r>
              <w:t xml:space="preserve"> into Australia by grade in 2020-21. The largest category is worn clothing, which was mainly from Pakistan (27%) and UAE (11%). Around one third of worn clothing was re-imports</w:t>
            </w:r>
            <w:r w:rsidR="00A00FA3">
              <w:rPr>
                <w:rStyle w:val="FootnoteReference"/>
              </w:rPr>
              <w:footnoteReference w:id="9"/>
            </w:r>
            <w:r>
              <w:t>, with port of loading noted to be unspecified ports in the UAE. The UAE was the main receiver of Australia’s exports in this category in 2020</w:t>
            </w:r>
            <w:r>
              <w:noBreakHyphen/>
              <w:t xml:space="preserve">21 so this is likely to be related to this trading relationship. Used or new rags were also mainly from Pakistan (31%) and China (22%) with smaller amounts coming from many other places. These are likely to be Australian textile wastes sent overseas for cutting then reimported for sale as rags. Synthetic fibre waste was mainly from France (93%) and cotton waste was only from India. </w:t>
            </w:r>
          </w:p>
        </w:tc>
        <w:tc>
          <w:tcPr>
            <w:tcW w:w="4728" w:type="dxa"/>
            <w:tcMar>
              <w:left w:w="170" w:type="dxa"/>
            </w:tcMar>
          </w:tcPr>
          <w:p w14:paraId="221E773B" w14:textId="6D296470" w:rsidR="00DA73BA" w:rsidRDefault="00DA73BA" w:rsidP="004141E3">
            <w:pPr>
              <w:pStyle w:val="Caption"/>
              <w:keepNext/>
              <w:spacing w:before="0" w:after="120"/>
              <w:ind w:left="993" w:hanging="993"/>
            </w:pPr>
            <w:bookmarkStart w:id="5" w:name="_Ref81225398"/>
            <w:r>
              <w:t xml:space="preserve">Figure </w:t>
            </w:r>
            <w:r>
              <w:fldChar w:fldCharType="begin"/>
            </w:r>
            <w:r>
              <w:instrText>SEQ Figure \* ARABIC</w:instrText>
            </w:r>
            <w:r>
              <w:fldChar w:fldCharType="separate"/>
            </w:r>
            <w:r w:rsidR="007E6720">
              <w:rPr>
                <w:noProof/>
              </w:rPr>
              <w:t>3</w:t>
            </w:r>
            <w:r>
              <w:fldChar w:fldCharType="end"/>
            </w:r>
            <w:bookmarkEnd w:id="5"/>
            <w:r>
              <w:tab/>
              <w:t>Imports of waste plastics into Australia by grade, 2020-21</w:t>
            </w:r>
          </w:p>
        </w:tc>
      </w:tr>
      <w:tr w:rsidR="00DA73BA" w14:paraId="3698F2FA" w14:textId="77777777" w:rsidTr="00DA73BA">
        <w:tc>
          <w:tcPr>
            <w:tcW w:w="5024" w:type="dxa"/>
            <w:vMerge/>
          </w:tcPr>
          <w:p w14:paraId="355F2C27" w14:textId="3A49849E" w:rsidR="00DA73BA" w:rsidRDefault="00DA73BA" w:rsidP="000C7144">
            <w:pPr>
              <w:pStyle w:val="BodyText"/>
              <w:spacing w:after="120"/>
            </w:pPr>
          </w:p>
        </w:tc>
        <w:tc>
          <w:tcPr>
            <w:tcW w:w="4728" w:type="dxa"/>
            <w:tcMar>
              <w:left w:w="170" w:type="dxa"/>
            </w:tcMar>
          </w:tcPr>
          <w:p w14:paraId="1F2DAED5" w14:textId="03868E7B" w:rsidR="00DA73BA" w:rsidRDefault="00DA73BA" w:rsidP="000C7144">
            <w:pPr>
              <w:pStyle w:val="BodyText"/>
              <w:spacing w:after="120"/>
            </w:pPr>
            <w:r>
              <w:rPr>
                <w:noProof/>
              </w:rPr>
              <w:drawing>
                <wp:inline distT="0" distB="0" distL="0" distR="0" wp14:anchorId="76E00377" wp14:editId="38A63295">
                  <wp:extent cx="2581275" cy="1695054"/>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910" cy="1701381"/>
                          </a:xfrm>
                          <a:prstGeom prst="rect">
                            <a:avLst/>
                          </a:prstGeom>
                          <a:noFill/>
                        </pic:spPr>
                      </pic:pic>
                    </a:graphicData>
                  </a:graphic>
                </wp:inline>
              </w:drawing>
            </w:r>
          </w:p>
        </w:tc>
      </w:tr>
      <w:tr w:rsidR="00DA73BA" w14:paraId="0897F175" w14:textId="77777777" w:rsidTr="00DA73BA">
        <w:tc>
          <w:tcPr>
            <w:tcW w:w="5024" w:type="dxa"/>
            <w:vMerge/>
          </w:tcPr>
          <w:p w14:paraId="51EF8445" w14:textId="4D8411E5" w:rsidR="00DA73BA" w:rsidRDefault="00DA73BA" w:rsidP="000C7144">
            <w:pPr>
              <w:pStyle w:val="BodyText"/>
              <w:spacing w:after="120"/>
            </w:pPr>
          </w:p>
        </w:tc>
        <w:tc>
          <w:tcPr>
            <w:tcW w:w="4728" w:type="dxa"/>
            <w:tcMar>
              <w:left w:w="170" w:type="dxa"/>
            </w:tcMar>
          </w:tcPr>
          <w:p w14:paraId="6CB2208F" w14:textId="47B16A9D" w:rsidR="00DA73BA" w:rsidRDefault="00DA73BA" w:rsidP="00157F93">
            <w:pPr>
              <w:pStyle w:val="Caption"/>
              <w:keepNext/>
              <w:spacing w:before="0" w:after="120"/>
              <w:ind w:left="993" w:hanging="993"/>
            </w:pPr>
            <w:bookmarkStart w:id="6" w:name="_Ref81227918"/>
            <w:r>
              <w:t xml:space="preserve">Figure </w:t>
            </w:r>
            <w:r>
              <w:fldChar w:fldCharType="begin"/>
            </w:r>
            <w:r>
              <w:instrText>SEQ Figure \* ARABIC</w:instrText>
            </w:r>
            <w:r>
              <w:fldChar w:fldCharType="separate"/>
            </w:r>
            <w:r w:rsidR="007E6720">
              <w:rPr>
                <w:noProof/>
              </w:rPr>
              <w:t>4</w:t>
            </w:r>
            <w:r>
              <w:fldChar w:fldCharType="end"/>
            </w:r>
            <w:bookmarkEnd w:id="6"/>
            <w:r>
              <w:tab/>
              <w:t>Imports of waste tyres into Australia by grade, 2020-21</w:t>
            </w:r>
          </w:p>
        </w:tc>
      </w:tr>
      <w:tr w:rsidR="00DA73BA" w14:paraId="5B2CFCB3" w14:textId="77777777" w:rsidTr="00DA73BA">
        <w:tc>
          <w:tcPr>
            <w:tcW w:w="5024" w:type="dxa"/>
            <w:vMerge/>
          </w:tcPr>
          <w:p w14:paraId="4816D15F" w14:textId="2728FBAC" w:rsidR="00DA73BA" w:rsidRDefault="00DA73BA" w:rsidP="000C7144">
            <w:pPr>
              <w:pStyle w:val="BodyText"/>
              <w:spacing w:after="120"/>
            </w:pPr>
          </w:p>
        </w:tc>
        <w:tc>
          <w:tcPr>
            <w:tcW w:w="4728" w:type="dxa"/>
            <w:tcMar>
              <w:left w:w="170" w:type="dxa"/>
            </w:tcMar>
          </w:tcPr>
          <w:p w14:paraId="2E6B085F" w14:textId="5F7A3B24" w:rsidR="00DA73BA" w:rsidRDefault="00D32977" w:rsidP="000C7144">
            <w:pPr>
              <w:pStyle w:val="BodyText"/>
              <w:spacing w:after="120"/>
            </w:pPr>
            <w:r>
              <w:rPr>
                <w:noProof/>
              </w:rPr>
              <w:t xml:space="preserve"> </w:t>
            </w:r>
            <w:r>
              <w:rPr>
                <w:noProof/>
              </w:rPr>
              <w:drawing>
                <wp:inline distT="0" distB="0" distL="0" distR="0" wp14:anchorId="31814905" wp14:editId="0ACFDC6C">
                  <wp:extent cx="2826000" cy="1944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26000" cy="1944000"/>
                          </a:xfrm>
                          <a:prstGeom prst="rect">
                            <a:avLst/>
                          </a:prstGeom>
                        </pic:spPr>
                      </pic:pic>
                    </a:graphicData>
                  </a:graphic>
                </wp:inline>
              </w:drawing>
            </w:r>
          </w:p>
        </w:tc>
      </w:tr>
      <w:tr w:rsidR="00DA73BA" w14:paraId="51DFA247" w14:textId="77777777" w:rsidTr="00DA73BA">
        <w:tc>
          <w:tcPr>
            <w:tcW w:w="5024" w:type="dxa"/>
            <w:vMerge/>
          </w:tcPr>
          <w:p w14:paraId="59B51813" w14:textId="26063654" w:rsidR="00DA73BA" w:rsidRDefault="00DA73BA" w:rsidP="000C7144">
            <w:pPr>
              <w:pStyle w:val="BodyText"/>
              <w:spacing w:after="120"/>
            </w:pPr>
          </w:p>
        </w:tc>
        <w:tc>
          <w:tcPr>
            <w:tcW w:w="4728" w:type="dxa"/>
            <w:tcMar>
              <w:left w:w="170" w:type="dxa"/>
            </w:tcMar>
          </w:tcPr>
          <w:p w14:paraId="13698352" w14:textId="3D4CCFD5" w:rsidR="00DA73BA" w:rsidRDefault="00DA73BA" w:rsidP="002A115A">
            <w:pPr>
              <w:pStyle w:val="Caption"/>
              <w:keepNext/>
              <w:spacing w:before="0" w:after="120"/>
              <w:ind w:left="993" w:hanging="993"/>
            </w:pPr>
            <w:bookmarkStart w:id="7" w:name="_Ref81564344"/>
            <w:r>
              <w:t xml:space="preserve">Figure </w:t>
            </w:r>
            <w:r>
              <w:fldChar w:fldCharType="begin"/>
            </w:r>
            <w:r>
              <w:instrText>SEQ Figure \* ARABIC</w:instrText>
            </w:r>
            <w:r>
              <w:fldChar w:fldCharType="separate"/>
            </w:r>
            <w:r w:rsidR="007E6720">
              <w:rPr>
                <w:noProof/>
              </w:rPr>
              <w:t>5</w:t>
            </w:r>
            <w:r>
              <w:fldChar w:fldCharType="end"/>
            </w:r>
            <w:bookmarkEnd w:id="7"/>
            <w:r>
              <w:tab/>
              <w:t>Imports of waste textiles into Australia by grade, 2020-21</w:t>
            </w:r>
          </w:p>
        </w:tc>
      </w:tr>
      <w:tr w:rsidR="00DA73BA" w14:paraId="682AD6D8" w14:textId="77777777" w:rsidTr="00DA73BA">
        <w:tc>
          <w:tcPr>
            <w:tcW w:w="5024" w:type="dxa"/>
            <w:vMerge/>
          </w:tcPr>
          <w:p w14:paraId="0B614E32" w14:textId="77777777" w:rsidR="00DA73BA" w:rsidRDefault="00DA73BA" w:rsidP="000C7144">
            <w:pPr>
              <w:pStyle w:val="BodyText"/>
              <w:spacing w:after="120"/>
            </w:pPr>
          </w:p>
        </w:tc>
        <w:tc>
          <w:tcPr>
            <w:tcW w:w="4728" w:type="dxa"/>
            <w:tcMar>
              <w:left w:w="170" w:type="dxa"/>
            </w:tcMar>
          </w:tcPr>
          <w:p w14:paraId="2F0183D2" w14:textId="2777C3CE" w:rsidR="00DA73BA" w:rsidRDefault="00DA73BA" w:rsidP="000C7144">
            <w:pPr>
              <w:pStyle w:val="BodyText"/>
              <w:spacing w:after="120"/>
            </w:pPr>
            <w:r>
              <w:rPr>
                <w:noProof/>
              </w:rPr>
              <w:drawing>
                <wp:inline distT="0" distB="0" distL="0" distR="0" wp14:anchorId="2A5286B2" wp14:editId="1709A601">
                  <wp:extent cx="2814578" cy="2133600"/>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7819" cy="2136057"/>
                          </a:xfrm>
                          <a:prstGeom prst="rect">
                            <a:avLst/>
                          </a:prstGeom>
                          <a:noFill/>
                        </pic:spPr>
                      </pic:pic>
                    </a:graphicData>
                  </a:graphic>
                </wp:inline>
              </w:drawing>
            </w:r>
          </w:p>
        </w:tc>
      </w:tr>
    </w:tbl>
    <w:p w14:paraId="08770216" w14:textId="07D08AC1" w:rsidR="00EB6D7F" w:rsidRDefault="00EB6D7F" w:rsidP="004E2669">
      <w:pPr>
        <w:pStyle w:val="BodyText"/>
        <w:spacing w:after="120"/>
      </w:pPr>
      <w:r>
        <w:t xml:space="preserve">Around 36,000 tonnes of material </w:t>
      </w:r>
      <w:r w:rsidR="00B3320B">
        <w:t>were</w:t>
      </w:r>
      <w:r>
        <w:t xml:space="preserve"> imported into Australia that would be classified as </w:t>
      </w:r>
      <w:r w:rsidRPr="00B1107A">
        <w:rPr>
          <w:b/>
          <w:bCs/>
        </w:rPr>
        <w:t>ash</w:t>
      </w:r>
      <w:r w:rsidR="00DA73BA" w:rsidRPr="00DA73BA">
        <w:rPr>
          <w:vertAlign w:val="superscript"/>
        </w:rPr>
        <w:fldChar w:fldCharType="begin"/>
      </w:r>
      <w:r w:rsidR="00DA73BA" w:rsidRPr="00DA73BA">
        <w:rPr>
          <w:vertAlign w:val="superscript"/>
        </w:rPr>
        <w:instrText xml:space="preserve"> NOTEREF _Ref81930007 \h  \* MERGEFORMAT </w:instrText>
      </w:r>
      <w:r w:rsidR="00DA73BA" w:rsidRPr="00DA73BA">
        <w:rPr>
          <w:vertAlign w:val="superscript"/>
        </w:rPr>
      </w:r>
      <w:r w:rsidR="00DA73BA" w:rsidRPr="00DA73BA">
        <w:rPr>
          <w:vertAlign w:val="superscript"/>
        </w:rPr>
        <w:fldChar w:fldCharType="separate"/>
      </w:r>
      <w:r w:rsidR="007E6720">
        <w:rPr>
          <w:vertAlign w:val="superscript"/>
        </w:rPr>
        <w:t>5</w:t>
      </w:r>
      <w:r w:rsidR="00DA73BA" w:rsidRPr="00DA73BA">
        <w:rPr>
          <w:vertAlign w:val="superscript"/>
        </w:rPr>
        <w:fldChar w:fldCharType="end"/>
      </w:r>
      <w:r>
        <w:t xml:space="preserve">. This was nearly all from India (95%). </w:t>
      </w:r>
    </w:p>
    <w:p w14:paraId="31DAB6E9" w14:textId="2A0754F2" w:rsidR="00B1107A" w:rsidRDefault="00B1107A" w:rsidP="00B1107A">
      <w:pPr>
        <w:pStyle w:val="Heading3-nonumber"/>
      </w:pPr>
      <w:r>
        <w:t>Imports of non-core waste</w:t>
      </w:r>
    </w:p>
    <w:p w14:paraId="73AEAE8C" w14:textId="32E84D25" w:rsidR="00FB013D" w:rsidRDefault="00B1107A" w:rsidP="00FB013D">
      <w:pPr>
        <w:pStyle w:val="BodyText"/>
        <w:spacing w:after="120"/>
      </w:pPr>
      <w:r>
        <w:t xml:space="preserve">About 1.15 million tonnes of </w:t>
      </w:r>
      <w:r w:rsidRPr="00B1107A">
        <w:rPr>
          <w:b/>
          <w:bCs/>
        </w:rPr>
        <w:t>g</w:t>
      </w:r>
      <w:r w:rsidR="00FB013D" w:rsidRPr="00B1107A">
        <w:rPr>
          <w:b/>
          <w:bCs/>
        </w:rPr>
        <w:t>ranulated slag</w:t>
      </w:r>
      <w:r w:rsidR="00FB013D">
        <w:t xml:space="preserve"> </w:t>
      </w:r>
      <w:r>
        <w:t xml:space="preserve">was imported in 2020-21. This </w:t>
      </w:r>
      <w:r w:rsidR="00FB013D">
        <w:t xml:space="preserve">is a by-product of iron and steel manufacture imported for use as a supplementary cementitious material in concrete. It can replace up to 65% of cement in concrete without compromising the quality of the finished product, and reduces the </w:t>
      </w:r>
      <w:r w:rsidR="00FB013D">
        <w:lastRenderedPageBreak/>
        <w:t>energy requirements (and greenhouse gas emissions) of concrete production</w:t>
      </w:r>
      <w:bookmarkStart w:id="8" w:name="_Ref83726678"/>
      <w:r w:rsidR="00FB013D">
        <w:rPr>
          <w:rStyle w:val="FootnoteReference"/>
        </w:rPr>
        <w:footnoteReference w:id="10"/>
      </w:r>
      <w:bookmarkEnd w:id="8"/>
      <w:r w:rsidR="00FB013D">
        <w:t>. Australia’s demand for cement has grown since 2016-17</w:t>
      </w:r>
      <w:r w:rsidR="00FB013D">
        <w:rPr>
          <w:rStyle w:val="FootnoteReference"/>
        </w:rPr>
        <w:footnoteReference w:id="11"/>
      </w:r>
      <w:r w:rsidR="00FB013D">
        <w:t xml:space="preserve"> and this is reflected in the consistently increasing imports of granulated slag over this time. </w:t>
      </w:r>
      <w:r w:rsidR="00CE781F">
        <w:t>An alternative</w:t>
      </w:r>
      <w:r w:rsidR="00CE781F" w:rsidRPr="00CE781F">
        <w:t xml:space="preserve"> </w:t>
      </w:r>
      <w:r w:rsidR="00CE781F">
        <w:t xml:space="preserve">supplementary cementitious material to granulated slag is fly ash. If imported granulated slag replaced Australian fly ash in cement, it could harm </w:t>
      </w:r>
      <w:r w:rsidR="00A74DC4">
        <w:t>waste recovery rates. However, Cement Concrete and Aggregates Australia notes that growing volumes of granulated slag in use are linked to ‘</w:t>
      </w:r>
      <w:r w:rsidR="00A74DC4" w:rsidRPr="00A74DC4">
        <w:t>the decline in fly ash availability in many areas</w:t>
      </w:r>
      <w:r w:rsidR="00A74DC4">
        <w:t>’</w:t>
      </w:r>
      <w:r w:rsidR="00A74DC4" w:rsidRPr="00A74DC4">
        <w:rPr>
          <w:vertAlign w:val="superscript"/>
        </w:rPr>
        <w:fldChar w:fldCharType="begin"/>
      </w:r>
      <w:r w:rsidR="00A74DC4" w:rsidRPr="00A74DC4">
        <w:rPr>
          <w:vertAlign w:val="superscript"/>
        </w:rPr>
        <w:instrText xml:space="preserve"> NOTEREF _Ref83726678 \h </w:instrText>
      </w:r>
      <w:r w:rsidR="00A74DC4">
        <w:rPr>
          <w:vertAlign w:val="superscript"/>
        </w:rPr>
        <w:instrText xml:space="preserve"> \* MERGEFORMAT </w:instrText>
      </w:r>
      <w:r w:rsidR="00A74DC4" w:rsidRPr="00A74DC4">
        <w:rPr>
          <w:vertAlign w:val="superscript"/>
        </w:rPr>
      </w:r>
      <w:r w:rsidR="00A74DC4" w:rsidRPr="00A74DC4">
        <w:rPr>
          <w:vertAlign w:val="superscript"/>
        </w:rPr>
        <w:fldChar w:fldCharType="separate"/>
      </w:r>
      <w:r w:rsidR="007E6720">
        <w:rPr>
          <w:vertAlign w:val="superscript"/>
        </w:rPr>
        <w:t>10</w:t>
      </w:r>
      <w:r w:rsidR="00A74DC4" w:rsidRPr="00A74DC4">
        <w:rPr>
          <w:vertAlign w:val="superscript"/>
        </w:rPr>
        <w:fldChar w:fldCharType="end"/>
      </w:r>
      <w:r w:rsidR="00A74DC4">
        <w:t>.</w:t>
      </w:r>
      <w:r w:rsidR="00CE781F">
        <w:t xml:space="preserve"> </w:t>
      </w:r>
    </w:p>
    <w:p w14:paraId="0F6B2C7F" w14:textId="215DE697" w:rsidR="00FB013D" w:rsidRDefault="00B1107A" w:rsidP="00FB013D">
      <w:pPr>
        <w:pStyle w:val="BodyText"/>
        <w:spacing w:after="120"/>
      </w:pPr>
      <w:r>
        <w:t>Over 8</w:t>
      </w:r>
      <w:r w:rsidR="1B50A278">
        <w:t>8</w:t>
      </w:r>
      <w:r>
        <w:t xml:space="preserve">0,000 tonnes of </w:t>
      </w:r>
      <w:r w:rsidR="00FB013D">
        <w:t>organic</w:t>
      </w:r>
      <w:r>
        <w:t xml:space="preserve"> wastes were imported, </w:t>
      </w:r>
      <w:r w:rsidR="00FB013D">
        <w:t>mainly solid waste residues from the extraction of soya-bean oil. In 2016-17, 2017</w:t>
      </w:r>
      <w:r w:rsidR="00A00FA3">
        <w:t>-</w:t>
      </w:r>
      <w:r w:rsidR="00FB013D">
        <w:t xml:space="preserve">18 and 2020-21, these residues accounted for </w:t>
      </w:r>
      <w:r w:rsidR="56FB4F2A">
        <w:t xml:space="preserve">over </w:t>
      </w:r>
      <w:r w:rsidR="00FB013D">
        <w:t>9</w:t>
      </w:r>
      <w:r w:rsidR="0643B42B">
        <w:t>0</w:t>
      </w:r>
      <w:r w:rsidR="00FB013D">
        <w:t>% of total organic wastes imported. In 2018-19 there was also a large amount of solid waste residues of palm nuts and kernels. While included here as waste, these materials are likely to be productively used in foods, cosmetics, textile and pharmaceutical industries</w:t>
      </w:r>
      <w:r w:rsidR="00FB013D">
        <w:rPr>
          <w:rStyle w:val="FootnoteReference"/>
        </w:rPr>
        <w:footnoteReference w:id="12"/>
      </w:r>
      <w:r w:rsidR="00FB013D">
        <w:t xml:space="preserve">. </w:t>
      </w:r>
    </w:p>
    <w:p w14:paraId="4ADC3AD5" w14:textId="24660992" w:rsidR="009F0F0E" w:rsidRDefault="009F0F0E" w:rsidP="009F0F0E">
      <w:pPr>
        <w:pStyle w:val="Heading3-nonumber"/>
      </w:pPr>
      <w:r>
        <w:t>Unit value</w:t>
      </w:r>
      <w:r w:rsidR="00C724AA">
        <w:t>s</w:t>
      </w:r>
      <w:r>
        <w:t xml:space="preserve"> of imported waste</w:t>
      </w:r>
    </w:p>
    <w:p w14:paraId="7DC9CBD3" w14:textId="2BAD685E" w:rsidR="009F0F0E" w:rsidRPr="004833B0" w:rsidRDefault="009F0F0E" w:rsidP="009F0F0E">
      <w:pPr>
        <w:pStyle w:val="BodyText"/>
        <w:spacing w:after="120"/>
      </w:pPr>
      <w:r>
        <w:fldChar w:fldCharType="begin"/>
      </w:r>
      <w:r>
        <w:instrText xml:space="preserve"> REF _Ref80877668 \h </w:instrText>
      </w:r>
      <w:r>
        <w:fldChar w:fldCharType="separate"/>
      </w:r>
      <w:r w:rsidR="007E6720">
        <w:t xml:space="preserve">Table </w:t>
      </w:r>
      <w:r w:rsidR="007E6720">
        <w:rPr>
          <w:noProof/>
        </w:rPr>
        <w:t>1</w:t>
      </w:r>
      <w:r>
        <w:fldChar w:fldCharType="end"/>
      </w:r>
      <w:r>
        <w:t xml:space="preserve"> shows the reported average value of imported waste in Australian dollars per tonne. </w:t>
      </w:r>
    </w:p>
    <w:p w14:paraId="419D64AC" w14:textId="05BD383A" w:rsidR="009F0F0E" w:rsidRDefault="009F0F0E" w:rsidP="009F0F0E">
      <w:pPr>
        <w:pStyle w:val="Caption"/>
        <w:keepNext/>
        <w:spacing w:before="0" w:after="120"/>
        <w:ind w:left="0" w:firstLine="0"/>
      </w:pPr>
      <w:bookmarkStart w:id="9" w:name="_Ref80877668"/>
      <w:r>
        <w:t xml:space="preserve">Table </w:t>
      </w:r>
      <w:r>
        <w:fldChar w:fldCharType="begin"/>
      </w:r>
      <w:r>
        <w:instrText>SEQ Table \* ARABIC</w:instrText>
      </w:r>
      <w:r>
        <w:fldChar w:fldCharType="separate"/>
      </w:r>
      <w:r w:rsidR="007E6720">
        <w:rPr>
          <w:noProof/>
        </w:rPr>
        <w:t>1</w:t>
      </w:r>
      <w:r>
        <w:fldChar w:fldCharType="end"/>
      </w:r>
      <w:bookmarkEnd w:id="9"/>
      <w:r>
        <w:tab/>
        <w:t>Average unit values of imported waste by category</w:t>
      </w:r>
    </w:p>
    <w:tbl>
      <w:tblPr>
        <w:tblStyle w:val="TableGrid"/>
        <w:tblW w:w="7933" w:type="dxa"/>
        <w:tblBorders>
          <w:top w:val="single" w:sz="4" w:space="0" w:color="B7B7E2"/>
          <w:left w:val="single" w:sz="4" w:space="0" w:color="B7B7E2"/>
          <w:bottom w:val="single" w:sz="4" w:space="0" w:color="B7B7E2"/>
          <w:right w:val="single" w:sz="4" w:space="0" w:color="B7B7E2"/>
          <w:insideH w:val="single" w:sz="4" w:space="0" w:color="B7B7E2"/>
          <w:insideV w:val="single" w:sz="4" w:space="0" w:color="B7B7E2"/>
        </w:tblBorders>
        <w:tblCellMar>
          <w:top w:w="28" w:type="dxa"/>
          <w:left w:w="28" w:type="dxa"/>
          <w:bottom w:w="28" w:type="dxa"/>
          <w:right w:w="28" w:type="dxa"/>
        </w:tblCellMar>
        <w:tblLook w:val="04A0" w:firstRow="1" w:lastRow="0" w:firstColumn="1" w:lastColumn="0" w:noHBand="0" w:noVBand="1"/>
      </w:tblPr>
      <w:tblGrid>
        <w:gridCol w:w="5431"/>
        <w:gridCol w:w="801"/>
        <w:gridCol w:w="1701"/>
      </w:tblGrid>
      <w:tr w:rsidR="00940EC8" w:rsidRPr="00C918A7" w14:paraId="0866F681" w14:textId="6098EB80" w:rsidTr="2D4C49D2">
        <w:trPr>
          <w:trHeight w:val="535"/>
        </w:trPr>
        <w:tc>
          <w:tcPr>
            <w:tcW w:w="5431" w:type="dxa"/>
            <w:tcBorders>
              <w:right w:val="nil"/>
            </w:tcBorders>
            <w:shd w:val="clear" w:color="auto" w:fill="9494D4" w:themeFill="accent1" w:themeFillTint="99"/>
          </w:tcPr>
          <w:p w14:paraId="4E2C009C" w14:textId="77777777" w:rsidR="00940EC8" w:rsidRPr="00C918A7" w:rsidRDefault="00940EC8" w:rsidP="00940EC8">
            <w:pPr>
              <w:rPr>
                <w:b/>
                <w:bCs/>
                <w:color w:val="FFFFFF" w:themeColor="background1"/>
                <w:sz w:val="20"/>
                <w:szCs w:val="20"/>
              </w:rPr>
            </w:pPr>
            <w:r>
              <w:rPr>
                <w:b/>
                <w:bCs/>
                <w:color w:val="FFFFFF" w:themeColor="background1"/>
                <w:sz w:val="20"/>
                <w:szCs w:val="20"/>
              </w:rPr>
              <w:t>Waste category</w:t>
            </w:r>
          </w:p>
        </w:tc>
        <w:tc>
          <w:tcPr>
            <w:tcW w:w="801" w:type="dxa"/>
            <w:tcBorders>
              <w:left w:val="nil"/>
              <w:right w:val="nil"/>
            </w:tcBorders>
            <w:shd w:val="clear" w:color="auto" w:fill="9494D4" w:themeFill="accent1" w:themeFillTint="99"/>
            <w:vAlign w:val="center"/>
          </w:tcPr>
          <w:p w14:paraId="5C6E23F9" w14:textId="77777777" w:rsidR="00940EC8" w:rsidRDefault="00940EC8" w:rsidP="00940EC8">
            <w:pPr>
              <w:jc w:val="right"/>
              <w:rPr>
                <w:b/>
                <w:bCs/>
                <w:color w:val="FFFFFF" w:themeColor="background1"/>
                <w:sz w:val="20"/>
                <w:szCs w:val="20"/>
              </w:rPr>
            </w:pPr>
            <w:r>
              <w:rPr>
                <w:b/>
                <w:bCs/>
                <w:color w:val="FFFFFF" w:themeColor="background1"/>
                <w:sz w:val="20"/>
                <w:szCs w:val="20"/>
              </w:rPr>
              <w:t>2021 $/tonne</w:t>
            </w:r>
          </w:p>
        </w:tc>
        <w:tc>
          <w:tcPr>
            <w:tcW w:w="1701" w:type="dxa"/>
            <w:tcBorders>
              <w:left w:val="nil"/>
              <w:right w:val="nil"/>
            </w:tcBorders>
            <w:shd w:val="clear" w:color="auto" w:fill="9494D4" w:themeFill="accent1" w:themeFillTint="99"/>
          </w:tcPr>
          <w:p w14:paraId="658F6923" w14:textId="08F45710" w:rsidR="00940EC8" w:rsidRDefault="00940EC8" w:rsidP="00940EC8">
            <w:pPr>
              <w:jc w:val="right"/>
              <w:rPr>
                <w:b/>
                <w:bCs/>
                <w:color w:val="FFFFFF" w:themeColor="background1"/>
                <w:sz w:val="20"/>
                <w:szCs w:val="20"/>
              </w:rPr>
            </w:pPr>
            <w:r>
              <w:rPr>
                <w:b/>
                <w:bCs/>
                <w:color w:val="FFFFFF" w:themeColor="background1"/>
                <w:sz w:val="20"/>
                <w:szCs w:val="20"/>
              </w:rPr>
              <w:t>2017, 2018, 2019 ($/tonne)</w:t>
            </w:r>
          </w:p>
        </w:tc>
      </w:tr>
      <w:tr w:rsidR="00940EC8" w:rsidRPr="00C918A7" w14:paraId="41593461" w14:textId="6A92BD2A" w:rsidTr="2D4C49D2">
        <w:tc>
          <w:tcPr>
            <w:tcW w:w="5431" w:type="dxa"/>
          </w:tcPr>
          <w:p w14:paraId="710B6DAE" w14:textId="77777777" w:rsidR="00940EC8" w:rsidRDefault="00940EC8" w:rsidP="00940EC8">
            <w:pPr>
              <w:rPr>
                <w:sz w:val="20"/>
                <w:szCs w:val="20"/>
              </w:rPr>
            </w:pPr>
            <w:r>
              <w:rPr>
                <w:sz w:val="20"/>
                <w:szCs w:val="20"/>
              </w:rPr>
              <w:t>Glass</w:t>
            </w:r>
          </w:p>
        </w:tc>
        <w:tc>
          <w:tcPr>
            <w:tcW w:w="801" w:type="dxa"/>
          </w:tcPr>
          <w:p w14:paraId="28C24EE3" w14:textId="77777777" w:rsidR="00940EC8" w:rsidRDefault="00940EC8" w:rsidP="00940EC8">
            <w:pPr>
              <w:jc w:val="right"/>
              <w:rPr>
                <w:sz w:val="20"/>
                <w:szCs w:val="20"/>
              </w:rPr>
            </w:pPr>
            <w:r>
              <w:rPr>
                <w:sz w:val="20"/>
                <w:szCs w:val="20"/>
              </w:rPr>
              <w:t>$155</w:t>
            </w:r>
          </w:p>
        </w:tc>
        <w:tc>
          <w:tcPr>
            <w:tcW w:w="1701" w:type="dxa"/>
          </w:tcPr>
          <w:p w14:paraId="1A6FDE95" w14:textId="0CA3CFF4" w:rsidR="00940EC8" w:rsidRDefault="5094B8C6" w:rsidP="00940EC8">
            <w:pPr>
              <w:jc w:val="right"/>
              <w:rPr>
                <w:sz w:val="20"/>
                <w:szCs w:val="20"/>
              </w:rPr>
            </w:pPr>
            <w:r w:rsidRPr="2D4C49D2">
              <w:rPr>
                <w:sz w:val="20"/>
                <w:szCs w:val="20"/>
              </w:rPr>
              <w:t>$15</w:t>
            </w:r>
            <w:r w:rsidR="76973D10" w:rsidRPr="2D4C49D2">
              <w:rPr>
                <w:sz w:val="20"/>
                <w:szCs w:val="20"/>
              </w:rPr>
              <w:t>4</w:t>
            </w:r>
            <w:r w:rsidRPr="2D4C49D2">
              <w:rPr>
                <w:sz w:val="20"/>
                <w:szCs w:val="20"/>
              </w:rPr>
              <w:t xml:space="preserve"> - $2</w:t>
            </w:r>
            <w:r w:rsidR="00A81160" w:rsidRPr="2D4C49D2">
              <w:rPr>
                <w:sz w:val="20"/>
                <w:szCs w:val="20"/>
              </w:rPr>
              <w:t>58</w:t>
            </w:r>
          </w:p>
        </w:tc>
      </w:tr>
      <w:tr w:rsidR="00940EC8" w:rsidRPr="00C918A7" w14:paraId="092F6C40" w14:textId="138FB6B3" w:rsidTr="2D4C49D2">
        <w:tc>
          <w:tcPr>
            <w:tcW w:w="5431" w:type="dxa"/>
          </w:tcPr>
          <w:p w14:paraId="30C186EF" w14:textId="77777777" w:rsidR="00940EC8" w:rsidRDefault="00940EC8" w:rsidP="00940EC8">
            <w:pPr>
              <w:rPr>
                <w:sz w:val="20"/>
                <w:szCs w:val="20"/>
              </w:rPr>
            </w:pPr>
            <w:r>
              <w:rPr>
                <w:sz w:val="20"/>
                <w:szCs w:val="20"/>
              </w:rPr>
              <w:t>Hazardous (excl. tyres)</w:t>
            </w:r>
          </w:p>
        </w:tc>
        <w:tc>
          <w:tcPr>
            <w:tcW w:w="801" w:type="dxa"/>
          </w:tcPr>
          <w:p w14:paraId="0BA9B91E" w14:textId="036D8C40" w:rsidR="00940EC8" w:rsidRDefault="5094B8C6" w:rsidP="00940EC8">
            <w:pPr>
              <w:jc w:val="right"/>
              <w:rPr>
                <w:sz w:val="20"/>
                <w:szCs w:val="20"/>
              </w:rPr>
            </w:pPr>
            <w:r w:rsidRPr="2D4C49D2">
              <w:rPr>
                <w:sz w:val="20"/>
                <w:szCs w:val="20"/>
              </w:rPr>
              <w:t>$</w:t>
            </w:r>
            <w:r w:rsidR="5B47D72E" w:rsidRPr="2D4C49D2">
              <w:rPr>
                <w:sz w:val="20"/>
                <w:szCs w:val="20"/>
              </w:rPr>
              <w:t>666</w:t>
            </w:r>
          </w:p>
        </w:tc>
        <w:tc>
          <w:tcPr>
            <w:tcW w:w="1701" w:type="dxa"/>
          </w:tcPr>
          <w:p w14:paraId="0B60B54A" w14:textId="46AADE98" w:rsidR="00940EC8" w:rsidRDefault="5094B8C6" w:rsidP="00940EC8">
            <w:pPr>
              <w:jc w:val="right"/>
              <w:rPr>
                <w:sz w:val="20"/>
                <w:szCs w:val="20"/>
              </w:rPr>
            </w:pPr>
            <w:r w:rsidRPr="2D4C49D2">
              <w:rPr>
                <w:sz w:val="20"/>
                <w:szCs w:val="20"/>
              </w:rPr>
              <w:t>$</w:t>
            </w:r>
            <w:r w:rsidR="38849B2D" w:rsidRPr="2D4C49D2">
              <w:rPr>
                <w:sz w:val="20"/>
                <w:szCs w:val="20"/>
              </w:rPr>
              <w:t>186</w:t>
            </w:r>
            <w:r w:rsidRPr="2D4C49D2">
              <w:rPr>
                <w:sz w:val="20"/>
                <w:szCs w:val="20"/>
              </w:rPr>
              <w:t xml:space="preserve"> - $4</w:t>
            </w:r>
            <w:r w:rsidR="5731293A" w:rsidRPr="2D4C49D2">
              <w:rPr>
                <w:sz w:val="20"/>
                <w:szCs w:val="20"/>
              </w:rPr>
              <w:t>03</w:t>
            </w:r>
          </w:p>
        </w:tc>
      </w:tr>
      <w:tr w:rsidR="00940EC8" w:rsidRPr="00C918A7" w14:paraId="112F8B25" w14:textId="14AE678B" w:rsidTr="2D4C49D2">
        <w:tc>
          <w:tcPr>
            <w:tcW w:w="5431" w:type="dxa"/>
          </w:tcPr>
          <w:p w14:paraId="7B587723" w14:textId="77777777" w:rsidR="00940EC8" w:rsidRDefault="00940EC8" w:rsidP="00940EC8">
            <w:pPr>
              <w:rPr>
                <w:sz w:val="20"/>
                <w:szCs w:val="20"/>
              </w:rPr>
            </w:pPr>
            <w:r>
              <w:rPr>
                <w:sz w:val="20"/>
                <w:szCs w:val="20"/>
              </w:rPr>
              <w:t>Metals</w:t>
            </w:r>
          </w:p>
        </w:tc>
        <w:tc>
          <w:tcPr>
            <w:tcW w:w="801" w:type="dxa"/>
          </w:tcPr>
          <w:p w14:paraId="0FECF995" w14:textId="242A585E" w:rsidR="00940EC8" w:rsidRDefault="5094B8C6" w:rsidP="00940EC8">
            <w:pPr>
              <w:jc w:val="right"/>
              <w:rPr>
                <w:sz w:val="20"/>
                <w:szCs w:val="20"/>
              </w:rPr>
            </w:pPr>
            <w:r w:rsidRPr="2D4C49D2">
              <w:rPr>
                <w:sz w:val="20"/>
                <w:szCs w:val="20"/>
              </w:rPr>
              <w:t>$6</w:t>
            </w:r>
            <w:r w:rsidR="65A23D64" w:rsidRPr="2D4C49D2">
              <w:rPr>
                <w:sz w:val="20"/>
                <w:szCs w:val="20"/>
              </w:rPr>
              <w:t>92</w:t>
            </w:r>
          </w:p>
        </w:tc>
        <w:tc>
          <w:tcPr>
            <w:tcW w:w="1701" w:type="dxa"/>
          </w:tcPr>
          <w:p w14:paraId="01C6F5AC" w14:textId="4236F765" w:rsidR="00940EC8" w:rsidRDefault="5094B8C6" w:rsidP="00940EC8">
            <w:pPr>
              <w:jc w:val="right"/>
              <w:rPr>
                <w:sz w:val="20"/>
                <w:szCs w:val="20"/>
              </w:rPr>
            </w:pPr>
            <w:r w:rsidRPr="2D4C49D2">
              <w:rPr>
                <w:sz w:val="20"/>
                <w:szCs w:val="20"/>
              </w:rPr>
              <w:t>$</w:t>
            </w:r>
            <w:r w:rsidR="0516FD43" w:rsidRPr="2D4C49D2">
              <w:rPr>
                <w:sz w:val="20"/>
                <w:szCs w:val="20"/>
              </w:rPr>
              <w:t>501</w:t>
            </w:r>
            <w:r w:rsidRPr="2D4C49D2">
              <w:rPr>
                <w:sz w:val="20"/>
                <w:szCs w:val="20"/>
              </w:rPr>
              <w:t xml:space="preserve"> - $1</w:t>
            </w:r>
            <w:r w:rsidR="7C79A152" w:rsidRPr="2D4C49D2">
              <w:rPr>
                <w:sz w:val="20"/>
                <w:szCs w:val="20"/>
              </w:rPr>
              <w:t>120</w:t>
            </w:r>
          </w:p>
        </w:tc>
      </w:tr>
      <w:tr w:rsidR="00940EC8" w:rsidRPr="00C918A7" w14:paraId="0E798451" w14:textId="32D8E0C4" w:rsidTr="2D4C49D2">
        <w:tc>
          <w:tcPr>
            <w:tcW w:w="5431" w:type="dxa"/>
          </w:tcPr>
          <w:p w14:paraId="7342E69B" w14:textId="77777777" w:rsidR="00940EC8" w:rsidRDefault="00940EC8" w:rsidP="00940EC8">
            <w:pPr>
              <w:rPr>
                <w:sz w:val="20"/>
                <w:szCs w:val="20"/>
              </w:rPr>
            </w:pPr>
            <w:r>
              <w:rPr>
                <w:sz w:val="20"/>
                <w:szCs w:val="20"/>
              </w:rPr>
              <w:t>Paper &amp; cardboard</w:t>
            </w:r>
          </w:p>
        </w:tc>
        <w:tc>
          <w:tcPr>
            <w:tcW w:w="801" w:type="dxa"/>
          </w:tcPr>
          <w:p w14:paraId="53E18A0A" w14:textId="77777777" w:rsidR="00940EC8" w:rsidRDefault="00940EC8" w:rsidP="00940EC8">
            <w:pPr>
              <w:jc w:val="right"/>
              <w:rPr>
                <w:sz w:val="20"/>
                <w:szCs w:val="20"/>
              </w:rPr>
            </w:pPr>
            <w:r>
              <w:rPr>
                <w:sz w:val="20"/>
                <w:szCs w:val="20"/>
              </w:rPr>
              <w:t>$771</w:t>
            </w:r>
          </w:p>
        </w:tc>
        <w:tc>
          <w:tcPr>
            <w:tcW w:w="1701" w:type="dxa"/>
          </w:tcPr>
          <w:p w14:paraId="45339C90" w14:textId="75F1B12E" w:rsidR="00940EC8" w:rsidRDefault="5094B8C6" w:rsidP="00940EC8">
            <w:pPr>
              <w:jc w:val="right"/>
              <w:rPr>
                <w:sz w:val="20"/>
                <w:szCs w:val="20"/>
              </w:rPr>
            </w:pPr>
            <w:r w:rsidRPr="2D4C49D2">
              <w:rPr>
                <w:sz w:val="20"/>
                <w:szCs w:val="20"/>
              </w:rPr>
              <w:t>$2</w:t>
            </w:r>
            <w:r w:rsidR="2B41CC20" w:rsidRPr="2D4C49D2">
              <w:rPr>
                <w:sz w:val="20"/>
                <w:szCs w:val="20"/>
              </w:rPr>
              <w:t>89</w:t>
            </w:r>
            <w:r w:rsidRPr="2D4C49D2">
              <w:rPr>
                <w:sz w:val="20"/>
                <w:szCs w:val="20"/>
              </w:rPr>
              <w:t>-$6</w:t>
            </w:r>
            <w:r w:rsidR="60C93B9A" w:rsidRPr="2D4C49D2">
              <w:rPr>
                <w:sz w:val="20"/>
                <w:szCs w:val="20"/>
              </w:rPr>
              <w:t>99</w:t>
            </w:r>
          </w:p>
        </w:tc>
      </w:tr>
      <w:tr w:rsidR="00940EC8" w:rsidRPr="00C918A7" w14:paraId="1772D929" w14:textId="42D38A58" w:rsidTr="2D4C49D2">
        <w:tc>
          <w:tcPr>
            <w:tcW w:w="5431" w:type="dxa"/>
          </w:tcPr>
          <w:p w14:paraId="66D5D35E" w14:textId="77777777" w:rsidR="00940EC8" w:rsidRDefault="00940EC8" w:rsidP="00940EC8">
            <w:pPr>
              <w:rPr>
                <w:sz w:val="20"/>
                <w:szCs w:val="20"/>
              </w:rPr>
            </w:pPr>
            <w:r>
              <w:rPr>
                <w:sz w:val="20"/>
                <w:szCs w:val="20"/>
              </w:rPr>
              <w:t>Plastics</w:t>
            </w:r>
          </w:p>
        </w:tc>
        <w:tc>
          <w:tcPr>
            <w:tcW w:w="801" w:type="dxa"/>
          </w:tcPr>
          <w:p w14:paraId="7EE0F70E" w14:textId="77777777" w:rsidR="00940EC8" w:rsidRDefault="00940EC8" w:rsidP="00940EC8">
            <w:pPr>
              <w:jc w:val="right"/>
              <w:rPr>
                <w:sz w:val="20"/>
                <w:szCs w:val="20"/>
              </w:rPr>
            </w:pPr>
            <w:r>
              <w:rPr>
                <w:sz w:val="20"/>
                <w:szCs w:val="20"/>
              </w:rPr>
              <w:t>$618</w:t>
            </w:r>
          </w:p>
        </w:tc>
        <w:tc>
          <w:tcPr>
            <w:tcW w:w="1701" w:type="dxa"/>
          </w:tcPr>
          <w:p w14:paraId="486F3805" w14:textId="7C348C76" w:rsidR="00940EC8" w:rsidRDefault="5094B8C6" w:rsidP="00940EC8">
            <w:pPr>
              <w:jc w:val="right"/>
              <w:rPr>
                <w:sz w:val="20"/>
                <w:szCs w:val="20"/>
              </w:rPr>
            </w:pPr>
            <w:r w:rsidRPr="2D4C49D2">
              <w:rPr>
                <w:sz w:val="20"/>
                <w:szCs w:val="20"/>
              </w:rPr>
              <w:t>$6</w:t>
            </w:r>
            <w:r w:rsidR="3C57B7B1" w:rsidRPr="2D4C49D2">
              <w:rPr>
                <w:sz w:val="20"/>
                <w:szCs w:val="20"/>
              </w:rPr>
              <w:t>64</w:t>
            </w:r>
            <w:r w:rsidRPr="2D4C49D2">
              <w:rPr>
                <w:sz w:val="20"/>
                <w:szCs w:val="20"/>
              </w:rPr>
              <w:t>-$77</w:t>
            </w:r>
            <w:r w:rsidR="19B054AF" w:rsidRPr="2D4C49D2">
              <w:rPr>
                <w:sz w:val="20"/>
                <w:szCs w:val="20"/>
              </w:rPr>
              <w:t>9</w:t>
            </w:r>
          </w:p>
        </w:tc>
      </w:tr>
      <w:tr w:rsidR="00940EC8" w:rsidRPr="00C918A7" w14:paraId="453CAD83" w14:textId="03C6DFB3" w:rsidTr="2D4C49D2">
        <w:tc>
          <w:tcPr>
            <w:tcW w:w="5431" w:type="dxa"/>
          </w:tcPr>
          <w:p w14:paraId="2C01C426" w14:textId="77777777" w:rsidR="00940EC8" w:rsidRDefault="00940EC8" w:rsidP="00940EC8">
            <w:pPr>
              <w:rPr>
                <w:sz w:val="20"/>
                <w:szCs w:val="20"/>
              </w:rPr>
            </w:pPr>
            <w:r>
              <w:rPr>
                <w:sz w:val="20"/>
                <w:szCs w:val="20"/>
              </w:rPr>
              <w:t>Textiles, leather &amp; rubber</w:t>
            </w:r>
          </w:p>
        </w:tc>
        <w:tc>
          <w:tcPr>
            <w:tcW w:w="801" w:type="dxa"/>
          </w:tcPr>
          <w:p w14:paraId="5CD3D26E" w14:textId="47E6E20C" w:rsidR="00940EC8" w:rsidRDefault="5094B8C6" w:rsidP="00940EC8">
            <w:pPr>
              <w:jc w:val="right"/>
              <w:rPr>
                <w:sz w:val="20"/>
                <w:szCs w:val="20"/>
              </w:rPr>
            </w:pPr>
            <w:r w:rsidRPr="2D4C49D2">
              <w:rPr>
                <w:sz w:val="20"/>
                <w:szCs w:val="20"/>
              </w:rPr>
              <w:t>$</w:t>
            </w:r>
            <w:r w:rsidR="187B3672" w:rsidRPr="2D4C49D2">
              <w:rPr>
                <w:sz w:val="20"/>
                <w:szCs w:val="20"/>
              </w:rPr>
              <w:t>2</w:t>
            </w:r>
            <w:r w:rsidRPr="2D4C49D2">
              <w:rPr>
                <w:sz w:val="20"/>
                <w:szCs w:val="20"/>
              </w:rPr>
              <w:t>,</w:t>
            </w:r>
            <w:r w:rsidR="2EDF5C26" w:rsidRPr="2D4C49D2">
              <w:rPr>
                <w:sz w:val="20"/>
                <w:szCs w:val="20"/>
              </w:rPr>
              <w:t>245</w:t>
            </w:r>
          </w:p>
        </w:tc>
        <w:tc>
          <w:tcPr>
            <w:tcW w:w="1701" w:type="dxa"/>
          </w:tcPr>
          <w:p w14:paraId="7F807CD6" w14:textId="234BD4C7" w:rsidR="00940EC8" w:rsidRDefault="5094B8C6" w:rsidP="00940EC8">
            <w:pPr>
              <w:jc w:val="right"/>
              <w:rPr>
                <w:sz w:val="20"/>
                <w:szCs w:val="20"/>
              </w:rPr>
            </w:pPr>
            <w:r w:rsidRPr="2D4C49D2">
              <w:rPr>
                <w:sz w:val="20"/>
                <w:szCs w:val="20"/>
              </w:rPr>
              <w:t>$1</w:t>
            </w:r>
            <w:r w:rsidR="0495396E" w:rsidRPr="2D4C49D2">
              <w:rPr>
                <w:sz w:val="20"/>
                <w:szCs w:val="20"/>
              </w:rPr>
              <w:t>484</w:t>
            </w:r>
            <w:r w:rsidRPr="2D4C49D2">
              <w:rPr>
                <w:sz w:val="20"/>
                <w:szCs w:val="20"/>
              </w:rPr>
              <w:t>-$1</w:t>
            </w:r>
            <w:r w:rsidR="3D93BBB5" w:rsidRPr="2D4C49D2">
              <w:rPr>
                <w:sz w:val="20"/>
                <w:szCs w:val="20"/>
              </w:rPr>
              <w:t>906</w:t>
            </w:r>
          </w:p>
        </w:tc>
      </w:tr>
      <w:tr w:rsidR="00940EC8" w:rsidRPr="00C918A7" w14:paraId="0DEB8F89" w14:textId="7311A0CC" w:rsidTr="2D4C49D2">
        <w:tc>
          <w:tcPr>
            <w:tcW w:w="5431" w:type="dxa"/>
          </w:tcPr>
          <w:p w14:paraId="43D9557A" w14:textId="77777777" w:rsidR="00940EC8" w:rsidRPr="00C918A7" w:rsidRDefault="00940EC8" w:rsidP="00940EC8">
            <w:pPr>
              <w:rPr>
                <w:sz w:val="20"/>
                <w:szCs w:val="20"/>
              </w:rPr>
            </w:pPr>
            <w:r>
              <w:rPr>
                <w:sz w:val="20"/>
                <w:szCs w:val="20"/>
              </w:rPr>
              <w:t>Tyres</w:t>
            </w:r>
          </w:p>
        </w:tc>
        <w:tc>
          <w:tcPr>
            <w:tcW w:w="801" w:type="dxa"/>
          </w:tcPr>
          <w:p w14:paraId="674645AB" w14:textId="2F2EA8CA" w:rsidR="00940EC8" w:rsidRDefault="5094B8C6" w:rsidP="00940EC8">
            <w:pPr>
              <w:jc w:val="right"/>
              <w:rPr>
                <w:sz w:val="20"/>
                <w:szCs w:val="20"/>
              </w:rPr>
            </w:pPr>
            <w:r w:rsidRPr="2D4C49D2">
              <w:rPr>
                <w:sz w:val="20"/>
                <w:szCs w:val="20"/>
              </w:rPr>
              <w:t>$</w:t>
            </w:r>
            <w:r w:rsidR="3903FAB4" w:rsidRPr="2D4C49D2">
              <w:rPr>
                <w:sz w:val="20"/>
                <w:szCs w:val="20"/>
              </w:rPr>
              <w:t>2,679</w:t>
            </w:r>
          </w:p>
        </w:tc>
        <w:tc>
          <w:tcPr>
            <w:tcW w:w="1701" w:type="dxa"/>
          </w:tcPr>
          <w:p w14:paraId="0652946B" w14:textId="35EF6849" w:rsidR="00940EC8" w:rsidRDefault="5094B8C6" w:rsidP="00940EC8">
            <w:pPr>
              <w:jc w:val="right"/>
              <w:rPr>
                <w:sz w:val="20"/>
                <w:szCs w:val="20"/>
              </w:rPr>
            </w:pPr>
            <w:r w:rsidRPr="2D4C49D2">
              <w:rPr>
                <w:sz w:val="20"/>
                <w:szCs w:val="20"/>
              </w:rPr>
              <w:t>$</w:t>
            </w:r>
            <w:r w:rsidR="67192ED9" w:rsidRPr="2D4C49D2">
              <w:rPr>
                <w:sz w:val="20"/>
                <w:szCs w:val="20"/>
              </w:rPr>
              <w:t>2452</w:t>
            </w:r>
            <w:r w:rsidRPr="2D4C49D2">
              <w:rPr>
                <w:sz w:val="20"/>
                <w:szCs w:val="20"/>
              </w:rPr>
              <w:t>-$</w:t>
            </w:r>
            <w:r w:rsidR="00B85CE3">
              <w:rPr>
                <w:sz w:val="20"/>
                <w:szCs w:val="20"/>
              </w:rPr>
              <w:t>3,073</w:t>
            </w:r>
          </w:p>
        </w:tc>
      </w:tr>
      <w:tr w:rsidR="00940EC8" w:rsidRPr="00C918A7" w14:paraId="64C48D73" w14:textId="25183643" w:rsidTr="2D4C49D2">
        <w:tc>
          <w:tcPr>
            <w:tcW w:w="5431" w:type="dxa"/>
          </w:tcPr>
          <w:p w14:paraId="20EE2927" w14:textId="72A3702C" w:rsidR="00940EC8" w:rsidRPr="00C918A7" w:rsidRDefault="00940EC8" w:rsidP="00940EC8">
            <w:pPr>
              <w:rPr>
                <w:sz w:val="20"/>
                <w:szCs w:val="20"/>
              </w:rPr>
            </w:pPr>
            <w:r>
              <w:rPr>
                <w:sz w:val="20"/>
                <w:szCs w:val="20"/>
              </w:rPr>
              <w:t>Ash</w:t>
            </w:r>
            <w:r w:rsidR="00DA73BA" w:rsidRPr="00DA73BA">
              <w:rPr>
                <w:vertAlign w:val="superscript"/>
              </w:rPr>
              <w:fldChar w:fldCharType="begin"/>
            </w:r>
            <w:r w:rsidR="00DA73BA" w:rsidRPr="00DA73BA">
              <w:rPr>
                <w:vertAlign w:val="superscript"/>
              </w:rPr>
              <w:instrText xml:space="preserve"> NOTEREF _Ref81930007 \h  \* MERGEFORMAT </w:instrText>
            </w:r>
            <w:r w:rsidR="00DA73BA" w:rsidRPr="00DA73BA">
              <w:rPr>
                <w:vertAlign w:val="superscript"/>
              </w:rPr>
            </w:r>
            <w:r w:rsidR="00DA73BA" w:rsidRPr="00DA73BA">
              <w:rPr>
                <w:vertAlign w:val="superscript"/>
              </w:rPr>
              <w:fldChar w:fldCharType="separate"/>
            </w:r>
            <w:r w:rsidR="007E6720">
              <w:rPr>
                <w:vertAlign w:val="superscript"/>
              </w:rPr>
              <w:t>5</w:t>
            </w:r>
            <w:r w:rsidR="00DA73BA" w:rsidRPr="00DA73BA">
              <w:rPr>
                <w:vertAlign w:val="superscript"/>
              </w:rPr>
              <w:fldChar w:fldCharType="end"/>
            </w:r>
          </w:p>
        </w:tc>
        <w:tc>
          <w:tcPr>
            <w:tcW w:w="801" w:type="dxa"/>
          </w:tcPr>
          <w:p w14:paraId="640D13FC" w14:textId="77777777" w:rsidR="00940EC8" w:rsidRDefault="00940EC8" w:rsidP="00940EC8">
            <w:pPr>
              <w:jc w:val="right"/>
              <w:rPr>
                <w:sz w:val="20"/>
                <w:szCs w:val="20"/>
              </w:rPr>
            </w:pPr>
            <w:r>
              <w:rPr>
                <w:sz w:val="20"/>
                <w:szCs w:val="20"/>
              </w:rPr>
              <w:t>$105</w:t>
            </w:r>
          </w:p>
        </w:tc>
        <w:tc>
          <w:tcPr>
            <w:tcW w:w="1701" w:type="dxa"/>
          </w:tcPr>
          <w:p w14:paraId="2CE665C8" w14:textId="435EA41E" w:rsidR="00940EC8" w:rsidRDefault="00940EC8" w:rsidP="00940EC8">
            <w:pPr>
              <w:jc w:val="right"/>
              <w:rPr>
                <w:sz w:val="20"/>
                <w:szCs w:val="20"/>
              </w:rPr>
            </w:pPr>
            <w:r>
              <w:rPr>
                <w:sz w:val="20"/>
                <w:szCs w:val="20"/>
              </w:rPr>
              <w:t>$73-$97</w:t>
            </w:r>
          </w:p>
        </w:tc>
      </w:tr>
      <w:tr w:rsidR="00940EC8" w:rsidRPr="00C918A7" w14:paraId="57025D32" w14:textId="5E50F9A6" w:rsidTr="2D4C49D2">
        <w:tc>
          <w:tcPr>
            <w:tcW w:w="5431" w:type="dxa"/>
          </w:tcPr>
          <w:p w14:paraId="31B838BC" w14:textId="77777777" w:rsidR="00940EC8" w:rsidRDefault="00940EC8" w:rsidP="00940EC8">
            <w:pPr>
              <w:rPr>
                <w:sz w:val="20"/>
                <w:szCs w:val="20"/>
              </w:rPr>
            </w:pPr>
            <w:r>
              <w:rPr>
                <w:sz w:val="20"/>
                <w:szCs w:val="20"/>
              </w:rPr>
              <w:t>Granulated slag (slag sand) from the manufacture of iron or steel</w:t>
            </w:r>
          </w:p>
        </w:tc>
        <w:tc>
          <w:tcPr>
            <w:tcW w:w="801" w:type="dxa"/>
          </w:tcPr>
          <w:p w14:paraId="1F1DD85E" w14:textId="77777777" w:rsidR="00940EC8" w:rsidRDefault="00940EC8" w:rsidP="00940EC8">
            <w:pPr>
              <w:jc w:val="right"/>
              <w:rPr>
                <w:sz w:val="20"/>
                <w:szCs w:val="20"/>
              </w:rPr>
            </w:pPr>
            <w:r>
              <w:rPr>
                <w:sz w:val="20"/>
                <w:szCs w:val="20"/>
              </w:rPr>
              <w:t>$8</w:t>
            </w:r>
          </w:p>
        </w:tc>
        <w:tc>
          <w:tcPr>
            <w:tcW w:w="1701" w:type="dxa"/>
          </w:tcPr>
          <w:p w14:paraId="63863F67" w14:textId="3C808865" w:rsidR="00940EC8" w:rsidRDefault="00940EC8" w:rsidP="00940EC8">
            <w:pPr>
              <w:jc w:val="right"/>
              <w:rPr>
                <w:sz w:val="20"/>
                <w:szCs w:val="20"/>
              </w:rPr>
            </w:pPr>
            <w:r>
              <w:rPr>
                <w:sz w:val="20"/>
                <w:szCs w:val="20"/>
              </w:rPr>
              <w:t>$8-$</w:t>
            </w:r>
            <w:r w:rsidR="00B85CE3">
              <w:rPr>
                <w:sz w:val="20"/>
                <w:szCs w:val="20"/>
              </w:rPr>
              <w:t>10</w:t>
            </w:r>
          </w:p>
        </w:tc>
      </w:tr>
      <w:tr w:rsidR="00940EC8" w:rsidRPr="00C918A7" w14:paraId="0651A9B7" w14:textId="7FD00B52" w:rsidTr="2D4C49D2">
        <w:tc>
          <w:tcPr>
            <w:tcW w:w="5431" w:type="dxa"/>
          </w:tcPr>
          <w:p w14:paraId="10BE3935" w14:textId="77777777" w:rsidR="00940EC8" w:rsidRDefault="00940EC8" w:rsidP="00940EC8">
            <w:pPr>
              <w:rPr>
                <w:sz w:val="20"/>
                <w:szCs w:val="20"/>
              </w:rPr>
            </w:pPr>
            <w:r>
              <w:rPr>
                <w:sz w:val="20"/>
                <w:szCs w:val="20"/>
              </w:rPr>
              <w:t>Organics</w:t>
            </w:r>
          </w:p>
        </w:tc>
        <w:tc>
          <w:tcPr>
            <w:tcW w:w="801" w:type="dxa"/>
          </w:tcPr>
          <w:p w14:paraId="606463B3" w14:textId="77777777" w:rsidR="00940EC8" w:rsidRDefault="00940EC8" w:rsidP="00940EC8">
            <w:pPr>
              <w:jc w:val="right"/>
              <w:rPr>
                <w:sz w:val="20"/>
                <w:szCs w:val="20"/>
              </w:rPr>
            </w:pPr>
            <w:r>
              <w:rPr>
                <w:sz w:val="20"/>
                <w:szCs w:val="20"/>
              </w:rPr>
              <w:t>$573</w:t>
            </w:r>
          </w:p>
        </w:tc>
        <w:tc>
          <w:tcPr>
            <w:tcW w:w="1701" w:type="dxa"/>
          </w:tcPr>
          <w:p w14:paraId="6B4F3DF9" w14:textId="76E45FA6" w:rsidR="00940EC8" w:rsidRDefault="5094B8C6" w:rsidP="00940EC8">
            <w:pPr>
              <w:jc w:val="right"/>
              <w:rPr>
                <w:sz w:val="20"/>
                <w:szCs w:val="20"/>
              </w:rPr>
            </w:pPr>
            <w:r w:rsidRPr="2D4C49D2">
              <w:rPr>
                <w:sz w:val="20"/>
                <w:szCs w:val="20"/>
              </w:rPr>
              <w:t>$43</w:t>
            </w:r>
            <w:r w:rsidR="68F67A5A" w:rsidRPr="2D4C49D2">
              <w:rPr>
                <w:sz w:val="20"/>
                <w:szCs w:val="20"/>
              </w:rPr>
              <w:t>8</w:t>
            </w:r>
            <w:r w:rsidRPr="2D4C49D2">
              <w:rPr>
                <w:sz w:val="20"/>
                <w:szCs w:val="20"/>
              </w:rPr>
              <w:t>-$</w:t>
            </w:r>
            <w:r w:rsidR="360AA928" w:rsidRPr="2D4C49D2">
              <w:rPr>
                <w:sz w:val="20"/>
                <w:szCs w:val="20"/>
              </w:rPr>
              <w:t>510</w:t>
            </w:r>
          </w:p>
        </w:tc>
      </w:tr>
    </w:tbl>
    <w:p w14:paraId="10FE4108" w14:textId="4668F1E7" w:rsidR="00940EC8" w:rsidRDefault="00940EC8" w:rsidP="009F0F0E">
      <w:pPr>
        <w:pStyle w:val="BodyText"/>
        <w:spacing w:after="120"/>
      </w:pPr>
    </w:p>
    <w:p w14:paraId="05C16D24" w14:textId="5728B617" w:rsidR="0069655E" w:rsidRDefault="0069655E" w:rsidP="0069655E">
      <w:pPr>
        <w:pStyle w:val="BodyText"/>
        <w:spacing w:after="120"/>
      </w:pPr>
      <w:r>
        <w:t xml:space="preserve">The value of scrap glass, plastics and granulated slag have remained relatively consistent, while scrap metal imports have been volatile, similar to metal exports. </w:t>
      </w:r>
    </w:p>
    <w:p w14:paraId="76A9BAF0" w14:textId="77853EF2" w:rsidR="0069655E" w:rsidRDefault="0069655E" w:rsidP="0069655E">
      <w:pPr>
        <w:pStyle w:val="BodyText"/>
        <w:spacing w:after="120"/>
      </w:pPr>
      <w:r>
        <w:t xml:space="preserve">Textiles, leather and rubber was the </w:t>
      </w:r>
      <w:r w:rsidR="186D95DF">
        <w:t xml:space="preserve">second </w:t>
      </w:r>
      <w:r>
        <w:t xml:space="preserve">highest value category in all years, and higher than the equivalent export codes. For example, the average value of worn clothing over the five-year period is over $2,000 per tonne, while exports of materials in this category averaged around $850 per tonne in 2021. This indicates this category may contain relatively high-quality materials compared to exports. </w:t>
      </w:r>
    </w:p>
    <w:p w14:paraId="62EE93DC" w14:textId="77777777" w:rsidR="0069655E" w:rsidRDefault="0069655E" w:rsidP="009F0F0E">
      <w:pPr>
        <w:pStyle w:val="BodyText"/>
        <w:spacing w:after="120"/>
      </w:pPr>
      <w:r>
        <w:t xml:space="preserve">The value of paper and cardboard is driven by pulps of fibres from recovered paper and paperboard, which were unusually low in 2016-17, but consistent in other years. The values here are higher than those of exported paper and cardboard, which contains large volumes of low-grade mixed materials. </w:t>
      </w:r>
    </w:p>
    <w:p w14:paraId="5E02A25F" w14:textId="46ED4C85" w:rsidR="009F0F0E" w:rsidRDefault="009F0F0E" w:rsidP="009F0F0E">
      <w:pPr>
        <w:pStyle w:val="BodyText"/>
        <w:spacing w:after="120"/>
      </w:pPr>
      <w:r>
        <w:t>The unit value</w:t>
      </w:r>
      <w:r w:rsidR="00571425">
        <w:t>s</w:t>
      </w:r>
      <w:r>
        <w:t xml:space="preserve"> of organic and hazardous wastes were consistent until 2018-19, but rose in 2020-21. The value of organics reflects the price of solid residues from soya-bean oil extraction, while hazardous waste seems to be affected by unusually high value of arsenic containing slag, ash and residues in 2020-21. </w:t>
      </w:r>
    </w:p>
    <w:p w14:paraId="0E8AC927" w14:textId="1137AA72" w:rsidR="0069655E" w:rsidRPr="00A74DC4" w:rsidRDefault="009F0F0E" w:rsidP="00A74DC4">
      <w:pPr>
        <w:pStyle w:val="BodyText"/>
        <w:spacing w:after="120"/>
      </w:pPr>
      <w:r>
        <w:t xml:space="preserve">The unit value of tyres </w:t>
      </w:r>
      <w:r w:rsidR="00B3320B">
        <w:t>has</w:t>
      </w:r>
      <w:r w:rsidR="0384D0FC">
        <w:t xml:space="preserve"> been consistently high. </w:t>
      </w:r>
      <w:r>
        <w:t xml:space="preserve"> </w:t>
      </w:r>
      <w:r w:rsidR="0069655E">
        <w:br w:type="page"/>
      </w:r>
    </w:p>
    <w:p w14:paraId="37CD62FE" w14:textId="06268361" w:rsidR="00277434" w:rsidRDefault="0069655E" w:rsidP="00B3320B">
      <w:pPr>
        <w:pStyle w:val="Heading3-nonumber"/>
        <w:spacing w:before="0"/>
      </w:pPr>
      <w:r>
        <w:lastRenderedPageBreak/>
        <w:t>Countries</w:t>
      </w:r>
      <w:r w:rsidR="00277434">
        <w:t xml:space="preserve"> of origin</w:t>
      </w:r>
    </w:p>
    <w:p w14:paraId="5D5B6923" w14:textId="1C8AF057" w:rsidR="00277434" w:rsidRDefault="00277434" w:rsidP="00277434">
      <w:pPr>
        <w:pStyle w:val="BodyText"/>
        <w:spacing w:after="120"/>
      </w:pPr>
      <w:r>
        <w:t xml:space="preserve">Australia imported waste and recovered materials from over 70 countries in 2020-21. </w:t>
      </w:r>
      <w:r>
        <w:fldChar w:fldCharType="begin"/>
      </w:r>
      <w:r>
        <w:instrText xml:space="preserve"> REF _Ref80773319 \h </w:instrText>
      </w:r>
      <w:r>
        <w:fldChar w:fldCharType="separate"/>
      </w:r>
      <w:r w:rsidR="007E6720">
        <w:t xml:space="preserve">Figure </w:t>
      </w:r>
      <w:r w:rsidR="007E6720">
        <w:rPr>
          <w:noProof/>
        </w:rPr>
        <w:t>6</w:t>
      </w:r>
      <w:r>
        <w:fldChar w:fldCharType="end"/>
      </w:r>
      <w:r>
        <w:t xml:space="preserve"> shows 2020</w:t>
      </w:r>
      <w:r w:rsidR="001314AB">
        <w:noBreakHyphen/>
      </w:r>
      <w:r>
        <w:t>21 total imports by</w:t>
      </w:r>
      <w:r w:rsidR="00876427">
        <w:t xml:space="preserve"> the top 10</w:t>
      </w:r>
      <w:r>
        <w:t xml:space="preserve"> countr</w:t>
      </w:r>
      <w:r w:rsidR="00876427">
        <w:t>ies</w:t>
      </w:r>
      <w:r>
        <w:t xml:space="preserve"> of origin in thousands of tonnes</w:t>
      </w:r>
      <w:r w:rsidR="00876427">
        <w:t>, showing</w:t>
      </w:r>
      <w:r>
        <w:t xml:space="preserve"> core waste plus ash on the left and for </w:t>
      </w:r>
      <w:r w:rsidR="00F65AE6">
        <w:t>non-core</w:t>
      </w:r>
      <w:r>
        <w:t xml:space="preserve"> waste on the right. </w:t>
      </w:r>
    </w:p>
    <w:p w14:paraId="16DD4CC4" w14:textId="5458F24C" w:rsidR="00277434" w:rsidRDefault="00277434" w:rsidP="00277434">
      <w:pPr>
        <w:pStyle w:val="BodyText"/>
        <w:spacing w:after="120"/>
      </w:pPr>
      <w:r>
        <w:t>For core waste plus ash, the largest share of the imports came from New Zealand (</w:t>
      </w:r>
      <w:r w:rsidR="53621A49">
        <w:t>42</w:t>
      </w:r>
      <w:r>
        <w:t>%) and was mainly metals (7</w:t>
      </w:r>
      <w:r w:rsidR="658D7931">
        <w:t>8</w:t>
      </w:r>
      <w:r>
        <w:t>%) and glass (2</w:t>
      </w:r>
      <w:r w:rsidR="7CDCFD00">
        <w:t>2</w:t>
      </w:r>
      <w:r>
        <w:t>%). Following them was India (</w:t>
      </w:r>
      <w:r w:rsidR="75DA12DF">
        <w:t>20</w:t>
      </w:r>
      <w:r>
        <w:t>%), which exported mainly ash</w:t>
      </w:r>
      <w:r w:rsidR="00B3320B" w:rsidRPr="00B3320B">
        <w:rPr>
          <w:vertAlign w:val="superscript"/>
        </w:rPr>
        <w:fldChar w:fldCharType="begin"/>
      </w:r>
      <w:r w:rsidR="00B3320B" w:rsidRPr="00B3320B">
        <w:rPr>
          <w:vertAlign w:val="superscript"/>
        </w:rPr>
        <w:instrText xml:space="preserve"> NOTEREF _Ref81930007 \h </w:instrText>
      </w:r>
      <w:r w:rsidR="00B3320B">
        <w:rPr>
          <w:vertAlign w:val="superscript"/>
        </w:rPr>
        <w:instrText xml:space="preserve"> \* MERGEFORMAT </w:instrText>
      </w:r>
      <w:r w:rsidR="00B3320B" w:rsidRPr="00B3320B">
        <w:rPr>
          <w:vertAlign w:val="superscript"/>
        </w:rPr>
      </w:r>
      <w:r w:rsidR="00B3320B" w:rsidRPr="00B3320B">
        <w:rPr>
          <w:vertAlign w:val="superscript"/>
        </w:rPr>
        <w:fldChar w:fldCharType="separate"/>
      </w:r>
      <w:r w:rsidR="007E6720">
        <w:rPr>
          <w:vertAlign w:val="superscript"/>
        </w:rPr>
        <w:t>5</w:t>
      </w:r>
      <w:r w:rsidR="00B3320B" w:rsidRPr="00B3320B">
        <w:rPr>
          <w:vertAlign w:val="superscript"/>
        </w:rPr>
        <w:fldChar w:fldCharType="end"/>
      </w:r>
      <w:r>
        <w:t> (9</w:t>
      </w:r>
      <w:r w:rsidR="55581709">
        <w:t>8</w:t>
      </w:r>
      <w:r>
        <w:t>%). The USA (</w:t>
      </w:r>
      <w:r w:rsidR="0A7CF900">
        <w:t>20</w:t>
      </w:r>
      <w:r>
        <w:t xml:space="preserve">%) was the third largest, providing mainly metals (88%). </w:t>
      </w:r>
      <w:r w:rsidR="00DA04BB">
        <w:t xml:space="preserve">Imports from </w:t>
      </w:r>
      <w:r w:rsidR="00B3320B">
        <w:t>Singapore were</w:t>
      </w:r>
      <w:r w:rsidR="00DA04BB">
        <w:t xml:space="preserve"> mostly hazardous materials (71%</w:t>
      </w:r>
      <w:r w:rsidR="17F79CD7">
        <w:t>)</w:t>
      </w:r>
      <w:r w:rsidR="00DA04BB">
        <w:t>. South Korea exported plastic waste to Australia (82%) while Germany sent mostly paper and cardboard (76%).</w:t>
      </w:r>
      <w:r w:rsidR="08E796E7">
        <w:t xml:space="preserve"> Imports from Taiwan were a mix of different materials. </w:t>
      </w:r>
    </w:p>
    <w:p w14:paraId="42D6C801" w14:textId="018FF68B" w:rsidR="00277434" w:rsidRDefault="00F65AE6" w:rsidP="00277434">
      <w:pPr>
        <w:pStyle w:val="BodyText"/>
        <w:spacing w:after="120"/>
      </w:pPr>
      <w:r>
        <w:t>About 5</w:t>
      </w:r>
      <w:r w:rsidR="3DB34A94">
        <w:t>6</w:t>
      </w:r>
      <w:r>
        <w:t xml:space="preserve">% of </w:t>
      </w:r>
      <w:r w:rsidR="00277434">
        <w:t xml:space="preserve">Australia’s </w:t>
      </w:r>
      <w:r>
        <w:t xml:space="preserve">non-core waste was imported </w:t>
      </w:r>
      <w:r w:rsidR="00277434">
        <w:t xml:space="preserve">from Japan, </w:t>
      </w:r>
      <w:r>
        <w:t xml:space="preserve">comprising almost entirely </w:t>
      </w:r>
      <w:r w:rsidR="00277434">
        <w:t>granulated slag. Imports from Argentina accounted for 3</w:t>
      </w:r>
      <w:r>
        <w:t>8</w:t>
      </w:r>
      <w:r w:rsidR="00277434">
        <w:t>% of the</w:t>
      </w:r>
      <w:r>
        <w:t>se</w:t>
      </w:r>
      <w:r w:rsidR="00277434">
        <w:t xml:space="preserve"> tonnes, </w:t>
      </w:r>
      <w:r>
        <w:t xml:space="preserve">which was </w:t>
      </w:r>
      <w:r w:rsidR="00277434">
        <w:t xml:space="preserve">nearly all oil-cake and solid residues of soya-bean oil extraction. This has high value at an average of $536 per tonne, so Argentina represented </w:t>
      </w:r>
      <w:r w:rsidR="5BBD8B8D">
        <w:t>80</w:t>
      </w:r>
      <w:r w:rsidR="00277434">
        <w:t xml:space="preserve">% of the total value of </w:t>
      </w:r>
      <w:r>
        <w:t xml:space="preserve">non-core </w:t>
      </w:r>
      <w:r w:rsidR="00277434">
        <w:t xml:space="preserve">waste imports. </w:t>
      </w:r>
    </w:p>
    <w:p w14:paraId="44C3AF2C" w14:textId="7E423B2D" w:rsidR="00277434" w:rsidRDefault="00277434" w:rsidP="00277434">
      <w:pPr>
        <w:pStyle w:val="BodyText"/>
        <w:spacing w:after="120"/>
      </w:pPr>
      <w:r>
        <w:t xml:space="preserve">China and Malaysia feature in both </w:t>
      </w:r>
      <w:r w:rsidR="00DA04BB">
        <w:t xml:space="preserve">columns within </w:t>
      </w:r>
      <w:r>
        <w:fldChar w:fldCharType="begin"/>
      </w:r>
      <w:r>
        <w:instrText xml:space="preserve"> REF _Ref80773319 \h </w:instrText>
      </w:r>
      <w:r>
        <w:fldChar w:fldCharType="separate"/>
      </w:r>
      <w:r w:rsidR="007E6720">
        <w:t xml:space="preserve">Figure </w:t>
      </w:r>
      <w:r w:rsidR="007E6720">
        <w:rPr>
          <w:noProof/>
        </w:rPr>
        <w:t>6</w:t>
      </w:r>
      <w:r>
        <w:fldChar w:fldCharType="end"/>
      </w:r>
      <w:r>
        <w:t>. Imports from China were mainly granulated slag (</w:t>
      </w:r>
      <w:r w:rsidR="481AD815">
        <w:t>52</w:t>
      </w:r>
      <w:r>
        <w:t>%) and hazardous waste (</w:t>
      </w:r>
      <w:r w:rsidR="00861338">
        <w:t>22</w:t>
      </w:r>
      <w:r>
        <w:t>%). Imports from Malaysia were mostly organics (</w:t>
      </w:r>
      <w:r w:rsidR="00861338">
        <w:t>65</w:t>
      </w:r>
      <w:r>
        <w:t>%) and tyres (</w:t>
      </w:r>
      <w:r w:rsidR="00861338">
        <w:t>32</w:t>
      </w:r>
      <w:r>
        <w:t xml:space="preserve">%). </w:t>
      </w:r>
    </w:p>
    <w:p w14:paraId="59027988" w14:textId="3E3091C6" w:rsidR="00277434" w:rsidRDefault="00277434" w:rsidP="00277434">
      <w:pPr>
        <w:pStyle w:val="Caption"/>
        <w:keepNext/>
        <w:spacing w:before="0" w:after="120"/>
        <w:ind w:left="993" w:hanging="993"/>
      </w:pPr>
      <w:bookmarkStart w:id="10" w:name="_Ref80773319"/>
      <w:r>
        <w:t xml:space="preserve">Figure </w:t>
      </w:r>
      <w:r>
        <w:fldChar w:fldCharType="begin"/>
      </w:r>
      <w:r>
        <w:instrText>SEQ Figure \* ARABIC</w:instrText>
      </w:r>
      <w:r>
        <w:fldChar w:fldCharType="separate"/>
      </w:r>
      <w:r w:rsidR="007E6720">
        <w:rPr>
          <w:noProof/>
        </w:rPr>
        <w:t>6</w:t>
      </w:r>
      <w:r>
        <w:fldChar w:fldCharType="end"/>
      </w:r>
      <w:bookmarkEnd w:id="10"/>
      <w:r>
        <w:tab/>
        <w:t xml:space="preserve">Imports of waste and recovered materials into Australia by top 10 place of origin, showing core waste plus ash (left) and </w:t>
      </w:r>
      <w:r w:rsidR="00924256">
        <w:t xml:space="preserve">non-core </w:t>
      </w:r>
      <w:r>
        <w:t>waste (right)</w:t>
      </w:r>
    </w:p>
    <w:p w14:paraId="4EFD4779" w14:textId="3FC9A468" w:rsidR="00277434" w:rsidRPr="00821ABA" w:rsidRDefault="00B3320B" w:rsidP="00876427">
      <w:pPr>
        <w:pStyle w:val="BodyText"/>
        <w:spacing w:after="120"/>
        <w:jc w:val="center"/>
      </w:pPr>
      <w:r>
        <w:rPr>
          <w:noProof/>
        </w:rPr>
        <w:drawing>
          <wp:inline distT="0" distB="0" distL="0" distR="0" wp14:anchorId="34919291" wp14:editId="422EF9E5">
            <wp:extent cx="5557652" cy="2933463"/>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3038" cy="2941584"/>
                    </a:xfrm>
                    <a:prstGeom prst="rect">
                      <a:avLst/>
                    </a:prstGeom>
                    <a:noFill/>
                  </pic:spPr>
                </pic:pic>
              </a:graphicData>
            </a:graphic>
          </wp:inline>
        </w:drawing>
      </w:r>
    </w:p>
    <w:p w14:paraId="55DDAC48" w14:textId="3CB9D563" w:rsidR="00CA1F92" w:rsidRDefault="00C724AA" w:rsidP="00DE1E19">
      <w:pPr>
        <w:pStyle w:val="Heading3-nonumber"/>
      </w:pPr>
      <w:r>
        <w:t>Receiving jurisdictions of imported waste</w:t>
      </w:r>
    </w:p>
    <w:p w14:paraId="7EB190EF" w14:textId="39A23049" w:rsidR="00FC0DCB" w:rsidRDefault="006B5E91" w:rsidP="004E2669">
      <w:pPr>
        <w:pStyle w:val="BodyText"/>
        <w:spacing w:after="120"/>
      </w:pPr>
      <w:r>
        <w:fldChar w:fldCharType="begin"/>
      </w:r>
      <w:r>
        <w:instrText xml:space="preserve"> REF _Ref80950691 \h </w:instrText>
      </w:r>
      <w:r>
        <w:fldChar w:fldCharType="separate"/>
      </w:r>
      <w:r w:rsidR="007E6720">
        <w:t xml:space="preserve">Figure </w:t>
      </w:r>
      <w:r w:rsidR="007E6720">
        <w:rPr>
          <w:noProof/>
        </w:rPr>
        <w:t>7</w:t>
      </w:r>
      <w:r>
        <w:fldChar w:fldCharType="end"/>
      </w:r>
      <w:r>
        <w:t xml:space="preserve"> shows </w:t>
      </w:r>
      <w:r w:rsidR="000F6923">
        <w:t xml:space="preserve">the </w:t>
      </w:r>
      <w:r w:rsidR="00924256">
        <w:t xml:space="preserve">quantities </w:t>
      </w:r>
      <w:r w:rsidR="000F6923">
        <w:t>of waste imported into each jurisdiction</w:t>
      </w:r>
      <w:r w:rsidR="00924256">
        <w:t>, showing core waste plus ash to the left and non-core waste to the right.</w:t>
      </w:r>
      <w:r w:rsidR="00FC7709">
        <w:t xml:space="preserve"> </w:t>
      </w:r>
      <w:r w:rsidR="00717057">
        <w:fldChar w:fldCharType="begin"/>
      </w:r>
      <w:r w:rsidR="00717057">
        <w:instrText xml:space="preserve"> REF _Ref81923076 \h </w:instrText>
      </w:r>
      <w:r w:rsidR="00717057">
        <w:fldChar w:fldCharType="separate"/>
      </w:r>
      <w:r w:rsidR="007E6720">
        <w:t xml:space="preserve">Table </w:t>
      </w:r>
      <w:r w:rsidR="007E6720">
        <w:rPr>
          <w:noProof/>
        </w:rPr>
        <w:t>2</w:t>
      </w:r>
      <w:r w:rsidR="00717057">
        <w:fldChar w:fldCharType="end"/>
      </w:r>
      <w:r w:rsidR="00C92A2D">
        <w:t xml:space="preserve"> shows the categories of waste received by each jurisdiction</w:t>
      </w:r>
      <w:r w:rsidR="00924256">
        <w:t>, including both core waste plus ash and non-core waste</w:t>
      </w:r>
      <w:r>
        <w:t xml:space="preserve">. </w:t>
      </w:r>
    </w:p>
    <w:p w14:paraId="248A83F6" w14:textId="49BEDEDE" w:rsidR="00FB3DFE" w:rsidRDefault="00FC0DCB" w:rsidP="004E2669">
      <w:pPr>
        <w:pStyle w:val="BodyText"/>
        <w:spacing w:after="120"/>
      </w:pPr>
      <w:r>
        <w:t xml:space="preserve">Victoria </w:t>
      </w:r>
      <w:r w:rsidR="006E4208">
        <w:t>and Queensland received the most waste imports, (31% and 26% respectively)</w:t>
      </w:r>
      <w:r w:rsidR="00FC7D9A">
        <w:t xml:space="preserve">, comprising mostly </w:t>
      </w:r>
      <w:r>
        <w:t>granulated slag and organics</w:t>
      </w:r>
      <w:r w:rsidR="000F6923">
        <w:t>.</w:t>
      </w:r>
      <w:r w:rsidR="00FC7D9A">
        <w:t xml:space="preserve"> Victoria also received</w:t>
      </w:r>
      <w:r w:rsidR="00717057">
        <w:t xml:space="preserve"> more scrap glass (9,100 tonnes), plastics (5,800 tonnes) and tyres (4,400 tonnes) than any other jurisdiction.</w:t>
      </w:r>
      <w:r>
        <w:t xml:space="preserve"> </w:t>
      </w:r>
      <w:r w:rsidR="00355688">
        <w:t>Queensland received the most hazardous waste (10,</w:t>
      </w:r>
      <w:r w:rsidR="469A6C74">
        <w:t>2</w:t>
      </w:r>
      <w:r w:rsidR="00355688">
        <w:t xml:space="preserve">00 tonnes). </w:t>
      </w:r>
      <w:r w:rsidR="00717057">
        <w:t>SA and WA received large amounts of granulated slag and organics</w:t>
      </w:r>
      <w:r w:rsidR="00355688">
        <w:t xml:space="preserve">, and </w:t>
      </w:r>
      <w:r w:rsidR="00717057">
        <w:t>SA received the most ash waste</w:t>
      </w:r>
      <w:r w:rsidR="00DA73BA" w:rsidRPr="00DA73BA">
        <w:rPr>
          <w:vertAlign w:val="superscript"/>
        </w:rPr>
        <w:fldChar w:fldCharType="begin"/>
      </w:r>
      <w:r w:rsidR="00DA73BA" w:rsidRPr="00DA73BA">
        <w:rPr>
          <w:vertAlign w:val="superscript"/>
        </w:rPr>
        <w:instrText xml:space="preserve"> NOTEREF _Ref81930007 \h  \* MERGEFORMAT </w:instrText>
      </w:r>
      <w:r w:rsidR="00DA73BA" w:rsidRPr="00DA73BA">
        <w:rPr>
          <w:vertAlign w:val="superscript"/>
        </w:rPr>
      </w:r>
      <w:r w:rsidR="00DA73BA" w:rsidRPr="00DA73BA">
        <w:rPr>
          <w:vertAlign w:val="superscript"/>
        </w:rPr>
        <w:fldChar w:fldCharType="separate"/>
      </w:r>
      <w:r w:rsidR="007E6720">
        <w:rPr>
          <w:vertAlign w:val="superscript"/>
        </w:rPr>
        <w:t>5</w:t>
      </w:r>
      <w:r w:rsidR="00DA73BA" w:rsidRPr="00DA73BA">
        <w:rPr>
          <w:vertAlign w:val="superscript"/>
        </w:rPr>
        <w:fldChar w:fldCharType="end"/>
      </w:r>
      <w:r w:rsidR="00355688">
        <w:t xml:space="preserve"> (32,700 tonnes)</w:t>
      </w:r>
      <w:r w:rsidR="00717057">
        <w:t>.</w:t>
      </w:r>
      <w:r w:rsidR="00355688">
        <w:t xml:space="preserve"> </w:t>
      </w:r>
      <w:r w:rsidR="009A2F13">
        <w:t xml:space="preserve">NSW </w:t>
      </w:r>
      <w:r w:rsidR="00F9597B">
        <w:t xml:space="preserve">received 51% of materials in the scope of core waste plus ash, which was mainly metals (85%). </w:t>
      </w:r>
    </w:p>
    <w:p w14:paraId="0A454147" w14:textId="08074ED3" w:rsidR="00FB3DFE" w:rsidRDefault="00C02057" w:rsidP="004E2669">
      <w:pPr>
        <w:pStyle w:val="BodyText"/>
        <w:spacing w:after="120"/>
      </w:pPr>
      <w:r>
        <w:t>For comparison,</w:t>
      </w:r>
      <w:r w:rsidR="00FB3DFE">
        <w:t xml:space="preserve"> </w:t>
      </w:r>
      <w:r w:rsidR="00D90CF3">
        <w:t>in</w:t>
      </w:r>
      <w:r w:rsidR="00FB3DFE">
        <w:t xml:space="preserve"> 2020-21</w:t>
      </w:r>
      <w:r>
        <w:t>,</w:t>
      </w:r>
      <w:r w:rsidR="00FB3DFE">
        <w:t xml:space="preserve"> </w:t>
      </w:r>
      <w:r w:rsidR="00FB3DFE" w:rsidRPr="000B64EB">
        <w:t>2</w:t>
      </w:r>
      <w:r w:rsidR="000B64EB" w:rsidRPr="000B64EB">
        <w:t>5</w:t>
      </w:r>
      <w:r w:rsidR="00FB3DFE" w:rsidRPr="000B64EB">
        <w:t>% of Australia’s waste exports originated from Victoria, 24% from Queensland</w:t>
      </w:r>
      <w:r w:rsidR="000B64EB" w:rsidRPr="000B64EB">
        <w:t xml:space="preserve"> and</w:t>
      </w:r>
      <w:r w:rsidR="00FB3DFE" w:rsidRPr="000B64EB">
        <w:t xml:space="preserve"> NSW, 19% from WA, </w:t>
      </w:r>
      <w:r w:rsidR="000B64EB" w:rsidRPr="000B64EB">
        <w:t>6</w:t>
      </w:r>
      <w:r w:rsidR="00FB3DFE" w:rsidRPr="000B64EB">
        <w:t>% from SA, less than 1% from everywhere else.</w:t>
      </w:r>
      <w:r w:rsidR="00FB3DFE">
        <w:t xml:space="preserve"> </w:t>
      </w:r>
    </w:p>
    <w:p w14:paraId="1B67B3AB" w14:textId="4A3C8E1C" w:rsidR="00924256" w:rsidRPr="006B5E91" w:rsidRDefault="00924256" w:rsidP="004E2669">
      <w:pPr>
        <w:pStyle w:val="BodyText"/>
        <w:spacing w:after="120"/>
      </w:pPr>
      <w:r>
        <w:t xml:space="preserve">ACT does not appear in the figures as </w:t>
      </w:r>
      <w:r w:rsidR="007D73F5">
        <w:t>it</w:t>
      </w:r>
      <w:r>
        <w:t xml:space="preserve"> did not receive any waste imports and Tasmania is barely visible as </w:t>
      </w:r>
      <w:r w:rsidR="007D73F5">
        <w:t>it</w:t>
      </w:r>
      <w:r>
        <w:t xml:space="preserve"> received less than 1000 tonnes of mainly low value organic materials.</w:t>
      </w:r>
    </w:p>
    <w:p w14:paraId="13C1471C" w14:textId="604E417F" w:rsidR="006B5E91" w:rsidRDefault="006B5E91" w:rsidP="00277434">
      <w:pPr>
        <w:pStyle w:val="Caption"/>
        <w:keepNext/>
        <w:spacing w:before="0" w:after="120"/>
        <w:ind w:left="993" w:hanging="993"/>
      </w:pPr>
      <w:bookmarkStart w:id="11" w:name="_Ref80950691"/>
      <w:r>
        <w:lastRenderedPageBreak/>
        <w:t xml:space="preserve">Figure </w:t>
      </w:r>
      <w:r>
        <w:fldChar w:fldCharType="begin"/>
      </w:r>
      <w:r>
        <w:instrText>SEQ Figure \* ARABIC</w:instrText>
      </w:r>
      <w:r>
        <w:fldChar w:fldCharType="separate"/>
      </w:r>
      <w:r w:rsidR="007E6720">
        <w:rPr>
          <w:noProof/>
        </w:rPr>
        <w:t>7</w:t>
      </w:r>
      <w:r>
        <w:fldChar w:fldCharType="end"/>
      </w:r>
      <w:bookmarkEnd w:id="11"/>
      <w:r>
        <w:tab/>
        <w:t>Imports of waste to Australia by destination</w:t>
      </w:r>
      <w:r w:rsidR="00D76252">
        <w:t xml:space="preserve"> in</w:t>
      </w:r>
      <w:r>
        <w:t xml:space="preserve"> 2020-21, showing </w:t>
      </w:r>
      <w:r w:rsidR="00924256">
        <w:t xml:space="preserve">core waste plus ash </w:t>
      </w:r>
      <w:r w:rsidR="00D76252">
        <w:t>(</w:t>
      </w:r>
      <w:r>
        <w:t>left</w:t>
      </w:r>
      <w:r w:rsidR="00D76252">
        <w:t>)</w:t>
      </w:r>
      <w:r>
        <w:t xml:space="preserve"> and </w:t>
      </w:r>
      <w:r w:rsidR="00924256">
        <w:t xml:space="preserve">non-core waste </w:t>
      </w:r>
      <w:r w:rsidR="00D76252">
        <w:t>(</w:t>
      </w:r>
      <w:r>
        <w:t>right</w:t>
      </w:r>
      <w:r w:rsidR="00D76252">
        <w:t>)</w:t>
      </w:r>
    </w:p>
    <w:p w14:paraId="5FB80573" w14:textId="39AD4197" w:rsidR="00435E87" w:rsidRDefault="00924256" w:rsidP="00924256">
      <w:pPr>
        <w:pStyle w:val="BodyText"/>
        <w:spacing w:after="120"/>
        <w:jc w:val="center"/>
      </w:pPr>
      <w:r>
        <w:rPr>
          <w:noProof/>
        </w:rPr>
        <w:drawing>
          <wp:inline distT="0" distB="0" distL="0" distR="0" wp14:anchorId="47F05C0A" wp14:editId="14524A3D">
            <wp:extent cx="5238752" cy="27075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9084" cy="2718082"/>
                    </a:xfrm>
                    <a:prstGeom prst="rect">
                      <a:avLst/>
                    </a:prstGeom>
                    <a:noFill/>
                  </pic:spPr>
                </pic:pic>
              </a:graphicData>
            </a:graphic>
          </wp:inline>
        </w:drawing>
      </w:r>
    </w:p>
    <w:p w14:paraId="1C1CD4D2" w14:textId="625DAF6E" w:rsidR="00FC7D9A" w:rsidRDefault="008439D5" w:rsidP="008439D5">
      <w:pPr>
        <w:pStyle w:val="Caption"/>
      </w:pPr>
      <w:bookmarkStart w:id="12" w:name="_Ref81923076"/>
      <w:bookmarkStart w:id="13" w:name="_Ref524954387"/>
      <w:r>
        <w:t xml:space="preserve">Table </w:t>
      </w:r>
      <w:r>
        <w:fldChar w:fldCharType="begin"/>
      </w:r>
      <w:r>
        <w:instrText>SEQ Table \* ARABIC</w:instrText>
      </w:r>
      <w:r>
        <w:fldChar w:fldCharType="separate"/>
      </w:r>
      <w:r w:rsidR="007E6720">
        <w:rPr>
          <w:noProof/>
        </w:rPr>
        <w:t>2</w:t>
      </w:r>
      <w:r>
        <w:fldChar w:fldCharType="end"/>
      </w:r>
      <w:bookmarkEnd w:id="12"/>
      <w:r>
        <w:tab/>
      </w:r>
      <w:r w:rsidRPr="008439D5">
        <w:t>Waste types received by jurisdiction, 2020-21</w:t>
      </w:r>
      <w:r w:rsidR="00CC0536">
        <w:t xml:space="preserve"> (thousands of tonnes)</w:t>
      </w:r>
    </w:p>
    <w:tbl>
      <w:tblPr>
        <w:tblStyle w:val="BE-table1"/>
        <w:tblW w:w="9975" w:type="dxa"/>
        <w:tblLayout w:type="fixed"/>
        <w:tblCellMar>
          <w:top w:w="28" w:type="dxa"/>
          <w:bottom w:w="28" w:type="dxa"/>
        </w:tblCellMar>
        <w:tblLook w:val="04A0" w:firstRow="1" w:lastRow="0" w:firstColumn="1" w:lastColumn="0" w:noHBand="0" w:noVBand="1"/>
      </w:tblPr>
      <w:tblGrid>
        <w:gridCol w:w="1838"/>
        <w:gridCol w:w="813"/>
        <w:gridCol w:w="814"/>
        <w:gridCol w:w="814"/>
        <w:gridCol w:w="813"/>
        <w:gridCol w:w="814"/>
        <w:gridCol w:w="814"/>
        <w:gridCol w:w="813"/>
        <w:gridCol w:w="814"/>
        <w:gridCol w:w="814"/>
        <w:gridCol w:w="814"/>
      </w:tblGrid>
      <w:tr w:rsidR="00C724AA" w14:paraId="417DA281" w14:textId="5201C2CD" w:rsidTr="2D4C49D2">
        <w:trPr>
          <w:cnfStyle w:val="100000000000" w:firstRow="1" w:lastRow="0" w:firstColumn="0" w:lastColumn="0" w:oddVBand="0" w:evenVBand="0" w:oddHBand="0" w:evenHBand="0" w:firstRowFirstColumn="0" w:firstRowLastColumn="0" w:lastRowFirstColumn="0" w:lastRowLastColumn="0"/>
          <w:cantSplit/>
          <w:trHeight w:val="1583"/>
        </w:trPr>
        <w:tc>
          <w:tcPr>
            <w:tcW w:w="1838" w:type="dxa"/>
            <w:shd w:val="clear" w:color="auto" w:fill="9494D4" w:themeFill="accent1" w:themeFillTint="99"/>
          </w:tcPr>
          <w:p w14:paraId="5F6204E4" w14:textId="77777777" w:rsidR="00CC0536" w:rsidRPr="00571425" w:rsidRDefault="00CC0536" w:rsidP="00CC0536">
            <w:pPr>
              <w:pStyle w:val="BodyText"/>
              <w:jc w:val="right"/>
              <w:rPr>
                <w:bCs/>
                <w:i/>
                <w:iCs/>
                <w:sz w:val="18"/>
                <w:szCs w:val="20"/>
              </w:rPr>
            </w:pPr>
            <w:r w:rsidRPr="00571425">
              <w:rPr>
                <w:b w:val="0"/>
                <w:bCs/>
                <w:i/>
                <w:iCs/>
                <w:sz w:val="18"/>
                <w:szCs w:val="20"/>
              </w:rPr>
              <w:t xml:space="preserve">Data in </w:t>
            </w:r>
          </w:p>
          <w:p w14:paraId="214DF644" w14:textId="77777777" w:rsidR="008439D5" w:rsidRDefault="00CC0536" w:rsidP="00CC0536">
            <w:pPr>
              <w:pStyle w:val="BodyText"/>
              <w:jc w:val="right"/>
              <w:rPr>
                <w:bCs/>
                <w:i/>
                <w:iCs/>
                <w:sz w:val="18"/>
                <w:szCs w:val="20"/>
              </w:rPr>
            </w:pPr>
            <w:r w:rsidRPr="00571425">
              <w:rPr>
                <w:b w:val="0"/>
                <w:bCs/>
                <w:i/>
                <w:iCs/>
                <w:sz w:val="18"/>
                <w:szCs w:val="20"/>
              </w:rPr>
              <w:t>thousands of tonnes</w:t>
            </w:r>
          </w:p>
          <w:p w14:paraId="7CC856E2" w14:textId="7B12F500" w:rsidR="00571425" w:rsidRPr="00CC0536" w:rsidRDefault="00571425" w:rsidP="00CC0536">
            <w:pPr>
              <w:pStyle w:val="BodyText"/>
              <w:jc w:val="right"/>
              <w:rPr>
                <w:b w:val="0"/>
                <w:bCs/>
                <w:i/>
                <w:iCs/>
              </w:rPr>
            </w:pPr>
          </w:p>
        </w:tc>
        <w:tc>
          <w:tcPr>
            <w:tcW w:w="813" w:type="dxa"/>
            <w:shd w:val="clear" w:color="auto" w:fill="9494D4" w:themeFill="accent1" w:themeFillTint="99"/>
            <w:textDirection w:val="btLr"/>
          </w:tcPr>
          <w:p w14:paraId="10B71BD5" w14:textId="22CF2C82" w:rsidR="008439D5" w:rsidRPr="00D047F5" w:rsidRDefault="008439D5" w:rsidP="008439D5">
            <w:pPr>
              <w:pStyle w:val="BodyText"/>
              <w:ind w:left="113" w:right="113"/>
            </w:pPr>
            <w:r w:rsidRPr="00D047F5">
              <w:t>Glass</w:t>
            </w:r>
          </w:p>
        </w:tc>
        <w:tc>
          <w:tcPr>
            <w:tcW w:w="814" w:type="dxa"/>
            <w:shd w:val="clear" w:color="auto" w:fill="9494D4" w:themeFill="accent1" w:themeFillTint="99"/>
            <w:textDirection w:val="btLr"/>
          </w:tcPr>
          <w:p w14:paraId="41B4DE36" w14:textId="39C54FF7" w:rsidR="008439D5" w:rsidRPr="00D047F5" w:rsidRDefault="008439D5" w:rsidP="008439D5">
            <w:pPr>
              <w:pStyle w:val="BodyText"/>
              <w:ind w:left="113" w:right="113"/>
            </w:pPr>
            <w:r w:rsidRPr="00D047F5">
              <w:t>Haz</w:t>
            </w:r>
            <w:r>
              <w:t>ardous</w:t>
            </w:r>
            <w:r w:rsidRPr="00D047F5">
              <w:t xml:space="preserve"> (excl. tyres)</w:t>
            </w:r>
          </w:p>
        </w:tc>
        <w:tc>
          <w:tcPr>
            <w:tcW w:w="814" w:type="dxa"/>
            <w:shd w:val="clear" w:color="auto" w:fill="9494D4" w:themeFill="accent1" w:themeFillTint="99"/>
            <w:textDirection w:val="btLr"/>
          </w:tcPr>
          <w:p w14:paraId="79A6BE66" w14:textId="383CBDEC" w:rsidR="008439D5" w:rsidRDefault="008439D5" w:rsidP="008439D5">
            <w:pPr>
              <w:pStyle w:val="BodyText"/>
              <w:ind w:left="113" w:right="113"/>
            </w:pPr>
            <w:r w:rsidRPr="00D047F5">
              <w:t>Metals</w:t>
            </w:r>
          </w:p>
        </w:tc>
        <w:tc>
          <w:tcPr>
            <w:tcW w:w="813" w:type="dxa"/>
            <w:shd w:val="clear" w:color="auto" w:fill="9494D4" w:themeFill="accent1" w:themeFillTint="99"/>
            <w:textDirection w:val="btLr"/>
          </w:tcPr>
          <w:p w14:paraId="04AB2FDE" w14:textId="62D37475" w:rsidR="008439D5" w:rsidRPr="00D047F5" w:rsidRDefault="008439D5" w:rsidP="008439D5">
            <w:pPr>
              <w:pStyle w:val="BodyText"/>
              <w:ind w:left="113" w:right="113"/>
            </w:pPr>
            <w:r w:rsidRPr="00D047F5">
              <w:t>Paper &amp; card</w:t>
            </w:r>
            <w:r>
              <w:t>board</w:t>
            </w:r>
          </w:p>
        </w:tc>
        <w:tc>
          <w:tcPr>
            <w:tcW w:w="814" w:type="dxa"/>
            <w:shd w:val="clear" w:color="auto" w:fill="9494D4" w:themeFill="accent1" w:themeFillTint="99"/>
            <w:textDirection w:val="btLr"/>
          </w:tcPr>
          <w:p w14:paraId="43C55DE3" w14:textId="1551F831" w:rsidR="008439D5" w:rsidRPr="00D047F5" w:rsidRDefault="008439D5" w:rsidP="008439D5">
            <w:pPr>
              <w:pStyle w:val="BodyText"/>
              <w:ind w:left="113" w:right="113"/>
            </w:pPr>
            <w:r w:rsidRPr="00D047F5">
              <w:t>Plastics</w:t>
            </w:r>
          </w:p>
        </w:tc>
        <w:tc>
          <w:tcPr>
            <w:tcW w:w="814" w:type="dxa"/>
            <w:shd w:val="clear" w:color="auto" w:fill="9494D4" w:themeFill="accent1" w:themeFillTint="99"/>
            <w:textDirection w:val="btLr"/>
          </w:tcPr>
          <w:p w14:paraId="0CE33782" w14:textId="6D5A7EF5" w:rsidR="008439D5" w:rsidRDefault="008439D5" w:rsidP="008439D5">
            <w:pPr>
              <w:pStyle w:val="BodyText"/>
              <w:ind w:left="113" w:right="113"/>
            </w:pPr>
            <w:r w:rsidRPr="00D047F5">
              <w:t>Textiles, leather &amp; rubber</w:t>
            </w:r>
          </w:p>
        </w:tc>
        <w:tc>
          <w:tcPr>
            <w:tcW w:w="813" w:type="dxa"/>
            <w:shd w:val="clear" w:color="auto" w:fill="9494D4" w:themeFill="accent1" w:themeFillTint="99"/>
            <w:textDirection w:val="btLr"/>
          </w:tcPr>
          <w:p w14:paraId="24E42219" w14:textId="2E04B9E0" w:rsidR="008439D5" w:rsidRDefault="008439D5" w:rsidP="008439D5">
            <w:pPr>
              <w:pStyle w:val="BodyText"/>
              <w:ind w:left="113" w:right="113"/>
            </w:pPr>
            <w:r w:rsidRPr="00D047F5">
              <w:t>Tyres</w:t>
            </w:r>
          </w:p>
        </w:tc>
        <w:tc>
          <w:tcPr>
            <w:tcW w:w="814" w:type="dxa"/>
            <w:shd w:val="clear" w:color="auto" w:fill="9494D4" w:themeFill="accent1" w:themeFillTint="99"/>
            <w:textDirection w:val="btLr"/>
          </w:tcPr>
          <w:p w14:paraId="3CD9D169" w14:textId="4713B5B4" w:rsidR="008439D5" w:rsidRDefault="008439D5" w:rsidP="008439D5">
            <w:pPr>
              <w:pStyle w:val="BodyText"/>
              <w:ind w:left="113" w:right="113"/>
            </w:pPr>
            <w:r w:rsidRPr="00D047F5">
              <w:t>Ash</w:t>
            </w:r>
            <w:r w:rsidR="00DA73BA" w:rsidRPr="00DA73BA">
              <w:rPr>
                <w:vertAlign w:val="superscript"/>
              </w:rPr>
              <w:fldChar w:fldCharType="begin"/>
            </w:r>
            <w:r w:rsidR="00DA73BA" w:rsidRPr="00DA73BA">
              <w:rPr>
                <w:vertAlign w:val="superscript"/>
              </w:rPr>
              <w:instrText xml:space="preserve"> NOTEREF _Ref81930007 \h  \* MERGEFORMAT </w:instrText>
            </w:r>
            <w:r w:rsidR="00DA73BA" w:rsidRPr="00DA73BA">
              <w:rPr>
                <w:vertAlign w:val="superscript"/>
              </w:rPr>
            </w:r>
            <w:r w:rsidR="00DA73BA" w:rsidRPr="00DA73BA">
              <w:rPr>
                <w:vertAlign w:val="superscript"/>
              </w:rPr>
              <w:fldChar w:fldCharType="separate"/>
            </w:r>
            <w:r w:rsidR="007E6720">
              <w:rPr>
                <w:vertAlign w:val="superscript"/>
              </w:rPr>
              <w:t>5</w:t>
            </w:r>
            <w:r w:rsidR="00DA73BA" w:rsidRPr="00DA73BA">
              <w:rPr>
                <w:vertAlign w:val="superscript"/>
              </w:rPr>
              <w:fldChar w:fldCharType="end"/>
            </w:r>
          </w:p>
        </w:tc>
        <w:tc>
          <w:tcPr>
            <w:tcW w:w="814" w:type="dxa"/>
            <w:shd w:val="clear" w:color="auto" w:fill="9494D4" w:themeFill="accent1" w:themeFillTint="99"/>
            <w:textDirection w:val="btLr"/>
          </w:tcPr>
          <w:p w14:paraId="1DB97671" w14:textId="090F5306" w:rsidR="008439D5" w:rsidRPr="00D047F5" w:rsidRDefault="008439D5" w:rsidP="008439D5">
            <w:pPr>
              <w:pStyle w:val="BodyText"/>
              <w:ind w:left="113" w:right="113"/>
            </w:pPr>
            <w:r w:rsidRPr="00D047F5">
              <w:t>Granulated slag</w:t>
            </w:r>
          </w:p>
        </w:tc>
        <w:tc>
          <w:tcPr>
            <w:tcW w:w="814" w:type="dxa"/>
            <w:shd w:val="clear" w:color="auto" w:fill="9494D4" w:themeFill="accent1" w:themeFillTint="99"/>
            <w:textDirection w:val="btLr"/>
          </w:tcPr>
          <w:p w14:paraId="3D97227E" w14:textId="358506A6" w:rsidR="008439D5" w:rsidRPr="00D047F5" w:rsidRDefault="008439D5" w:rsidP="008439D5">
            <w:pPr>
              <w:pStyle w:val="BodyText"/>
              <w:ind w:left="113" w:right="113"/>
            </w:pPr>
            <w:r w:rsidRPr="00D047F5">
              <w:t>Organics</w:t>
            </w:r>
          </w:p>
        </w:tc>
      </w:tr>
      <w:tr w:rsidR="00717057" w14:paraId="22F0C04A" w14:textId="77777777" w:rsidTr="2D4C49D2">
        <w:tc>
          <w:tcPr>
            <w:tcW w:w="1838" w:type="dxa"/>
            <w:vAlign w:val="bottom"/>
          </w:tcPr>
          <w:p w14:paraId="799A2E08" w14:textId="77777777" w:rsidR="00717057" w:rsidRPr="00FC7D9A" w:rsidRDefault="00717057" w:rsidP="00CB0764">
            <w:pPr>
              <w:pStyle w:val="BodyText"/>
              <w:rPr>
                <w:rFonts w:asciiTheme="minorHAnsi" w:hAnsiTheme="minorHAnsi" w:cstheme="minorHAnsi"/>
                <w:szCs w:val="20"/>
              </w:rPr>
            </w:pPr>
            <w:r w:rsidRPr="00FC7D9A">
              <w:rPr>
                <w:rFonts w:asciiTheme="minorHAnsi" w:hAnsiTheme="minorHAnsi" w:cstheme="minorHAnsi"/>
                <w:color w:val="000000"/>
                <w:szCs w:val="20"/>
              </w:rPr>
              <w:t xml:space="preserve">New South Wales </w:t>
            </w:r>
          </w:p>
        </w:tc>
        <w:tc>
          <w:tcPr>
            <w:tcW w:w="813" w:type="dxa"/>
            <w:vAlign w:val="bottom"/>
          </w:tcPr>
          <w:p w14:paraId="2AE4D6AE" w14:textId="77777777" w:rsidR="00717057" w:rsidRPr="00FC7D9A" w:rsidRDefault="00717057" w:rsidP="00CB0764">
            <w:pPr>
              <w:pStyle w:val="BodyText"/>
              <w:jc w:val="right"/>
              <w:rPr>
                <w:rFonts w:cs="Calibri"/>
                <w:color w:val="000000"/>
                <w:szCs w:val="20"/>
              </w:rPr>
            </w:pPr>
            <w:r w:rsidRPr="00FC7D9A">
              <w:rPr>
                <w:rFonts w:cs="Calibri"/>
                <w:color w:val="000000"/>
                <w:szCs w:val="20"/>
              </w:rPr>
              <w:t>0.7</w:t>
            </w:r>
          </w:p>
        </w:tc>
        <w:tc>
          <w:tcPr>
            <w:tcW w:w="814" w:type="dxa"/>
            <w:vAlign w:val="bottom"/>
          </w:tcPr>
          <w:p w14:paraId="280C88BC" w14:textId="02576AE2" w:rsidR="00717057" w:rsidRPr="00FC7D9A" w:rsidRDefault="24AAD32F" w:rsidP="00B3320B">
            <w:pPr>
              <w:pStyle w:val="BodyText"/>
              <w:spacing w:line="259" w:lineRule="auto"/>
              <w:jc w:val="right"/>
              <w:rPr>
                <w:rFonts w:cs="Calibri"/>
                <w:color w:val="000000" w:themeColor="text1"/>
              </w:rPr>
            </w:pPr>
            <w:r w:rsidRPr="2D4C49D2">
              <w:rPr>
                <w:rFonts w:cs="Calibri"/>
                <w:color w:val="000000" w:themeColor="text1"/>
              </w:rPr>
              <w:t>2.7</w:t>
            </w:r>
          </w:p>
        </w:tc>
        <w:tc>
          <w:tcPr>
            <w:tcW w:w="814" w:type="dxa"/>
            <w:vAlign w:val="bottom"/>
          </w:tcPr>
          <w:p w14:paraId="03E65EA1"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86.3</w:t>
            </w:r>
          </w:p>
        </w:tc>
        <w:tc>
          <w:tcPr>
            <w:tcW w:w="813" w:type="dxa"/>
            <w:vAlign w:val="bottom"/>
          </w:tcPr>
          <w:p w14:paraId="37C90128" w14:textId="77777777" w:rsidR="00717057" w:rsidRPr="00FC7D9A" w:rsidRDefault="00717057" w:rsidP="00CB0764">
            <w:pPr>
              <w:pStyle w:val="BodyText"/>
              <w:jc w:val="right"/>
              <w:rPr>
                <w:rFonts w:cs="Calibri"/>
                <w:color w:val="000000"/>
                <w:szCs w:val="20"/>
              </w:rPr>
            </w:pPr>
            <w:r w:rsidRPr="00FC7D9A">
              <w:rPr>
                <w:rFonts w:cs="Calibri"/>
                <w:color w:val="000000"/>
                <w:szCs w:val="20"/>
              </w:rPr>
              <w:t>0.2</w:t>
            </w:r>
          </w:p>
        </w:tc>
        <w:tc>
          <w:tcPr>
            <w:tcW w:w="814" w:type="dxa"/>
            <w:vAlign w:val="bottom"/>
          </w:tcPr>
          <w:p w14:paraId="353E3DFD" w14:textId="77777777" w:rsidR="00717057" w:rsidRPr="00FC7D9A" w:rsidRDefault="00717057" w:rsidP="00CB0764">
            <w:pPr>
              <w:pStyle w:val="BodyText"/>
              <w:jc w:val="right"/>
              <w:rPr>
                <w:rFonts w:cs="Calibri"/>
                <w:color w:val="000000"/>
                <w:szCs w:val="20"/>
              </w:rPr>
            </w:pPr>
            <w:r w:rsidRPr="00FC7D9A">
              <w:rPr>
                <w:rFonts w:cs="Calibri"/>
                <w:color w:val="000000"/>
                <w:szCs w:val="20"/>
              </w:rPr>
              <w:t>3.8</w:t>
            </w:r>
          </w:p>
        </w:tc>
        <w:tc>
          <w:tcPr>
            <w:tcW w:w="814" w:type="dxa"/>
            <w:vAlign w:val="bottom"/>
          </w:tcPr>
          <w:p w14:paraId="2FDCE050"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1.1</w:t>
            </w:r>
          </w:p>
        </w:tc>
        <w:tc>
          <w:tcPr>
            <w:tcW w:w="813" w:type="dxa"/>
            <w:vAlign w:val="bottom"/>
          </w:tcPr>
          <w:p w14:paraId="479628E4"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3.6</w:t>
            </w:r>
          </w:p>
        </w:tc>
        <w:tc>
          <w:tcPr>
            <w:tcW w:w="814" w:type="dxa"/>
            <w:vAlign w:val="bottom"/>
          </w:tcPr>
          <w:p w14:paraId="66AB85C6"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2.5</w:t>
            </w:r>
          </w:p>
        </w:tc>
        <w:tc>
          <w:tcPr>
            <w:tcW w:w="814" w:type="dxa"/>
            <w:vAlign w:val="bottom"/>
          </w:tcPr>
          <w:p w14:paraId="5D37D9B1" w14:textId="77777777" w:rsidR="00717057" w:rsidRPr="00FC7D9A" w:rsidRDefault="00717057" w:rsidP="00CB0764">
            <w:pPr>
              <w:pStyle w:val="BodyText"/>
              <w:jc w:val="right"/>
              <w:rPr>
                <w:rFonts w:cs="Calibri"/>
                <w:color w:val="000000"/>
                <w:szCs w:val="20"/>
              </w:rPr>
            </w:pPr>
            <w:r w:rsidRPr="00FC7D9A">
              <w:rPr>
                <w:rFonts w:cs="Calibri"/>
                <w:color w:val="000000"/>
                <w:szCs w:val="20"/>
              </w:rPr>
              <w:t>0.1</w:t>
            </w:r>
          </w:p>
        </w:tc>
        <w:tc>
          <w:tcPr>
            <w:tcW w:w="814" w:type="dxa"/>
            <w:vAlign w:val="bottom"/>
          </w:tcPr>
          <w:p w14:paraId="42A73032" w14:textId="5A32E98B" w:rsidR="00717057" w:rsidRPr="00FC7D9A" w:rsidRDefault="00717057" w:rsidP="00CB0764">
            <w:pPr>
              <w:pStyle w:val="BodyText"/>
              <w:jc w:val="right"/>
              <w:rPr>
                <w:rFonts w:cs="Calibri"/>
                <w:color w:val="000000"/>
                <w:szCs w:val="20"/>
              </w:rPr>
            </w:pPr>
            <w:r w:rsidRPr="00FC7D9A">
              <w:rPr>
                <w:rFonts w:cs="Calibri"/>
                <w:color w:val="000000"/>
                <w:szCs w:val="20"/>
              </w:rPr>
              <w:t>16</w:t>
            </w:r>
            <w:r w:rsidR="0090658B">
              <w:rPr>
                <w:rFonts w:cs="Calibri"/>
                <w:color w:val="000000"/>
                <w:szCs w:val="20"/>
              </w:rPr>
              <w:t>3</w:t>
            </w:r>
            <w:r w:rsidRPr="00FC7D9A">
              <w:rPr>
                <w:rFonts w:cs="Calibri"/>
                <w:color w:val="000000"/>
                <w:szCs w:val="20"/>
              </w:rPr>
              <w:t>.</w:t>
            </w:r>
            <w:r w:rsidR="0090658B">
              <w:rPr>
                <w:rFonts w:cs="Calibri"/>
                <w:color w:val="000000"/>
                <w:szCs w:val="20"/>
              </w:rPr>
              <w:t>1</w:t>
            </w:r>
          </w:p>
        </w:tc>
      </w:tr>
      <w:tr w:rsidR="00717057" w14:paraId="5406ABC5" w14:textId="77777777" w:rsidTr="2D4C49D2">
        <w:tc>
          <w:tcPr>
            <w:tcW w:w="1838" w:type="dxa"/>
            <w:vAlign w:val="bottom"/>
          </w:tcPr>
          <w:p w14:paraId="090D8D5C" w14:textId="77777777" w:rsidR="00717057" w:rsidRPr="00FC7D9A" w:rsidRDefault="00717057" w:rsidP="00CB0764">
            <w:pPr>
              <w:pStyle w:val="BodyText"/>
              <w:rPr>
                <w:rFonts w:asciiTheme="minorHAnsi" w:hAnsiTheme="minorHAnsi" w:cstheme="minorHAnsi"/>
                <w:szCs w:val="20"/>
              </w:rPr>
            </w:pPr>
            <w:r w:rsidRPr="00FC7D9A">
              <w:rPr>
                <w:rFonts w:asciiTheme="minorHAnsi" w:hAnsiTheme="minorHAnsi" w:cstheme="minorHAnsi"/>
                <w:color w:val="000000"/>
                <w:szCs w:val="20"/>
              </w:rPr>
              <w:t xml:space="preserve">Northern Territory </w:t>
            </w:r>
          </w:p>
        </w:tc>
        <w:tc>
          <w:tcPr>
            <w:tcW w:w="813" w:type="dxa"/>
            <w:vAlign w:val="bottom"/>
          </w:tcPr>
          <w:p w14:paraId="67F4B7EB" w14:textId="77777777" w:rsidR="00717057" w:rsidRPr="00FC7D9A" w:rsidRDefault="00717057" w:rsidP="00CB0764">
            <w:pPr>
              <w:pStyle w:val="BodyText"/>
              <w:jc w:val="right"/>
              <w:rPr>
                <w:rFonts w:cs="Calibri"/>
                <w:color w:val="000000"/>
                <w:szCs w:val="20"/>
              </w:rPr>
            </w:pPr>
          </w:p>
        </w:tc>
        <w:tc>
          <w:tcPr>
            <w:tcW w:w="814" w:type="dxa"/>
            <w:vAlign w:val="bottom"/>
          </w:tcPr>
          <w:p w14:paraId="3240A6BC" w14:textId="77777777" w:rsidR="00717057" w:rsidRPr="00FC7D9A" w:rsidRDefault="00717057" w:rsidP="00CB0764">
            <w:pPr>
              <w:pStyle w:val="BodyText"/>
              <w:jc w:val="right"/>
              <w:rPr>
                <w:rFonts w:cs="Calibri"/>
                <w:color w:val="000000"/>
                <w:szCs w:val="20"/>
              </w:rPr>
            </w:pPr>
          </w:p>
        </w:tc>
        <w:tc>
          <w:tcPr>
            <w:tcW w:w="814" w:type="dxa"/>
            <w:vAlign w:val="bottom"/>
          </w:tcPr>
          <w:p w14:paraId="75495781" w14:textId="77777777" w:rsidR="00717057" w:rsidRPr="00FC7D9A" w:rsidRDefault="00717057" w:rsidP="00CB0764">
            <w:pPr>
              <w:pStyle w:val="BodyText"/>
              <w:jc w:val="right"/>
              <w:rPr>
                <w:rFonts w:asciiTheme="minorHAnsi" w:hAnsiTheme="minorHAnsi" w:cstheme="minorHAnsi"/>
                <w:szCs w:val="20"/>
              </w:rPr>
            </w:pPr>
          </w:p>
        </w:tc>
        <w:tc>
          <w:tcPr>
            <w:tcW w:w="813" w:type="dxa"/>
            <w:vAlign w:val="bottom"/>
          </w:tcPr>
          <w:p w14:paraId="19AEEE92" w14:textId="77777777" w:rsidR="00717057" w:rsidRPr="00FC7D9A" w:rsidRDefault="00717057" w:rsidP="00CB0764">
            <w:pPr>
              <w:pStyle w:val="BodyText"/>
              <w:jc w:val="right"/>
              <w:rPr>
                <w:rFonts w:cs="Calibri"/>
                <w:color w:val="000000"/>
                <w:szCs w:val="20"/>
              </w:rPr>
            </w:pPr>
          </w:p>
        </w:tc>
        <w:tc>
          <w:tcPr>
            <w:tcW w:w="814" w:type="dxa"/>
            <w:vAlign w:val="bottom"/>
          </w:tcPr>
          <w:p w14:paraId="67031082" w14:textId="77777777" w:rsidR="00717057" w:rsidRPr="00FC7D9A" w:rsidRDefault="00717057" w:rsidP="00CB0764">
            <w:pPr>
              <w:pStyle w:val="BodyText"/>
              <w:jc w:val="right"/>
              <w:rPr>
                <w:rFonts w:cs="Calibri"/>
                <w:color w:val="000000"/>
                <w:szCs w:val="20"/>
              </w:rPr>
            </w:pPr>
          </w:p>
        </w:tc>
        <w:tc>
          <w:tcPr>
            <w:tcW w:w="814" w:type="dxa"/>
            <w:vAlign w:val="bottom"/>
          </w:tcPr>
          <w:p w14:paraId="7B9D3147" w14:textId="77777777" w:rsidR="00717057" w:rsidRPr="00FC7D9A" w:rsidRDefault="00717057" w:rsidP="00CB0764">
            <w:pPr>
              <w:pStyle w:val="BodyText"/>
              <w:jc w:val="right"/>
              <w:rPr>
                <w:rFonts w:asciiTheme="minorHAnsi" w:hAnsiTheme="minorHAnsi" w:cstheme="minorHAnsi"/>
                <w:szCs w:val="20"/>
              </w:rPr>
            </w:pPr>
          </w:p>
        </w:tc>
        <w:tc>
          <w:tcPr>
            <w:tcW w:w="813" w:type="dxa"/>
            <w:vAlign w:val="bottom"/>
          </w:tcPr>
          <w:p w14:paraId="587859C4" w14:textId="605B6F0A"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0.0</w:t>
            </w:r>
            <w:r w:rsidR="001314AB">
              <w:rPr>
                <w:rFonts w:cs="Calibri"/>
                <w:color w:val="000000"/>
                <w:szCs w:val="20"/>
              </w:rPr>
              <w:t>1</w:t>
            </w:r>
          </w:p>
        </w:tc>
        <w:tc>
          <w:tcPr>
            <w:tcW w:w="814" w:type="dxa"/>
            <w:vAlign w:val="bottom"/>
          </w:tcPr>
          <w:p w14:paraId="1C18A07A"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0.0</w:t>
            </w:r>
            <w:r>
              <w:rPr>
                <w:rFonts w:cs="Calibri"/>
                <w:color w:val="000000"/>
                <w:szCs w:val="20"/>
              </w:rPr>
              <w:t>2</w:t>
            </w:r>
          </w:p>
        </w:tc>
        <w:tc>
          <w:tcPr>
            <w:tcW w:w="814" w:type="dxa"/>
            <w:vAlign w:val="bottom"/>
          </w:tcPr>
          <w:p w14:paraId="77D12DDA" w14:textId="77777777" w:rsidR="00717057" w:rsidRPr="00FC7D9A" w:rsidRDefault="00717057" w:rsidP="00CB0764">
            <w:pPr>
              <w:pStyle w:val="BodyText"/>
              <w:jc w:val="right"/>
              <w:rPr>
                <w:rFonts w:cs="Calibri"/>
                <w:color w:val="000000"/>
                <w:szCs w:val="20"/>
              </w:rPr>
            </w:pPr>
            <w:r w:rsidRPr="00FC7D9A">
              <w:rPr>
                <w:rFonts w:cs="Calibri"/>
                <w:color w:val="000000"/>
                <w:szCs w:val="20"/>
              </w:rPr>
              <w:t>12.0</w:t>
            </w:r>
          </w:p>
        </w:tc>
        <w:tc>
          <w:tcPr>
            <w:tcW w:w="814" w:type="dxa"/>
            <w:vAlign w:val="bottom"/>
          </w:tcPr>
          <w:p w14:paraId="2ED8F39D" w14:textId="520EB0A3" w:rsidR="00717057" w:rsidRPr="00FC7D9A" w:rsidRDefault="00717057" w:rsidP="00CB0764">
            <w:pPr>
              <w:pStyle w:val="BodyText"/>
              <w:jc w:val="right"/>
              <w:rPr>
                <w:rFonts w:cs="Calibri"/>
                <w:color w:val="000000"/>
                <w:szCs w:val="20"/>
              </w:rPr>
            </w:pPr>
          </w:p>
        </w:tc>
      </w:tr>
      <w:tr w:rsidR="00717057" w14:paraId="12D30F3F" w14:textId="77777777" w:rsidTr="2D4C49D2">
        <w:tc>
          <w:tcPr>
            <w:tcW w:w="1838" w:type="dxa"/>
            <w:vAlign w:val="bottom"/>
          </w:tcPr>
          <w:p w14:paraId="26ABB11C" w14:textId="77777777" w:rsidR="00717057" w:rsidRPr="00FC7D9A" w:rsidRDefault="00717057" w:rsidP="00CB0764">
            <w:pPr>
              <w:pStyle w:val="BodyText"/>
              <w:rPr>
                <w:rFonts w:asciiTheme="minorHAnsi" w:hAnsiTheme="minorHAnsi" w:cstheme="minorHAnsi"/>
                <w:szCs w:val="20"/>
              </w:rPr>
            </w:pPr>
            <w:r w:rsidRPr="00FC7D9A">
              <w:rPr>
                <w:rFonts w:asciiTheme="minorHAnsi" w:hAnsiTheme="minorHAnsi" w:cstheme="minorHAnsi"/>
                <w:color w:val="000000"/>
                <w:szCs w:val="20"/>
              </w:rPr>
              <w:t xml:space="preserve">Queensland </w:t>
            </w:r>
          </w:p>
        </w:tc>
        <w:tc>
          <w:tcPr>
            <w:tcW w:w="813" w:type="dxa"/>
            <w:vAlign w:val="bottom"/>
          </w:tcPr>
          <w:p w14:paraId="23B64EF9" w14:textId="77777777" w:rsidR="00717057" w:rsidRPr="00FC7D9A" w:rsidRDefault="00717057" w:rsidP="00CB0764">
            <w:pPr>
              <w:pStyle w:val="BodyText"/>
              <w:jc w:val="right"/>
              <w:rPr>
                <w:rFonts w:cs="Calibri"/>
                <w:color w:val="000000"/>
                <w:szCs w:val="20"/>
              </w:rPr>
            </w:pPr>
            <w:r w:rsidRPr="00FC7D9A">
              <w:rPr>
                <w:rFonts w:cs="Calibri"/>
                <w:color w:val="000000"/>
                <w:szCs w:val="20"/>
              </w:rPr>
              <w:t>0.4</w:t>
            </w:r>
          </w:p>
        </w:tc>
        <w:tc>
          <w:tcPr>
            <w:tcW w:w="814" w:type="dxa"/>
            <w:vAlign w:val="bottom"/>
          </w:tcPr>
          <w:p w14:paraId="24006B18" w14:textId="6E3659C7" w:rsidR="00717057" w:rsidRPr="00FC7D9A" w:rsidRDefault="00717057" w:rsidP="2D4C49D2">
            <w:pPr>
              <w:pStyle w:val="BodyText"/>
              <w:jc w:val="right"/>
              <w:rPr>
                <w:rFonts w:cs="Calibri"/>
                <w:color w:val="000000"/>
              </w:rPr>
            </w:pPr>
            <w:r w:rsidRPr="2D4C49D2">
              <w:rPr>
                <w:rFonts w:cs="Calibri"/>
                <w:color w:val="000000" w:themeColor="text1"/>
              </w:rPr>
              <w:t>10.</w:t>
            </w:r>
            <w:r w:rsidR="2DA91AA5" w:rsidRPr="2D4C49D2">
              <w:rPr>
                <w:rFonts w:cs="Calibri"/>
                <w:color w:val="000000" w:themeColor="text1"/>
              </w:rPr>
              <w:t>2</w:t>
            </w:r>
          </w:p>
        </w:tc>
        <w:tc>
          <w:tcPr>
            <w:tcW w:w="814" w:type="dxa"/>
            <w:vAlign w:val="bottom"/>
          </w:tcPr>
          <w:p w14:paraId="3F1939E1"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3.9</w:t>
            </w:r>
          </w:p>
        </w:tc>
        <w:tc>
          <w:tcPr>
            <w:tcW w:w="813" w:type="dxa"/>
            <w:vAlign w:val="bottom"/>
          </w:tcPr>
          <w:p w14:paraId="45CE557D" w14:textId="77777777" w:rsidR="00717057" w:rsidRPr="00FC7D9A" w:rsidRDefault="00717057" w:rsidP="00CB0764">
            <w:pPr>
              <w:pStyle w:val="BodyText"/>
              <w:jc w:val="right"/>
              <w:rPr>
                <w:rFonts w:cs="Calibri"/>
                <w:color w:val="000000"/>
                <w:szCs w:val="20"/>
              </w:rPr>
            </w:pPr>
            <w:r w:rsidRPr="00FC7D9A">
              <w:rPr>
                <w:rFonts w:cs="Calibri"/>
                <w:color w:val="000000"/>
                <w:szCs w:val="20"/>
              </w:rPr>
              <w:t>1.0</w:t>
            </w:r>
          </w:p>
        </w:tc>
        <w:tc>
          <w:tcPr>
            <w:tcW w:w="814" w:type="dxa"/>
            <w:vAlign w:val="bottom"/>
          </w:tcPr>
          <w:p w14:paraId="17B273B4" w14:textId="77777777" w:rsidR="00717057" w:rsidRPr="00FC7D9A" w:rsidRDefault="00717057" w:rsidP="00CB0764">
            <w:pPr>
              <w:pStyle w:val="BodyText"/>
              <w:jc w:val="right"/>
              <w:rPr>
                <w:rFonts w:cs="Calibri"/>
                <w:color w:val="000000"/>
                <w:szCs w:val="20"/>
              </w:rPr>
            </w:pPr>
            <w:r w:rsidRPr="00FC7D9A">
              <w:rPr>
                <w:rFonts w:cs="Calibri"/>
                <w:color w:val="000000"/>
                <w:szCs w:val="20"/>
              </w:rPr>
              <w:t>0.1</w:t>
            </w:r>
          </w:p>
        </w:tc>
        <w:tc>
          <w:tcPr>
            <w:tcW w:w="814" w:type="dxa"/>
            <w:vAlign w:val="bottom"/>
          </w:tcPr>
          <w:p w14:paraId="340D8B52"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0.5</w:t>
            </w:r>
          </w:p>
        </w:tc>
        <w:tc>
          <w:tcPr>
            <w:tcW w:w="813" w:type="dxa"/>
            <w:vAlign w:val="bottom"/>
          </w:tcPr>
          <w:p w14:paraId="06A694D8"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3.2</w:t>
            </w:r>
          </w:p>
        </w:tc>
        <w:tc>
          <w:tcPr>
            <w:tcW w:w="814" w:type="dxa"/>
            <w:vAlign w:val="bottom"/>
          </w:tcPr>
          <w:p w14:paraId="3FA8E3F5"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0.3</w:t>
            </w:r>
          </w:p>
        </w:tc>
        <w:tc>
          <w:tcPr>
            <w:tcW w:w="814" w:type="dxa"/>
            <w:vAlign w:val="bottom"/>
          </w:tcPr>
          <w:p w14:paraId="4D3DFE67" w14:textId="77777777" w:rsidR="00717057" w:rsidRPr="00FC7D9A" w:rsidRDefault="00717057" w:rsidP="00CB0764">
            <w:pPr>
              <w:pStyle w:val="BodyText"/>
              <w:jc w:val="right"/>
              <w:rPr>
                <w:rFonts w:cs="Calibri"/>
                <w:color w:val="000000"/>
                <w:szCs w:val="20"/>
              </w:rPr>
            </w:pPr>
            <w:r w:rsidRPr="00FC7D9A">
              <w:rPr>
                <w:rFonts w:cs="Calibri"/>
                <w:color w:val="000000"/>
                <w:szCs w:val="20"/>
              </w:rPr>
              <w:t>305.1</w:t>
            </w:r>
          </w:p>
        </w:tc>
        <w:tc>
          <w:tcPr>
            <w:tcW w:w="814" w:type="dxa"/>
            <w:vAlign w:val="bottom"/>
          </w:tcPr>
          <w:p w14:paraId="5E558B6F" w14:textId="60D40BFE" w:rsidR="00717057" w:rsidRPr="00FC7D9A" w:rsidRDefault="00717057" w:rsidP="00CB0764">
            <w:pPr>
              <w:pStyle w:val="BodyText"/>
              <w:jc w:val="right"/>
              <w:rPr>
                <w:rFonts w:cs="Calibri"/>
                <w:color w:val="000000"/>
                <w:szCs w:val="20"/>
              </w:rPr>
            </w:pPr>
            <w:r w:rsidRPr="00FC7D9A">
              <w:rPr>
                <w:rFonts w:cs="Calibri"/>
                <w:color w:val="000000"/>
                <w:szCs w:val="20"/>
              </w:rPr>
              <w:t>25</w:t>
            </w:r>
            <w:r w:rsidR="0090658B">
              <w:rPr>
                <w:rFonts w:cs="Calibri"/>
                <w:color w:val="000000"/>
                <w:szCs w:val="20"/>
              </w:rPr>
              <w:t>3</w:t>
            </w:r>
            <w:r w:rsidRPr="00FC7D9A">
              <w:rPr>
                <w:rFonts w:cs="Calibri"/>
                <w:color w:val="000000"/>
                <w:szCs w:val="20"/>
              </w:rPr>
              <w:t>.</w:t>
            </w:r>
            <w:r w:rsidR="0090658B">
              <w:rPr>
                <w:rFonts w:cs="Calibri"/>
                <w:color w:val="000000"/>
                <w:szCs w:val="20"/>
              </w:rPr>
              <w:t>8</w:t>
            </w:r>
          </w:p>
        </w:tc>
      </w:tr>
      <w:tr w:rsidR="00717057" w14:paraId="5D57228A" w14:textId="77777777" w:rsidTr="2D4C49D2">
        <w:tc>
          <w:tcPr>
            <w:tcW w:w="1838" w:type="dxa"/>
            <w:vAlign w:val="bottom"/>
          </w:tcPr>
          <w:p w14:paraId="45FCA945" w14:textId="77777777" w:rsidR="00717057" w:rsidRPr="00FC7D9A" w:rsidRDefault="00717057" w:rsidP="00CB0764">
            <w:pPr>
              <w:pStyle w:val="BodyText"/>
              <w:rPr>
                <w:rFonts w:asciiTheme="minorHAnsi" w:hAnsiTheme="minorHAnsi" w:cstheme="minorHAnsi"/>
                <w:szCs w:val="20"/>
              </w:rPr>
            </w:pPr>
            <w:r w:rsidRPr="00FC7D9A">
              <w:rPr>
                <w:rFonts w:asciiTheme="minorHAnsi" w:hAnsiTheme="minorHAnsi" w:cstheme="minorHAnsi"/>
                <w:color w:val="000000"/>
                <w:szCs w:val="20"/>
              </w:rPr>
              <w:t xml:space="preserve">South Australia </w:t>
            </w:r>
          </w:p>
        </w:tc>
        <w:tc>
          <w:tcPr>
            <w:tcW w:w="813" w:type="dxa"/>
            <w:vAlign w:val="bottom"/>
          </w:tcPr>
          <w:p w14:paraId="08F69D8D" w14:textId="77777777" w:rsidR="00717057" w:rsidRPr="00FC7D9A" w:rsidRDefault="00717057" w:rsidP="00CB0764">
            <w:pPr>
              <w:pStyle w:val="BodyText"/>
              <w:jc w:val="right"/>
              <w:rPr>
                <w:rFonts w:cs="Calibri"/>
                <w:color w:val="000000"/>
                <w:szCs w:val="20"/>
              </w:rPr>
            </w:pPr>
            <w:r w:rsidRPr="00FC7D9A">
              <w:rPr>
                <w:rFonts w:cs="Calibri"/>
                <w:color w:val="000000"/>
                <w:szCs w:val="20"/>
              </w:rPr>
              <w:t>6.4</w:t>
            </w:r>
          </w:p>
        </w:tc>
        <w:tc>
          <w:tcPr>
            <w:tcW w:w="814" w:type="dxa"/>
            <w:vAlign w:val="bottom"/>
          </w:tcPr>
          <w:p w14:paraId="7806E9C2" w14:textId="41DCFDB8" w:rsidR="00717057" w:rsidRPr="00FC7D9A" w:rsidRDefault="00717057" w:rsidP="2D4C49D2">
            <w:pPr>
              <w:pStyle w:val="BodyText"/>
              <w:jc w:val="right"/>
              <w:rPr>
                <w:rFonts w:cs="Calibri"/>
                <w:color w:val="000000"/>
              </w:rPr>
            </w:pPr>
            <w:r w:rsidRPr="2D4C49D2">
              <w:rPr>
                <w:rFonts w:cs="Calibri"/>
                <w:color w:val="000000" w:themeColor="text1"/>
              </w:rPr>
              <w:t>4.</w:t>
            </w:r>
            <w:r w:rsidR="68EEB0B0" w:rsidRPr="2D4C49D2">
              <w:rPr>
                <w:rFonts w:cs="Calibri"/>
                <w:color w:val="000000" w:themeColor="text1"/>
              </w:rPr>
              <w:t>7</w:t>
            </w:r>
          </w:p>
        </w:tc>
        <w:tc>
          <w:tcPr>
            <w:tcW w:w="814" w:type="dxa"/>
            <w:vAlign w:val="bottom"/>
          </w:tcPr>
          <w:p w14:paraId="3C42B8E1"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0.0</w:t>
            </w:r>
            <w:r>
              <w:rPr>
                <w:rFonts w:cs="Calibri"/>
                <w:color w:val="000000"/>
                <w:szCs w:val="20"/>
              </w:rPr>
              <w:t>4</w:t>
            </w:r>
          </w:p>
        </w:tc>
        <w:tc>
          <w:tcPr>
            <w:tcW w:w="813" w:type="dxa"/>
            <w:vAlign w:val="bottom"/>
          </w:tcPr>
          <w:p w14:paraId="66BB5DE3" w14:textId="77777777" w:rsidR="00717057" w:rsidRPr="00FC7D9A" w:rsidRDefault="00717057" w:rsidP="00CB0764">
            <w:pPr>
              <w:pStyle w:val="BodyText"/>
              <w:jc w:val="right"/>
              <w:rPr>
                <w:rFonts w:cs="Calibri"/>
                <w:color w:val="000000"/>
                <w:szCs w:val="20"/>
              </w:rPr>
            </w:pPr>
            <w:r w:rsidRPr="00FC7D9A">
              <w:rPr>
                <w:rFonts w:cs="Calibri"/>
                <w:color w:val="000000"/>
                <w:szCs w:val="20"/>
              </w:rPr>
              <w:t>0.3</w:t>
            </w:r>
          </w:p>
        </w:tc>
        <w:tc>
          <w:tcPr>
            <w:tcW w:w="814" w:type="dxa"/>
            <w:vAlign w:val="bottom"/>
          </w:tcPr>
          <w:p w14:paraId="3D0DB89D" w14:textId="77777777" w:rsidR="00717057" w:rsidRPr="00FC7D9A" w:rsidRDefault="00717057" w:rsidP="00CB0764">
            <w:pPr>
              <w:pStyle w:val="BodyText"/>
              <w:jc w:val="right"/>
              <w:rPr>
                <w:rFonts w:cs="Calibri"/>
                <w:color w:val="000000"/>
                <w:szCs w:val="20"/>
              </w:rPr>
            </w:pPr>
            <w:r w:rsidRPr="00FC7D9A">
              <w:rPr>
                <w:rFonts w:cs="Calibri"/>
                <w:color w:val="000000"/>
                <w:szCs w:val="20"/>
              </w:rPr>
              <w:t>0.1</w:t>
            </w:r>
          </w:p>
        </w:tc>
        <w:tc>
          <w:tcPr>
            <w:tcW w:w="814" w:type="dxa"/>
            <w:vAlign w:val="bottom"/>
          </w:tcPr>
          <w:p w14:paraId="52702F22"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0.2</w:t>
            </w:r>
          </w:p>
        </w:tc>
        <w:tc>
          <w:tcPr>
            <w:tcW w:w="813" w:type="dxa"/>
            <w:vAlign w:val="bottom"/>
          </w:tcPr>
          <w:p w14:paraId="34CD0BDC"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1.3</w:t>
            </w:r>
          </w:p>
        </w:tc>
        <w:tc>
          <w:tcPr>
            <w:tcW w:w="814" w:type="dxa"/>
            <w:vAlign w:val="bottom"/>
          </w:tcPr>
          <w:p w14:paraId="394CCEF7" w14:textId="77777777" w:rsidR="00717057" w:rsidRPr="00FC7D9A" w:rsidRDefault="00717057" w:rsidP="00CB0764">
            <w:pPr>
              <w:pStyle w:val="BodyText"/>
              <w:jc w:val="right"/>
              <w:rPr>
                <w:rFonts w:asciiTheme="minorHAnsi" w:hAnsiTheme="minorHAnsi" w:cstheme="minorHAnsi"/>
                <w:szCs w:val="20"/>
              </w:rPr>
            </w:pPr>
            <w:r w:rsidRPr="00FC7D9A">
              <w:rPr>
                <w:rFonts w:cs="Calibri"/>
                <w:color w:val="000000"/>
                <w:szCs w:val="20"/>
              </w:rPr>
              <w:t>32.7</w:t>
            </w:r>
          </w:p>
        </w:tc>
        <w:tc>
          <w:tcPr>
            <w:tcW w:w="814" w:type="dxa"/>
            <w:vAlign w:val="bottom"/>
          </w:tcPr>
          <w:p w14:paraId="52AC9D9D" w14:textId="77777777" w:rsidR="00717057" w:rsidRPr="00FC7D9A" w:rsidRDefault="00717057" w:rsidP="00CB0764">
            <w:pPr>
              <w:pStyle w:val="BodyText"/>
              <w:jc w:val="right"/>
              <w:rPr>
                <w:rFonts w:cs="Calibri"/>
                <w:color w:val="000000"/>
                <w:szCs w:val="20"/>
              </w:rPr>
            </w:pPr>
            <w:r w:rsidRPr="00FC7D9A">
              <w:rPr>
                <w:rFonts w:cs="Calibri"/>
                <w:color w:val="000000"/>
                <w:szCs w:val="20"/>
              </w:rPr>
              <w:t>165.2</w:t>
            </w:r>
          </w:p>
        </w:tc>
        <w:tc>
          <w:tcPr>
            <w:tcW w:w="814" w:type="dxa"/>
            <w:vAlign w:val="bottom"/>
          </w:tcPr>
          <w:p w14:paraId="43277F9A" w14:textId="55FE4BA4" w:rsidR="00717057" w:rsidRPr="00FC7D9A" w:rsidRDefault="00717057" w:rsidP="00CB0764">
            <w:pPr>
              <w:pStyle w:val="BodyText"/>
              <w:jc w:val="right"/>
              <w:rPr>
                <w:rFonts w:cs="Calibri"/>
                <w:color w:val="000000"/>
                <w:szCs w:val="20"/>
              </w:rPr>
            </w:pPr>
            <w:r w:rsidRPr="00FC7D9A">
              <w:rPr>
                <w:rFonts w:cs="Calibri"/>
                <w:color w:val="000000"/>
                <w:szCs w:val="20"/>
              </w:rPr>
              <w:t>135.</w:t>
            </w:r>
            <w:r w:rsidR="0090658B">
              <w:rPr>
                <w:rFonts w:cs="Calibri"/>
                <w:color w:val="000000"/>
                <w:szCs w:val="20"/>
              </w:rPr>
              <w:t>4</w:t>
            </w:r>
          </w:p>
        </w:tc>
      </w:tr>
      <w:tr w:rsidR="001314AB" w14:paraId="65B1F93F" w14:textId="77777777" w:rsidTr="2D4C49D2">
        <w:tc>
          <w:tcPr>
            <w:tcW w:w="1838" w:type="dxa"/>
            <w:vAlign w:val="bottom"/>
          </w:tcPr>
          <w:p w14:paraId="6573E59F" w14:textId="3B5F9B0B" w:rsidR="001314AB" w:rsidRPr="00FC7D9A" w:rsidRDefault="001314AB" w:rsidP="00CB0764">
            <w:pPr>
              <w:pStyle w:val="BodyText"/>
              <w:rPr>
                <w:rFonts w:asciiTheme="minorHAnsi" w:hAnsiTheme="minorHAnsi" w:cstheme="minorHAnsi"/>
                <w:color w:val="000000"/>
                <w:szCs w:val="20"/>
              </w:rPr>
            </w:pPr>
            <w:r>
              <w:rPr>
                <w:rFonts w:asciiTheme="minorHAnsi" w:hAnsiTheme="minorHAnsi" w:cstheme="minorHAnsi"/>
                <w:color w:val="000000"/>
                <w:szCs w:val="20"/>
              </w:rPr>
              <w:t>Tasmania</w:t>
            </w:r>
          </w:p>
        </w:tc>
        <w:tc>
          <w:tcPr>
            <w:tcW w:w="813" w:type="dxa"/>
            <w:vAlign w:val="bottom"/>
          </w:tcPr>
          <w:p w14:paraId="2A3CE51F" w14:textId="77777777" w:rsidR="001314AB" w:rsidRPr="00FC7D9A" w:rsidRDefault="001314AB" w:rsidP="00CB0764">
            <w:pPr>
              <w:pStyle w:val="BodyText"/>
              <w:jc w:val="right"/>
              <w:rPr>
                <w:rFonts w:cs="Calibri"/>
                <w:color w:val="000000"/>
                <w:szCs w:val="20"/>
              </w:rPr>
            </w:pPr>
          </w:p>
        </w:tc>
        <w:tc>
          <w:tcPr>
            <w:tcW w:w="814" w:type="dxa"/>
            <w:vAlign w:val="bottom"/>
          </w:tcPr>
          <w:p w14:paraId="7D2EA05D" w14:textId="1D7D5A3E" w:rsidR="001314AB" w:rsidRPr="2D4C49D2" w:rsidRDefault="001314AB" w:rsidP="2D4C49D2">
            <w:pPr>
              <w:pStyle w:val="BodyText"/>
              <w:jc w:val="right"/>
              <w:rPr>
                <w:rFonts w:cs="Calibri"/>
                <w:color w:val="000000" w:themeColor="text1"/>
              </w:rPr>
            </w:pPr>
            <w:r>
              <w:rPr>
                <w:rFonts w:cs="Calibri"/>
                <w:color w:val="000000" w:themeColor="text1"/>
              </w:rPr>
              <w:t>0.02</w:t>
            </w:r>
          </w:p>
        </w:tc>
        <w:tc>
          <w:tcPr>
            <w:tcW w:w="814" w:type="dxa"/>
            <w:vAlign w:val="bottom"/>
          </w:tcPr>
          <w:p w14:paraId="00CB0248" w14:textId="77777777" w:rsidR="001314AB" w:rsidRPr="00FC7D9A" w:rsidRDefault="001314AB" w:rsidP="00CB0764">
            <w:pPr>
              <w:pStyle w:val="BodyText"/>
              <w:jc w:val="right"/>
              <w:rPr>
                <w:rFonts w:cs="Calibri"/>
                <w:color w:val="000000"/>
                <w:szCs w:val="20"/>
              </w:rPr>
            </w:pPr>
          </w:p>
        </w:tc>
        <w:tc>
          <w:tcPr>
            <w:tcW w:w="813" w:type="dxa"/>
            <w:vAlign w:val="bottom"/>
          </w:tcPr>
          <w:p w14:paraId="07232641" w14:textId="77777777" w:rsidR="001314AB" w:rsidRPr="00FC7D9A" w:rsidRDefault="001314AB" w:rsidP="00CB0764">
            <w:pPr>
              <w:pStyle w:val="BodyText"/>
              <w:jc w:val="right"/>
              <w:rPr>
                <w:rFonts w:cs="Calibri"/>
                <w:color w:val="000000"/>
                <w:szCs w:val="20"/>
              </w:rPr>
            </w:pPr>
          </w:p>
        </w:tc>
        <w:tc>
          <w:tcPr>
            <w:tcW w:w="814" w:type="dxa"/>
            <w:vAlign w:val="bottom"/>
          </w:tcPr>
          <w:p w14:paraId="6A7F3187" w14:textId="77777777" w:rsidR="001314AB" w:rsidRPr="00FC7D9A" w:rsidRDefault="001314AB" w:rsidP="00CB0764">
            <w:pPr>
              <w:pStyle w:val="BodyText"/>
              <w:jc w:val="right"/>
              <w:rPr>
                <w:rFonts w:cs="Calibri"/>
                <w:color w:val="000000"/>
                <w:szCs w:val="20"/>
              </w:rPr>
            </w:pPr>
          </w:p>
        </w:tc>
        <w:tc>
          <w:tcPr>
            <w:tcW w:w="814" w:type="dxa"/>
            <w:vAlign w:val="bottom"/>
          </w:tcPr>
          <w:p w14:paraId="2C9BE9F0" w14:textId="77777777" w:rsidR="001314AB" w:rsidRPr="00FC7D9A" w:rsidRDefault="001314AB" w:rsidP="00CB0764">
            <w:pPr>
              <w:pStyle w:val="BodyText"/>
              <w:jc w:val="right"/>
              <w:rPr>
                <w:rFonts w:cs="Calibri"/>
                <w:color w:val="000000"/>
                <w:szCs w:val="20"/>
              </w:rPr>
            </w:pPr>
          </w:p>
        </w:tc>
        <w:tc>
          <w:tcPr>
            <w:tcW w:w="813" w:type="dxa"/>
            <w:vAlign w:val="bottom"/>
          </w:tcPr>
          <w:p w14:paraId="746A6EE8" w14:textId="77777777" w:rsidR="001314AB" w:rsidRPr="00FC7D9A" w:rsidRDefault="001314AB" w:rsidP="00CB0764">
            <w:pPr>
              <w:pStyle w:val="BodyText"/>
              <w:jc w:val="right"/>
              <w:rPr>
                <w:rFonts w:cs="Calibri"/>
                <w:color w:val="000000"/>
                <w:szCs w:val="20"/>
              </w:rPr>
            </w:pPr>
          </w:p>
        </w:tc>
        <w:tc>
          <w:tcPr>
            <w:tcW w:w="814" w:type="dxa"/>
            <w:vAlign w:val="bottom"/>
          </w:tcPr>
          <w:p w14:paraId="322DA880" w14:textId="77777777" w:rsidR="001314AB" w:rsidRPr="00FC7D9A" w:rsidRDefault="001314AB" w:rsidP="00CB0764">
            <w:pPr>
              <w:pStyle w:val="BodyText"/>
              <w:jc w:val="right"/>
              <w:rPr>
                <w:rFonts w:cs="Calibri"/>
                <w:color w:val="000000"/>
                <w:szCs w:val="20"/>
              </w:rPr>
            </w:pPr>
          </w:p>
        </w:tc>
        <w:tc>
          <w:tcPr>
            <w:tcW w:w="814" w:type="dxa"/>
            <w:vAlign w:val="bottom"/>
          </w:tcPr>
          <w:p w14:paraId="1CA617D6" w14:textId="741F4ECE" w:rsidR="001314AB" w:rsidRPr="00FC7D9A" w:rsidRDefault="001314AB" w:rsidP="00CB0764">
            <w:pPr>
              <w:pStyle w:val="BodyText"/>
              <w:jc w:val="right"/>
              <w:rPr>
                <w:rFonts w:cs="Calibri"/>
                <w:color w:val="000000"/>
                <w:szCs w:val="20"/>
              </w:rPr>
            </w:pPr>
          </w:p>
        </w:tc>
        <w:tc>
          <w:tcPr>
            <w:tcW w:w="814" w:type="dxa"/>
            <w:vAlign w:val="bottom"/>
          </w:tcPr>
          <w:p w14:paraId="2AED1E59" w14:textId="0AFD6BFF" w:rsidR="001314AB" w:rsidRPr="00FC7D9A" w:rsidRDefault="001314AB" w:rsidP="00CB0764">
            <w:pPr>
              <w:pStyle w:val="BodyText"/>
              <w:jc w:val="right"/>
              <w:rPr>
                <w:rFonts w:cs="Calibri"/>
                <w:color w:val="000000"/>
                <w:szCs w:val="20"/>
              </w:rPr>
            </w:pPr>
            <w:r>
              <w:rPr>
                <w:rFonts w:cs="Calibri"/>
                <w:color w:val="000000"/>
                <w:szCs w:val="20"/>
              </w:rPr>
              <w:t>0.9</w:t>
            </w:r>
          </w:p>
        </w:tc>
      </w:tr>
      <w:tr w:rsidR="008439D5" w14:paraId="01776C66" w14:textId="1D47276A" w:rsidTr="2D4C49D2">
        <w:tc>
          <w:tcPr>
            <w:tcW w:w="1838" w:type="dxa"/>
            <w:vAlign w:val="bottom"/>
          </w:tcPr>
          <w:p w14:paraId="0BCFFA8B" w14:textId="731F2CDF" w:rsidR="008439D5" w:rsidRPr="00FC7D9A" w:rsidRDefault="008439D5" w:rsidP="008439D5">
            <w:pPr>
              <w:pStyle w:val="BodyText"/>
              <w:rPr>
                <w:rFonts w:asciiTheme="minorHAnsi" w:hAnsiTheme="minorHAnsi" w:cstheme="minorHAnsi"/>
                <w:szCs w:val="20"/>
              </w:rPr>
            </w:pPr>
            <w:r w:rsidRPr="00FC7D9A">
              <w:rPr>
                <w:rFonts w:asciiTheme="minorHAnsi" w:hAnsiTheme="minorHAnsi" w:cstheme="minorHAnsi"/>
                <w:color w:val="000000"/>
                <w:szCs w:val="20"/>
              </w:rPr>
              <w:t xml:space="preserve">Victoria </w:t>
            </w:r>
          </w:p>
        </w:tc>
        <w:tc>
          <w:tcPr>
            <w:tcW w:w="813" w:type="dxa"/>
            <w:vAlign w:val="bottom"/>
          </w:tcPr>
          <w:p w14:paraId="330CC9E9" w14:textId="00EB4E86" w:rsidR="008439D5" w:rsidRPr="00FC7D9A" w:rsidRDefault="008439D5" w:rsidP="008439D5">
            <w:pPr>
              <w:pStyle w:val="BodyText"/>
              <w:jc w:val="right"/>
              <w:rPr>
                <w:rFonts w:cs="Calibri"/>
                <w:color w:val="000000"/>
                <w:szCs w:val="20"/>
              </w:rPr>
            </w:pPr>
            <w:r w:rsidRPr="00FC7D9A">
              <w:rPr>
                <w:rFonts w:cs="Calibri"/>
                <w:color w:val="000000"/>
                <w:szCs w:val="20"/>
              </w:rPr>
              <w:t>9.1</w:t>
            </w:r>
          </w:p>
        </w:tc>
        <w:tc>
          <w:tcPr>
            <w:tcW w:w="814" w:type="dxa"/>
            <w:vAlign w:val="bottom"/>
          </w:tcPr>
          <w:p w14:paraId="37F815AE" w14:textId="17A8BD94" w:rsidR="008439D5" w:rsidRPr="00FC7D9A" w:rsidRDefault="008439D5" w:rsidP="2D4C49D2">
            <w:pPr>
              <w:pStyle w:val="BodyText"/>
              <w:jc w:val="right"/>
              <w:rPr>
                <w:rFonts w:cs="Calibri"/>
                <w:color w:val="000000"/>
              </w:rPr>
            </w:pPr>
            <w:r w:rsidRPr="2D4C49D2">
              <w:rPr>
                <w:rFonts w:cs="Calibri"/>
                <w:color w:val="000000" w:themeColor="text1"/>
              </w:rPr>
              <w:t>1.</w:t>
            </w:r>
            <w:r w:rsidR="2374FA59" w:rsidRPr="2D4C49D2">
              <w:rPr>
                <w:rFonts w:cs="Calibri"/>
                <w:color w:val="000000" w:themeColor="text1"/>
              </w:rPr>
              <w:t>5</w:t>
            </w:r>
          </w:p>
        </w:tc>
        <w:tc>
          <w:tcPr>
            <w:tcW w:w="814" w:type="dxa"/>
            <w:vAlign w:val="bottom"/>
          </w:tcPr>
          <w:p w14:paraId="646CD4E9" w14:textId="28DC6EAB" w:rsidR="008439D5" w:rsidRPr="00FC7D9A" w:rsidRDefault="008439D5" w:rsidP="008439D5">
            <w:pPr>
              <w:pStyle w:val="BodyText"/>
              <w:jc w:val="right"/>
              <w:rPr>
                <w:rFonts w:asciiTheme="minorHAnsi" w:hAnsiTheme="minorHAnsi" w:cstheme="minorHAnsi"/>
                <w:szCs w:val="20"/>
              </w:rPr>
            </w:pPr>
            <w:r w:rsidRPr="00FC7D9A">
              <w:rPr>
                <w:rFonts w:cs="Calibri"/>
                <w:color w:val="000000"/>
                <w:szCs w:val="20"/>
              </w:rPr>
              <w:t>1.4</w:t>
            </w:r>
          </w:p>
        </w:tc>
        <w:tc>
          <w:tcPr>
            <w:tcW w:w="813" w:type="dxa"/>
            <w:vAlign w:val="bottom"/>
          </w:tcPr>
          <w:p w14:paraId="592B02A7" w14:textId="062BD24D" w:rsidR="008439D5" w:rsidRPr="00FC7D9A" w:rsidRDefault="008439D5" w:rsidP="008439D5">
            <w:pPr>
              <w:pStyle w:val="BodyText"/>
              <w:jc w:val="right"/>
              <w:rPr>
                <w:rFonts w:cs="Calibri"/>
                <w:color w:val="000000"/>
                <w:szCs w:val="20"/>
              </w:rPr>
            </w:pPr>
            <w:r w:rsidRPr="00FC7D9A">
              <w:rPr>
                <w:rFonts w:cs="Calibri"/>
                <w:color w:val="000000"/>
                <w:szCs w:val="20"/>
              </w:rPr>
              <w:t>1.5</w:t>
            </w:r>
          </w:p>
        </w:tc>
        <w:tc>
          <w:tcPr>
            <w:tcW w:w="814" w:type="dxa"/>
            <w:vAlign w:val="bottom"/>
          </w:tcPr>
          <w:p w14:paraId="53BC81EE" w14:textId="32AE060E" w:rsidR="008439D5" w:rsidRPr="00FC7D9A" w:rsidRDefault="008439D5" w:rsidP="008439D5">
            <w:pPr>
              <w:pStyle w:val="BodyText"/>
              <w:jc w:val="right"/>
              <w:rPr>
                <w:rFonts w:cs="Calibri"/>
                <w:color w:val="000000"/>
                <w:szCs w:val="20"/>
              </w:rPr>
            </w:pPr>
            <w:r w:rsidRPr="00FC7D9A">
              <w:rPr>
                <w:rFonts w:cs="Calibri"/>
                <w:color w:val="000000"/>
                <w:szCs w:val="20"/>
              </w:rPr>
              <w:t>5.8</w:t>
            </w:r>
          </w:p>
        </w:tc>
        <w:tc>
          <w:tcPr>
            <w:tcW w:w="814" w:type="dxa"/>
            <w:vAlign w:val="bottom"/>
          </w:tcPr>
          <w:p w14:paraId="3E30CE54" w14:textId="2D348AC5" w:rsidR="008439D5" w:rsidRPr="00FC7D9A" w:rsidRDefault="008439D5" w:rsidP="008439D5">
            <w:pPr>
              <w:pStyle w:val="BodyText"/>
              <w:jc w:val="right"/>
              <w:rPr>
                <w:rFonts w:asciiTheme="minorHAnsi" w:hAnsiTheme="minorHAnsi" w:cstheme="minorHAnsi"/>
                <w:szCs w:val="20"/>
              </w:rPr>
            </w:pPr>
            <w:r w:rsidRPr="00FC7D9A">
              <w:rPr>
                <w:rFonts w:cs="Calibri"/>
                <w:color w:val="000000"/>
                <w:szCs w:val="20"/>
              </w:rPr>
              <w:t>1.4</w:t>
            </w:r>
          </w:p>
        </w:tc>
        <w:tc>
          <w:tcPr>
            <w:tcW w:w="813" w:type="dxa"/>
            <w:vAlign w:val="bottom"/>
          </w:tcPr>
          <w:p w14:paraId="481DC5B4" w14:textId="37C575CC" w:rsidR="008439D5" w:rsidRPr="00FC7D9A" w:rsidRDefault="008439D5" w:rsidP="008439D5">
            <w:pPr>
              <w:pStyle w:val="BodyText"/>
              <w:jc w:val="right"/>
              <w:rPr>
                <w:rFonts w:asciiTheme="minorHAnsi" w:hAnsiTheme="minorHAnsi" w:cstheme="minorHAnsi"/>
                <w:szCs w:val="20"/>
              </w:rPr>
            </w:pPr>
            <w:r w:rsidRPr="00FC7D9A">
              <w:rPr>
                <w:rFonts w:cs="Calibri"/>
                <w:color w:val="000000"/>
                <w:szCs w:val="20"/>
              </w:rPr>
              <w:t>4.4</w:t>
            </w:r>
          </w:p>
        </w:tc>
        <w:tc>
          <w:tcPr>
            <w:tcW w:w="814" w:type="dxa"/>
            <w:vAlign w:val="bottom"/>
          </w:tcPr>
          <w:p w14:paraId="51319E60" w14:textId="3724C07F" w:rsidR="008439D5" w:rsidRPr="00FC7D9A" w:rsidRDefault="008439D5" w:rsidP="008439D5">
            <w:pPr>
              <w:pStyle w:val="BodyText"/>
              <w:jc w:val="right"/>
              <w:rPr>
                <w:rFonts w:asciiTheme="minorHAnsi" w:hAnsiTheme="minorHAnsi" w:cstheme="minorHAnsi"/>
                <w:szCs w:val="20"/>
              </w:rPr>
            </w:pPr>
            <w:r w:rsidRPr="00FC7D9A">
              <w:rPr>
                <w:rFonts w:cs="Calibri"/>
                <w:color w:val="000000"/>
                <w:szCs w:val="20"/>
              </w:rPr>
              <w:t>0.0</w:t>
            </w:r>
            <w:r w:rsidR="001314AB">
              <w:rPr>
                <w:rFonts w:cs="Calibri"/>
                <w:color w:val="000000"/>
                <w:szCs w:val="20"/>
              </w:rPr>
              <w:t>3</w:t>
            </w:r>
          </w:p>
        </w:tc>
        <w:tc>
          <w:tcPr>
            <w:tcW w:w="814" w:type="dxa"/>
            <w:vAlign w:val="bottom"/>
          </w:tcPr>
          <w:p w14:paraId="07087E2B" w14:textId="43D42C90" w:rsidR="008439D5" w:rsidRPr="00FC7D9A" w:rsidRDefault="008439D5" w:rsidP="008439D5">
            <w:pPr>
              <w:pStyle w:val="BodyText"/>
              <w:jc w:val="right"/>
              <w:rPr>
                <w:rFonts w:cs="Calibri"/>
                <w:color w:val="000000"/>
                <w:szCs w:val="20"/>
              </w:rPr>
            </w:pPr>
            <w:r w:rsidRPr="00FC7D9A">
              <w:rPr>
                <w:rFonts w:cs="Calibri"/>
                <w:color w:val="000000"/>
                <w:szCs w:val="20"/>
              </w:rPr>
              <w:t>410.7</w:t>
            </w:r>
          </w:p>
        </w:tc>
        <w:tc>
          <w:tcPr>
            <w:tcW w:w="814" w:type="dxa"/>
            <w:vAlign w:val="bottom"/>
          </w:tcPr>
          <w:p w14:paraId="3F57947A" w14:textId="5060A4D9" w:rsidR="008439D5" w:rsidRPr="00FC7D9A" w:rsidRDefault="008439D5" w:rsidP="008439D5">
            <w:pPr>
              <w:pStyle w:val="BodyText"/>
              <w:jc w:val="right"/>
              <w:rPr>
                <w:rFonts w:cs="Calibri"/>
                <w:color w:val="000000"/>
                <w:szCs w:val="20"/>
              </w:rPr>
            </w:pPr>
            <w:r w:rsidRPr="00FC7D9A">
              <w:rPr>
                <w:rFonts w:cs="Calibri"/>
                <w:color w:val="000000"/>
                <w:szCs w:val="20"/>
              </w:rPr>
              <w:t>26</w:t>
            </w:r>
            <w:r w:rsidR="0090658B">
              <w:rPr>
                <w:rFonts w:cs="Calibri"/>
                <w:color w:val="000000"/>
                <w:szCs w:val="20"/>
              </w:rPr>
              <w:t>6</w:t>
            </w:r>
            <w:r w:rsidRPr="00FC7D9A">
              <w:rPr>
                <w:rFonts w:cs="Calibri"/>
                <w:color w:val="000000"/>
                <w:szCs w:val="20"/>
              </w:rPr>
              <w:t>.</w:t>
            </w:r>
            <w:r w:rsidR="0090658B">
              <w:rPr>
                <w:rFonts w:cs="Calibri"/>
                <w:color w:val="000000"/>
                <w:szCs w:val="20"/>
              </w:rPr>
              <w:t>2</w:t>
            </w:r>
          </w:p>
        </w:tc>
      </w:tr>
      <w:tr w:rsidR="008439D5" w14:paraId="42EBD801" w14:textId="1F86522D" w:rsidTr="2D4C49D2">
        <w:tc>
          <w:tcPr>
            <w:tcW w:w="1838" w:type="dxa"/>
            <w:vAlign w:val="bottom"/>
          </w:tcPr>
          <w:p w14:paraId="2612DCD9" w14:textId="3F573FB7" w:rsidR="008439D5" w:rsidRPr="00FC7D9A" w:rsidRDefault="008439D5" w:rsidP="008439D5">
            <w:pPr>
              <w:pStyle w:val="BodyText"/>
              <w:rPr>
                <w:rFonts w:asciiTheme="minorHAnsi" w:hAnsiTheme="minorHAnsi" w:cstheme="minorHAnsi"/>
                <w:szCs w:val="20"/>
              </w:rPr>
            </w:pPr>
            <w:r w:rsidRPr="00FC7D9A">
              <w:rPr>
                <w:rFonts w:asciiTheme="minorHAnsi" w:hAnsiTheme="minorHAnsi" w:cstheme="minorHAnsi"/>
                <w:color w:val="000000"/>
                <w:szCs w:val="20"/>
              </w:rPr>
              <w:t xml:space="preserve">Western Australia </w:t>
            </w:r>
          </w:p>
        </w:tc>
        <w:tc>
          <w:tcPr>
            <w:tcW w:w="813" w:type="dxa"/>
            <w:vAlign w:val="bottom"/>
          </w:tcPr>
          <w:p w14:paraId="40661B79" w14:textId="5EFB7D80" w:rsidR="008439D5" w:rsidRPr="00FC7D9A" w:rsidRDefault="008439D5" w:rsidP="008439D5">
            <w:pPr>
              <w:pStyle w:val="BodyText"/>
              <w:jc w:val="right"/>
              <w:rPr>
                <w:rFonts w:cs="Calibri"/>
                <w:color w:val="000000"/>
                <w:szCs w:val="20"/>
              </w:rPr>
            </w:pPr>
            <w:r w:rsidRPr="00FC7D9A">
              <w:rPr>
                <w:rFonts w:cs="Calibri"/>
                <w:color w:val="000000"/>
                <w:szCs w:val="20"/>
              </w:rPr>
              <w:t>0.0</w:t>
            </w:r>
          </w:p>
        </w:tc>
        <w:tc>
          <w:tcPr>
            <w:tcW w:w="814" w:type="dxa"/>
            <w:vAlign w:val="bottom"/>
          </w:tcPr>
          <w:p w14:paraId="4AE058C5" w14:textId="26A0F020" w:rsidR="008439D5" w:rsidRPr="00FC7D9A" w:rsidRDefault="6846E2E5" w:rsidP="2D4C49D2">
            <w:pPr>
              <w:pStyle w:val="BodyText"/>
              <w:jc w:val="right"/>
              <w:rPr>
                <w:rFonts w:cs="Calibri"/>
                <w:color w:val="000000"/>
              </w:rPr>
            </w:pPr>
            <w:r w:rsidRPr="2D4C49D2">
              <w:rPr>
                <w:rFonts w:cs="Calibri"/>
                <w:color w:val="000000" w:themeColor="text1"/>
              </w:rPr>
              <w:t>4.7</w:t>
            </w:r>
          </w:p>
        </w:tc>
        <w:tc>
          <w:tcPr>
            <w:tcW w:w="814" w:type="dxa"/>
            <w:vAlign w:val="bottom"/>
          </w:tcPr>
          <w:p w14:paraId="40CB3CA5" w14:textId="7C36BDEE" w:rsidR="008439D5" w:rsidRPr="00FC7D9A" w:rsidRDefault="008439D5" w:rsidP="008439D5">
            <w:pPr>
              <w:pStyle w:val="BodyText"/>
              <w:jc w:val="right"/>
              <w:rPr>
                <w:rFonts w:asciiTheme="minorHAnsi" w:hAnsiTheme="minorHAnsi" w:cstheme="minorHAnsi"/>
                <w:szCs w:val="20"/>
              </w:rPr>
            </w:pPr>
            <w:r w:rsidRPr="00FC7D9A">
              <w:rPr>
                <w:rFonts w:cs="Calibri"/>
                <w:color w:val="000000"/>
                <w:szCs w:val="20"/>
              </w:rPr>
              <w:t>0.0</w:t>
            </w:r>
            <w:r w:rsidR="00E63D52">
              <w:rPr>
                <w:rFonts w:cs="Calibri"/>
                <w:color w:val="000000"/>
                <w:szCs w:val="20"/>
              </w:rPr>
              <w:t>4</w:t>
            </w:r>
          </w:p>
        </w:tc>
        <w:tc>
          <w:tcPr>
            <w:tcW w:w="813" w:type="dxa"/>
            <w:vAlign w:val="bottom"/>
          </w:tcPr>
          <w:p w14:paraId="5B80B2CD" w14:textId="0C17EB73" w:rsidR="008439D5" w:rsidRPr="00FC7D9A" w:rsidRDefault="008439D5" w:rsidP="008439D5">
            <w:pPr>
              <w:pStyle w:val="BodyText"/>
              <w:jc w:val="right"/>
              <w:rPr>
                <w:rFonts w:cs="Calibri"/>
                <w:color w:val="000000"/>
                <w:szCs w:val="20"/>
              </w:rPr>
            </w:pPr>
            <w:r w:rsidRPr="00FC7D9A">
              <w:rPr>
                <w:rFonts w:cs="Calibri"/>
                <w:color w:val="000000"/>
                <w:szCs w:val="20"/>
              </w:rPr>
              <w:t>0.4</w:t>
            </w:r>
          </w:p>
        </w:tc>
        <w:tc>
          <w:tcPr>
            <w:tcW w:w="814" w:type="dxa"/>
            <w:vAlign w:val="bottom"/>
          </w:tcPr>
          <w:p w14:paraId="25CA6615" w14:textId="4B503429" w:rsidR="008439D5" w:rsidRPr="00FC7D9A" w:rsidRDefault="008439D5" w:rsidP="008439D5">
            <w:pPr>
              <w:pStyle w:val="BodyText"/>
              <w:jc w:val="right"/>
              <w:rPr>
                <w:rFonts w:cs="Calibri"/>
                <w:color w:val="000000"/>
                <w:szCs w:val="20"/>
              </w:rPr>
            </w:pPr>
          </w:p>
        </w:tc>
        <w:tc>
          <w:tcPr>
            <w:tcW w:w="814" w:type="dxa"/>
            <w:vAlign w:val="bottom"/>
          </w:tcPr>
          <w:p w14:paraId="4FE26BEB" w14:textId="476917FF" w:rsidR="008439D5" w:rsidRPr="00FC7D9A" w:rsidRDefault="008439D5" w:rsidP="008439D5">
            <w:pPr>
              <w:pStyle w:val="BodyText"/>
              <w:jc w:val="right"/>
              <w:rPr>
                <w:rFonts w:asciiTheme="minorHAnsi" w:hAnsiTheme="minorHAnsi" w:cstheme="minorHAnsi"/>
                <w:szCs w:val="20"/>
              </w:rPr>
            </w:pPr>
            <w:r w:rsidRPr="00FC7D9A">
              <w:rPr>
                <w:rFonts w:cs="Calibri"/>
                <w:color w:val="000000"/>
                <w:szCs w:val="20"/>
              </w:rPr>
              <w:t>0.7</w:t>
            </w:r>
          </w:p>
        </w:tc>
        <w:tc>
          <w:tcPr>
            <w:tcW w:w="813" w:type="dxa"/>
            <w:vAlign w:val="bottom"/>
          </w:tcPr>
          <w:p w14:paraId="560F6B31" w14:textId="4AE7D0AE" w:rsidR="008439D5" w:rsidRPr="00FC7D9A" w:rsidRDefault="008439D5" w:rsidP="008439D5">
            <w:pPr>
              <w:pStyle w:val="BodyText"/>
              <w:jc w:val="right"/>
              <w:rPr>
                <w:rFonts w:asciiTheme="minorHAnsi" w:hAnsiTheme="minorHAnsi" w:cstheme="minorHAnsi"/>
                <w:szCs w:val="20"/>
              </w:rPr>
            </w:pPr>
            <w:r w:rsidRPr="00FC7D9A">
              <w:rPr>
                <w:rFonts w:cs="Calibri"/>
                <w:color w:val="000000"/>
                <w:szCs w:val="20"/>
              </w:rPr>
              <w:t>1.4</w:t>
            </w:r>
          </w:p>
        </w:tc>
        <w:tc>
          <w:tcPr>
            <w:tcW w:w="814" w:type="dxa"/>
            <w:vAlign w:val="bottom"/>
          </w:tcPr>
          <w:p w14:paraId="0CC7EE32" w14:textId="276B59BF" w:rsidR="008439D5" w:rsidRPr="00FC7D9A" w:rsidRDefault="008439D5" w:rsidP="008439D5">
            <w:pPr>
              <w:pStyle w:val="BodyText"/>
              <w:jc w:val="right"/>
              <w:rPr>
                <w:rFonts w:asciiTheme="minorHAnsi" w:hAnsiTheme="minorHAnsi" w:cstheme="minorHAnsi"/>
                <w:szCs w:val="20"/>
              </w:rPr>
            </w:pPr>
            <w:r w:rsidRPr="00FC7D9A">
              <w:rPr>
                <w:rFonts w:cs="Calibri"/>
                <w:color w:val="000000"/>
                <w:szCs w:val="20"/>
              </w:rPr>
              <w:t>0.3</w:t>
            </w:r>
          </w:p>
        </w:tc>
        <w:tc>
          <w:tcPr>
            <w:tcW w:w="814" w:type="dxa"/>
            <w:vAlign w:val="bottom"/>
          </w:tcPr>
          <w:p w14:paraId="0004C40A" w14:textId="44E8FAF0" w:rsidR="008439D5" w:rsidRPr="00FC7D9A" w:rsidRDefault="008439D5" w:rsidP="008439D5">
            <w:pPr>
              <w:pStyle w:val="BodyText"/>
              <w:jc w:val="right"/>
              <w:rPr>
                <w:rFonts w:cs="Calibri"/>
                <w:color w:val="000000"/>
                <w:szCs w:val="20"/>
              </w:rPr>
            </w:pPr>
            <w:r w:rsidRPr="00FC7D9A">
              <w:rPr>
                <w:rFonts w:cs="Calibri"/>
                <w:color w:val="000000"/>
                <w:szCs w:val="20"/>
              </w:rPr>
              <w:t>259.7</w:t>
            </w:r>
          </w:p>
        </w:tc>
        <w:tc>
          <w:tcPr>
            <w:tcW w:w="814" w:type="dxa"/>
            <w:vAlign w:val="bottom"/>
          </w:tcPr>
          <w:p w14:paraId="6CF72F66" w14:textId="0728C68F" w:rsidR="008439D5" w:rsidRPr="00FC7D9A" w:rsidRDefault="008439D5" w:rsidP="008439D5">
            <w:pPr>
              <w:pStyle w:val="BodyText"/>
              <w:jc w:val="right"/>
              <w:rPr>
                <w:rFonts w:cs="Calibri"/>
                <w:color w:val="000000"/>
                <w:szCs w:val="20"/>
              </w:rPr>
            </w:pPr>
            <w:r w:rsidRPr="00FC7D9A">
              <w:rPr>
                <w:rFonts w:cs="Calibri"/>
                <w:color w:val="000000"/>
                <w:szCs w:val="20"/>
              </w:rPr>
              <w:t>6</w:t>
            </w:r>
            <w:r w:rsidR="0090658B">
              <w:rPr>
                <w:rFonts w:cs="Calibri"/>
                <w:color w:val="000000"/>
                <w:szCs w:val="20"/>
              </w:rPr>
              <w:t>3.3</w:t>
            </w:r>
          </w:p>
        </w:tc>
      </w:tr>
    </w:tbl>
    <w:p w14:paraId="4C6E6D4B" w14:textId="7AD47FC2" w:rsidR="00DC2354" w:rsidRDefault="00DC2354" w:rsidP="00DE1E19">
      <w:pPr>
        <w:pStyle w:val="Heading3-nonumber"/>
      </w:pPr>
      <w:r>
        <w:t xml:space="preserve">Context – Australian </w:t>
      </w:r>
      <w:r w:rsidR="003E1D6E">
        <w:t xml:space="preserve">core </w:t>
      </w:r>
      <w:r>
        <w:t>waste</w:t>
      </w:r>
      <w:r w:rsidR="003E1D6E">
        <w:t xml:space="preserve"> plus ash</w:t>
      </w:r>
      <w:r>
        <w:t xml:space="preserve"> imports compared</w:t>
      </w:r>
    </w:p>
    <w:p w14:paraId="629ACB56" w14:textId="7AF5A142" w:rsidR="00DC2354" w:rsidRDefault="00A21450" w:rsidP="004E2669">
      <w:pPr>
        <w:pStyle w:val="BodyText"/>
        <w:spacing w:after="120"/>
      </w:pPr>
      <w:r>
        <w:fldChar w:fldCharType="begin"/>
      </w:r>
      <w:r>
        <w:instrText xml:space="preserve"> REF _Ref80975152 \h </w:instrText>
      </w:r>
      <w:r>
        <w:fldChar w:fldCharType="separate"/>
      </w:r>
      <w:r w:rsidR="007E6720">
        <w:t xml:space="preserve">Table </w:t>
      </w:r>
      <w:r w:rsidR="007E6720">
        <w:rPr>
          <w:noProof/>
        </w:rPr>
        <w:t>3</w:t>
      </w:r>
      <w:r>
        <w:fldChar w:fldCharType="end"/>
      </w:r>
      <w:r>
        <w:t xml:space="preserve"> compares</w:t>
      </w:r>
      <w:r w:rsidR="00444C23">
        <w:t xml:space="preserve"> the amount of waste and recovered materials generated in</w:t>
      </w:r>
      <w:r w:rsidR="00B902EC">
        <w:t xml:space="preserve">, imported </w:t>
      </w:r>
      <w:proofErr w:type="gramStart"/>
      <w:r w:rsidR="00B902EC">
        <w:t>into</w:t>
      </w:r>
      <w:proofErr w:type="gramEnd"/>
      <w:r w:rsidR="00B902EC">
        <w:t xml:space="preserve"> and exported from</w:t>
      </w:r>
      <w:r w:rsidR="00444C23">
        <w:t xml:space="preserve"> </w:t>
      </w:r>
      <w:r>
        <w:t>Australia</w:t>
      </w:r>
      <w:r w:rsidR="00B902EC">
        <w:t xml:space="preserve">, </w:t>
      </w:r>
      <w:r w:rsidR="00356499">
        <w:t>fall</w:t>
      </w:r>
      <w:r w:rsidR="00B902EC">
        <w:t xml:space="preserve">ing into </w:t>
      </w:r>
      <w:r w:rsidR="00356499">
        <w:t xml:space="preserve">the </w:t>
      </w:r>
      <w:r w:rsidR="004E2669">
        <w:t>national waste reporting scope of</w:t>
      </w:r>
      <w:r w:rsidR="00356499">
        <w:t xml:space="preserve"> core waste plus ash</w:t>
      </w:r>
      <w:r>
        <w:t xml:space="preserve">. </w:t>
      </w:r>
      <w:r w:rsidR="00B902EC">
        <w:t>I</w:t>
      </w:r>
      <w:r w:rsidR="00556298">
        <w:t xml:space="preserve">mports are small compared </w:t>
      </w:r>
      <w:r w:rsidR="00B902EC">
        <w:t xml:space="preserve">with </w:t>
      </w:r>
      <w:r w:rsidR="00556298">
        <w:t>exports in terms of both tonnage and value</w:t>
      </w:r>
      <w:r>
        <w:t xml:space="preserve">. </w:t>
      </w:r>
      <w:r w:rsidR="00BF5C3F">
        <w:t xml:space="preserve">Exports account for </w:t>
      </w:r>
      <w:r w:rsidR="007D73F5">
        <w:t>about 6</w:t>
      </w:r>
      <w:r w:rsidR="00BF5C3F">
        <w:t>% of Australia’s total waste generation</w:t>
      </w:r>
      <w:r w:rsidR="007D73F5">
        <w:t>. Imports are less than 0.3% of the scale of waste generation</w:t>
      </w:r>
      <w:r w:rsidR="00953F0C">
        <w:t xml:space="preserve"> </w:t>
      </w:r>
      <w:bookmarkStart w:id="14" w:name="_Hlk83726865"/>
      <w:r w:rsidR="00953F0C">
        <w:t>(excluding non-core wastes)</w:t>
      </w:r>
      <w:bookmarkEnd w:id="14"/>
      <w:r w:rsidR="007D73F5">
        <w:t xml:space="preserve">. </w:t>
      </w:r>
    </w:p>
    <w:p w14:paraId="6FE0494F" w14:textId="5C92A87E" w:rsidR="00A21450" w:rsidRDefault="00A21450" w:rsidP="007E0817">
      <w:pPr>
        <w:pStyle w:val="Caption"/>
        <w:keepNext/>
        <w:spacing w:before="0" w:after="120"/>
        <w:ind w:left="993" w:hanging="993"/>
      </w:pPr>
      <w:bookmarkStart w:id="15" w:name="_Ref80975152"/>
      <w:r>
        <w:t xml:space="preserve">Table </w:t>
      </w:r>
      <w:r>
        <w:fldChar w:fldCharType="begin"/>
      </w:r>
      <w:r>
        <w:instrText>SEQ Table \* ARABIC</w:instrText>
      </w:r>
      <w:r>
        <w:fldChar w:fldCharType="separate"/>
      </w:r>
      <w:r w:rsidR="007E6720">
        <w:rPr>
          <w:noProof/>
        </w:rPr>
        <w:t>3</w:t>
      </w:r>
      <w:r>
        <w:fldChar w:fldCharType="end"/>
      </w:r>
      <w:bookmarkEnd w:id="15"/>
      <w:r w:rsidR="007E0817">
        <w:tab/>
      </w:r>
      <w:r>
        <w:t>Comparison of Australia’s waste generation to exports and imports</w:t>
      </w:r>
    </w:p>
    <w:tbl>
      <w:tblPr>
        <w:tblStyle w:val="BE-table1"/>
        <w:tblW w:w="9776" w:type="dxa"/>
        <w:tblCellMar>
          <w:top w:w="28" w:type="dxa"/>
          <w:left w:w="57" w:type="dxa"/>
          <w:bottom w:w="28" w:type="dxa"/>
          <w:right w:w="57" w:type="dxa"/>
        </w:tblCellMar>
        <w:tblLook w:val="04A0" w:firstRow="1" w:lastRow="0" w:firstColumn="1" w:lastColumn="0" w:noHBand="0" w:noVBand="1"/>
      </w:tblPr>
      <w:tblGrid>
        <w:gridCol w:w="1128"/>
        <w:gridCol w:w="2545"/>
        <w:gridCol w:w="1851"/>
        <w:gridCol w:w="1134"/>
        <w:gridCol w:w="1984"/>
        <w:gridCol w:w="1134"/>
      </w:tblGrid>
      <w:tr w:rsidR="007D73F5" w14:paraId="76C55659" w14:textId="77777777" w:rsidTr="00B3320B">
        <w:trPr>
          <w:cnfStyle w:val="100000000000" w:firstRow="1" w:lastRow="0" w:firstColumn="0" w:lastColumn="0" w:oddVBand="0" w:evenVBand="0" w:oddHBand="0" w:evenHBand="0" w:firstRowFirstColumn="0" w:firstRowLastColumn="0" w:lastRowFirstColumn="0" w:lastRowLastColumn="0"/>
        </w:trPr>
        <w:tc>
          <w:tcPr>
            <w:tcW w:w="1128" w:type="dxa"/>
            <w:vMerge w:val="restart"/>
            <w:tcBorders>
              <w:top w:val="single" w:sz="4" w:space="0" w:color="9494D4" w:themeColor="accent1" w:themeTint="99"/>
              <w:left w:val="single" w:sz="4" w:space="0" w:color="9494D4" w:themeColor="accent1" w:themeTint="99"/>
              <w:bottom w:val="nil"/>
            </w:tcBorders>
            <w:shd w:val="clear" w:color="auto" w:fill="9494D4" w:themeFill="accent1" w:themeFillTint="99"/>
          </w:tcPr>
          <w:p w14:paraId="036C587C" w14:textId="015CF597" w:rsidR="007D73F5" w:rsidRDefault="007D73F5" w:rsidP="00444C23">
            <w:pPr>
              <w:pStyle w:val="BodyText"/>
            </w:pPr>
            <w:r>
              <w:t>Financial year ending</w:t>
            </w:r>
          </w:p>
        </w:tc>
        <w:tc>
          <w:tcPr>
            <w:tcW w:w="2545" w:type="dxa"/>
            <w:tcBorders>
              <w:bottom w:val="nil"/>
            </w:tcBorders>
            <w:shd w:val="clear" w:color="auto" w:fill="9494D4" w:themeFill="accent1" w:themeFillTint="99"/>
          </w:tcPr>
          <w:p w14:paraId="6E8B385A" w14:textId="39177013" w:rsidR="007D73F5" w:rsidRDefault="007D73F5" w:rsidP="007E0817">
            <w:pPr>
              <w:pStyle w:val="BodyText"/>
              <w:jc w:val="right"/>
            </w:pPr>
            <w:r>
              <w:t>Waste generated in Australia</w:t>
            </w:r>
          </w:p>
        </w:tc>
        <w:tc>
          <w:tcPr>
            <w:tcW w:w="2985" w:type="dxa"/>
            <w:gridSpan w:val="2"/>
            <w:tcBorders>
              <w:top w:val="single" w:sz="4" w:space="0" w:color="9494D4" w:themeColor="accent1" w:themeTint="99"/>
              <w:bottom w:val="nil"/>
            </w:tcBorders>
            <w:shd w:val="clear" w:color="auto" w:fill="9494D4" w:themeFill="accent1" w:themeFillTint="99"/>
            <w:vAlign w:val="center"/>
          </w:tcPr>
          <w:p w14:paraId="3DCC0E14" w14:textId="6B9C40C1" w:rsidR="007D73F5" w:rsidRDefault="007D73F5" w:rsidP="007E0817">
            <w:pPr>
              <w:pStyle w:val="BodyText"/>
              <w:jc w:val="right"/>
            </w:pPr>
            <w:r>
              <w:t>Waste exported from Australia</w:t>
            </w:r>
          </w:p>
        </w:tc>
        <w:tc>
          <w:tcPr>
            <w:tcW w:w="3118" w:type="dxa"/>
            <w:gridSpan w:val="2"/>
            <w:tcBorders>
              <w:top w:val="single" w:sz="4" w:space="0" w:color="9494D4" w:themeColor="accent1" w:themeTint="99"/>
              <w:bottom w:val="nil"/>
              <w:right w:val="single" w:sz="4" w:space="0" w:color="9494D4" w:themeColor="accent1" w:themeTint="99"/>
            </w:tcBorders>
            <w:shd w:val="clear" w:color="auto" w:fill="9494D4" w:themeFill="accent1" w:themeFillTint="99"/>
            <w:vAlign w:val="center"/>
          </w:tcPr>
          <w:p w14:paraId="66877CA3" w14:textId="1228A7C6" w:rsidR="007D73F5" w:rsidRDefault="007D73F5" w:rsidP="007E0817">
            <w:pPr>
              <w:pStyle w:val="BodyText"/>
              <w:jc w:val="right"/>
            </w:pPr>
            <w:r>
              <w:t>Waste imported to Australia</w:t>
            </w:r>
          </w:p>
        </w:tc>
      </w:tr>
      <w:tr w:rsidR="00CC0536" w14:paraId="2C535435" w14:textId="77777777" w:rsidTr="00B3320B">
        <w:tc>
          <w:tcPr>
            <w:tcW w:w="1128" w:type="dxa"/>
            <w:vMerge/>
            <w:tcBorders>
              <w:top w:val="nil"/>
            </w:tcBorders>
          </w:tcPr>
          <w:p w14:paraId="07FE9D91" w14:textId="77777777" w:rsidR="00CC0536" w:rsidRDefault="00CC0536" w:rsidP="00CC0536">
            <w:pPr>
              <w:pStyle w:val="BodyText"/>
            </w:pPr>
          </w:p>
        </w:tc>
        <w:tc>
          <w:tcPr>
            <w:tcW w:w="2545" w:type="dxa"/>
            <w:tcBorders>
              <w:top w:val="nil"/>
              <w:left w:val="single" w:sz="4" w:space="0" w:color="B7B7E2" w:themeColor="accent1" w:themeTint="66"/>
              <w:bottom w:val="single" w:sz="4" w:space="0" w:color="B7B7E2" w:themeColor="accent1" w:themeTint="66"/>
              <w:right w:val="single" w:sz="4" w:space="0" w:color="B7B7E2" w:themeColor="accent1" w:themeTint="66"/>
            </w:tcBorders>
            <w:shd w:val="clear" w:color="auto" w:fill="9494D4" w:themeFill="accent1" w:themeFillTint="99"/>
          </w:tcPr>
          <w:p w14:paraId="4DEF6E62" w14:textId="10BCBECB" w:rsidR="00CC0536" w:rsidRPr="00CC0536" w:rsidRDefault="00CC0536" w:rsidP="00CC0536">
            <w:pPr>
              <w:pStyle w:val="BodyText"/>
              <w:jc w:val="right"/>
              <w:rPr>
                <w:i/>
                <w:iCs/>
                <w:color w:val="FFFFFF" w:themeColor="background1"/>
                <w:sz w:val="18"/>
                <w:szCs w:val="20"/>
              </w:rPr>
            </w:pPr>
            <w:r w:rsidRPr="00CC0536">
              <w:rPr>
                <w:i/>
                <w:iCs/>
                <w:color w:val="FFFFFF" w:themeColor="background1"/>
                <w:sz w:val="18"/>
                <w:szCs w:val="20"/>
              </w:rPr>
              <w:t>(thousands of tonnes</w:t>
            </w:r>
            <w:r w:rsidRPr="00CC0536">
              <w:rPr>
                <w:rStyle w:val="FootnoteReference"/>
                <w:i/>
                <w:iCs/>
                <w:color w:val="FFFFFF" w:themeColor="background1"/>
                <w:sz w:val="18"/>
                <w:szCs w:val="20"/>
              </w:rPr>
              <w:footnoteReference w:id="13"/>
            </w:r>
            <w:r w:rsidRPr="00CC0536">
              <w:rPr>
                <w:i/>
                <w:iCs/>
                <w:color w:val="FFFFFF" w:themeColor="background1"/>
                <w:sz w:val="18"/>
                <w:szCs w:val="20"/>
              </w:rPr>
              <w:t>)</w:t>
            </w:r>
          </w:p>
        </w:tc>
        <w:tc>
          <w:tcPr>
            <w:tcW w:w="1851" w:type="dxa"/>
            <w:tcBorders>
              <w:top w:val="nil"/>
              <w:left w:val="single" w:sz="4" w:space="0" w:color="B7B7E2" w:themeColor="accent1" w:themeTint="66"/>
              <w:bottom w:val="single" w:sz="4" w:space="0" w:color="9494D4" w:themeColor="accent1" w:themeTint="99"/>
              <w:right w:val="single" w:sz="4" w:space="0" w:color="9494D4" w:themeColor="accent1" w:themeTint="99"/>
            </w:tcBorders>
            <w:shd w:val="clear" w:color="auto" w:fill="9494D4" w:themeFill="accent1" w:themeFillTint="99"/>
          </w:tcPr>
          <w:p w14:paraId="756A93F8" w14:textId="342FDFA3" w:rsidR="00CC0536" w:rsidRPr="00CC0536" w:rsidRDefault="00CC0536" w:rsidP="00CC0536">
            <w:pPr>
              <w:pStyle w:val="BodyText"/>
              <w:jc w:val="right"/>
              <w:rPr>
                <w:i/>
                <w:iCs/>
                <w:color w:val="FFFFFF" w:themeColor="background1"/>
                <w:sz w:val="18"/>
                <w:szCs w:val="20"/>
              </w:rPr>
            </w:pPr>
            <w:r w:rsidRPr="00CC0536">
              <w:rPr>
                <w:i/>
                <w:iCs/>
                <w:color w:val="FFFFFF" w:themeColor="background1"/>
                <w:sz w:val="18"/>
                <w:szCs w:val="20"/>
              </w:rPr>
              <w:t>(thousands of tonnes)</w:t>
            </w:r>
          </w:p>
        </w:tc>
        <w:tc>
          <w:tcPr>
            <w:tcW w:w="1134" w:type="dxa"/>
            <w:tcBorders>
              <w:top w:val="nil"/>
              <w:left w:val="single" w:sz="4" w:space="0" w:color="9494D4" w:themeColor="accent1" w:themeTint="99"/>
              <w:bottom w:val="single" w:sz="4" w:space="0" w:color="9494D4" w:themeColor="accent1" w:themeTint="99"/>
              <w:right w:val="single" w:sz="4" w:space="0" w:color="B7B7E2" w:themeColor="accent1" w:themeTint="66"/>
            </w:tcBorders>
            <w:shd w:val="clear" w:color="auto" w:fill="9494D4" w:themeFill="accent1" w:themeFillTint="99"/>
          </w:tcPr>
          <w:p w14:paraId="14BB804A" w14:textId="1F5D8973" w:rsidR="00CC0536" w:rsidRPr="00CC0536" w:rsidRDefault="00CC0536" w:rsidP="00CC0536">
            <w:pPr>
              <w:pStyle w:val="BodyText"/>
              <w:jc w:val="right"/>
              <w:rPr>
                <w:i/>
                <w:iCs/>
                <w:color w:val="FFFFFF" w:themeColor="background1"/>
                <w:sz w:val="18"/>
                <w:szCs w:val="20"/>
              </w:rPr>
            </w:pPr>
            <w:r w:rsidRPr="00CC0536">
              <w:rPr>
                <w:i/>
                <w:iCs/>
                <w:color w:val="FFFFFF" w:themeColor="background1"/>
                <w:sz w:val="18"/>
                <w:szCs w:val="20"/>
              </w:rPr>
              <w:t>($ millions)</w:t>
            </w:r>
          </w:p>
        </w:tc>
        <w:tc>
          <w:tcPr>
            <w:tcW w:w="1984" w:type="dxa"/>
            <w:tcBorders>
              <w:top w:val="nil"/>
              <w:left w:val="single" w:sz="4" w:space="0" w:color="B7B7E2" w:themeColor="accent1" w:themeTint="66"/>
              <w:bottom w:val="single" w:sz="4" w:space="0" w:color="9494D4" w:themeColor="accent1" w:themeTint="99"/>
              <w:right w:val="single" w:sz="4" w:space="0" w:color="9494D4" w:themeColor="accent1" w:themeTint="99"/>
            </w:tcBorders>
            <w:shd w:val="clear" w:color="auto" w:fill="9494D4" w:themeFill="accent1" w:themeFillTint="99"/>
          </w:tcPr>
          <w:p w14:paraId="78355FA3" w14:textId="0337DB62" w:rsidR="00CC0536" w:rsidRPr="00CC0536" w:rsidRDefault="00CC0536" w:rsidP="00CC0536">
            <w:pPr>
              <w:pStyle w:val="BodyText"/>
              <w:jc w:val="right"/>
              <w:rPr>
                <w:i/>
                <w:iCs/>
                <w:color w:val="FFFFFF" w:themeColor="background1"/>
                <w:sz w:val="18"/>
                <w:szCs w:val="20"/>
              </w:rPr>
            </w:pPr>
            <w:r w:rsidRPr="00CC0536">
              <w:rPr>
                <w:i/>
                <w:iCs/>
                <w:color w:val="FFFFFF" w:themeColor="background1"/>
                <w:sz w:val="18"/>
                <w:szCs w:val="20"/>
              </w:rPr>
              <w:t>(thousands of tonnes)</w:t>
            </w:r>
          </w:p>
        </w:tc>
        <w:tc>
          <w:tcPr>
            <w:tcW w:w="1134" w:type="dxa"/>
            <w:tcBorders>
              <w:top w:val="nil"/>
              <w:left w:val="single" w:sz="4" w:space="0" w:color="9494D4" w:themeColor="accent1" w:themeTint="99"/>
              <w:bottom w:val="single" w:sz="4" w:space="0" w:color="9494D4" w:themeColor="accent1" w:themeTint="99"/>
              <w:right w:val="single" w:sz="4" w:space="0" w:color="9494D4" w:themeColor="accent1" w:themeTint="99"/>
            </w:tcBorders>
            <w:shd w:val="clear" w:color="auto" w:fill="9494D4" w:themeFill="accent1" w:themeFillTint="99"/>
          </w:tcPr>
          <w:p w14:paraId="32A2D85E" w14:textId="694D91C5" w:rsidR="00CC0536" w:rsidRPr="00CC0536" w:rsidRDefault="00CC0536" w:rsidP="00CC0536">
            <w:pPr>
              <w:pStyle w:val="BodyText"/>
              <w:jc w:val="right"/>
              <w:rPr>
                <w:i/>
                <w:iCs/>
                <w:color w:val="FFFFFF" w:themeColor="background1"/>
                <w:sz w:val="18"/>
                <w:szCs w:val="20"/>
              </w:rPr>
            </w:pPr>
            <w:r w:rsidRPr="00CC0536">
              <w:rPr>
                <w:i/>
                <w:iCs/>
                <w:color w:val="FFFFFF" w:themeColor="background1"/>
                <w:sz w:val="18"/>
                <w:szCs w:val="20"/>
              </w:rPr>
              <w:t>($ millions)</w:t>
            </w:r>
          </w:p>
        </w:tc>
      </w:tr>
      <w:tr w:rsidR="00CC0536" w14:paraId="2E1E9848" w14:textId="77777777" w:rsidTr="739C43C6">
        <w:tc>
          <w:tcPr>
            <w:tcW w:w="1128" w:type="dxa"/>
            <w:tcBorders>
              <w:top w:val="single" w:sz="4" w:space="0" w:color="9494D4" w:themeColor="accent1" w:themeTint="99"/>
            </w:tcBorders>
          </w:tcPr>
          <w:p w14:paraId="0B8E8C12" w14:textId="0534BD71" w:rsidR="00DC2354" w:rsidRDefault="00DC2354" w:rsidP="00444C23">
            <w:pPr>
              <w:pStyle w:val="BodyText"/>
            </w:pPr>
            <w:r>
              <w:t>2017</w:t>
            </w:r>
          </w:p>
        </w:tc>
        <w:tc>
          <w:tcPr>
            <w:tcW w:w="2545" w:type="dxa"/>
            <w:tcBorders>
              <w:top w:val="single" w:sz="4" w:space="0" w:color="B7B7E2" w:themeColor="accent1" w:themeTint="66"/>
            </w:tcBorders>
          </w:tcPr>
          <w:p w14:paraId="76A04C34" w14:textId="4DCE33E7" w:rsidR="00DC2354" w:rsidRDefault="003415B3" w:rsidP="007E0817">
            <w:pPr>
              <w:pStyle w:val="BodyText"/>
              <w:jc w:val="right"/>
            </w:pPr>
            <w:r>
              <w:t>69,000</w:t>
            </w:r>
          </w:p>
        </w:tc>
        <w:tc>
          <w:tcPr>
            <w:tcW w:w="1851" w:type="dxa"/>
            <w:tcBorders>
              <w:top w:val="single" w:sz="4" w:space="0" w:color="9494D4" w:themeColor="accent1" w:themeTint="99"/>
            </w:tcBorders>
          </w:tcPr>
          <w:p w14:paraId="7E985388" w14:textId="5B587BBA" w:rsidR="00DC2354" w:rsidRPr="00AA5DBE" w:rsidRDefault="00AA5DBE" w:rsidP="007E0817">
            <w:pPr>
              <w:pStyle w:val="BodyText"/>
              <w:jc w:val="right"/>
            </w:pPr>
            <w:r>
              <w:t>4,</w:t>
            </w:r>
            <w:r w:rsidR="00B902EC">
              <w:t>00</w:t>
            </w:r>
            <w:r>
              <w:t>0</w:t>
            </w:r>
          </w:p>
        </w:tc>
        <w:tc>
          <w:tcPr>
            <w:tcW w:w="1134" w:type="dxa"/>
            <w:tcBorders>
              <w:top w:val="single" w:sz="4" w:space="0" w:color="9494D4" w:themeColor="accent1" w:themeTint="99"/>
            </w:tcBorders>
          </w:tcPr>
          <w:p w14:paraId="34C9974C" w14:textId="7DC85122" w:rsidR="00DC2354" w:rsidRPr="00AA5DBE" w:rsidRDefault="00AA5DBE" w:rsidP="007E0817">
            <w:pPr>
              <w:pStyle w:val="BodyText"/>
              <w:jc w:val="right"/>
            </w:pPr>
            <w:r>
              <w:t>$2,</w:t>
            </w:r>
            <w:r w:rsidR="00B902EC">
              <w:t>62</w:t>
            </w:r>
            <w:r>
              <w:t>0</w:t>
            </w:r>
          </w:p>
        </w:tc>
        <w:tc>
          <w:tcPr>
            <w:tcW w:w="1984" w:type="dxa"/>
            <w:tcBorders>
              <w:top w:val="single" w:sz="4" w:space="0" w:color="9494D4" w:themeColor="accent1" w:themeTint="99"/>
            </w:tcBorders>
          </w:tcPr>
          <w:p w14:paraId="34BE0112" w14:textId="425601A3" w:rsidR="00DC2354" w:rsidRDefault="00356499" w:rsidP="007E0817">
            <w:pPr>
              <w:pStyle w:val="BodyText"/>
              <w:jc w:val="right"/>
            </w:pPr>
            <w:r>
              <w:t>21</w:t>
            </w:r>
            <w:r w:rsidR="245D447C">
              <w:t>7</w:t>
            </w:r>
          </w:p>
        </w:tc>
        <w:tc>
          <w:tcPr>
            <w:tcW w:w="1134" w:type="dxa"/>
            <w:tcBorders>
              <w:top w:val="single" w:sz="4" w:space="0" w:color="9494D4" w:themeColor="accent1" w:themeTint="99"/>
            </w:tcBorders>
          </w:tcPr>
          <w:p w14:paraId="783BEDCC" w14:textId="7889B210" w:rsidR="00DC2354" w:rsidRDefault="003415B3" w:rsidP="007E0817">
            <w:pPr>
              <w:pStyle w:val="BodyText"/>
              <w:jc w:val="right"/>
            </w:pPr>
            <w:r>
              <w:t>$</w:t>
            </w:r>
            <w:r w:rsidR="00356499">
              <w:t>1</w:t>
            </w:r>
            <w:r w:rsidR="464B16EE">
              <w:t>00</w:t>
            </w:r>
          </w:p>
        </w:tc>
      </w:tr>
      <w:tr w:rsidR="00CC0536" w14:paraId="3AE2E5C9" w14:textId="77777777" w:rsidTr="739C43C6">
        <w:tc>
          <w:tcPr>
            <w:tcW w:w="1128" w:type="dxa"/>
          </w:tcPr>
          <w:p w14:paraId="12D918A8" w14:textId="55C6D4E3" w:rsidR="00DC2354" w:rsidRDefault="00DC2354" w:rsidP="00444C23">
            <w:pPr>
              <w:pStyle w:val="BodyText"/>
            </w:pPr>
            <w:r>
              <w:t>2018</w:t>
            </w:r>
          </w:p>
        </w:tc>
        <w:tc>
          <w:tcPr>
            <w:tcW w:w="2545" w:type="dxa"/>
          </w:tcPr>
          <w:p w14:paraId="2D93AE04" w14:textId="501196AC" w:rsidR="00DC2354" w:rsidRDefault="003415B3" w:rsidP="007E0817">
            <w:pPr>
              <w:pStyle w:val="BodyText"/>
              <w:jc w:val="right"/>
            </w:pPr>
            <w:r>
              <w:t>73,000</w:t>
            </w:r>
          </w:p>
        </w:tc>
        <w:tc>
          <w:tcPr>
            <w:tcW w:w="1851" w:type="dxa"/>
          </w:tcPr>
          <w:p w14:paraId="158796CA" w14:textId="5F59B2B8" w:rsidR="00DC2354" w:rsidRDefault="00356499" w:rsidP="007E0817">
            <w:pPr>
              <w:pStyle w:val="BodyText"/>
              <w:jc w:val="right"/>
            </w:pPr>
            <w:r>
              <w:t>4,</w:t>
            </w:r>
            <w:r w:rsidR="00B902EC">
              <w:t>19</w:t>
            </w:r>
            <w:r>
              <w:t>0</w:t>
            </w:r>
          </w:p>
        </w:tc>
        <w:tc>
          <w:tcPr>
            <w:tcW w:w="1134" w:type="dxa"/>
          </w:tcPr>
          <w:p w14:paraId="0DB073DD" w14:textId="612B2754" w:rsidR="00DC2354" w:rsidRDefault="003415B3" w:rsidP="007E0817">
            <w:pPr>
              <w:pStyle w:val="BodyText"/>
              <w:jc w:val="right"/>
            </w:pPr>
            <w:r>
              <w:t>$2,</w:t>
            </w:r>
            <w:r w:rsidR="00B902EC">
              <w:t>69</w:t>
            </w:r>
            <w:r w:rsidR="00556298">
              <w:t>0</w:t>
            </w:r>
          </w:p>
        </w:tc>
        <w:tc>
          <w:tcPr>
            <w:tcW w:w="1984" w:type="dxa"/>
          </w:tcPr>
          <w:p w14:paraId="4559ACC4" w14:textId="55810693" w:rsidR="00DC2354" w:rsidRDefault="003415B3" w:rsidP="007E0817">
            <w:pPr>
              <w:pStyle w:val="BodyText"/>
              <w:jc w:val="right"/>
            </w:pPr>
            <w:r>
              <w:t>2</w:t>
            </w:r>
            <w:r w:rsidR="00356499">
              <w:t>4</w:t>
            </w:r>
            <w:r w:rsidR="4CAD4C5F">
              <w:t>3</w:t>
            </w:r>
          </w:p>
        </w:tc>
        <w:tc>
          <w:tcPr>
            <w:tcW w:w="1134" w:type="dxa"/>
          </w:tcPr>
          <w:p w14:paraId="1C45BFFC" w14:textId="0153D5AA" w:rsidR="00DC2354" w:rsidRDefault="003415B3" w:rsidP="007E0817">
            <w:pPr>
              <w:pStyle w:val="BodyText"/>
              <w:jc w:val="right"/>
            </w:pPr>
            <w:r>
              <w:t>$</w:t>
            </w:r>
            <w:r w:rsidR="00356499">
              <w:t>1</w:t>
            </w:r>
            <w:r w:rsidR="3C88D0D7">
              <w:t>32</w:t>
            </w:r>
          </w:p>
        </w:tc>
      </w:tr>
      <w:tr w:rsidR="00CC0536" w14:paraId="3C8C9EB0" w14:textId="77777777" w:rsidTr="739C43C6">
        <w:tc>
          <w:tcPr>
            <w:tcW w:w="1128" w:type="dxa"/>
          </w:tcPr>
          <w:p w14:paraId="34BD4707" w14:textId="3C799CC8" w:rsidR="00DC2354" w:rsidRDefault="00DC2354" w:rsidP="00444C23">
            <w:pPr>
              <w:pStyle w:val="BodyText"/>
            </w:pPr>
            <w:r>
              <w:t>2019</w:t>
            </w:r>
          </w:p>
        </w:tc>
        <w:tc>
          <w:tcPr>
            <w:tcW w:w="2545" w:type="dxa"/>
          </w:tcPr>
          <w:p w14:paraId="5C5AB7D3" w14:textId="74B15285" w:rsidR="00DC2354" w:rsidRDefault="003415B3" w:rsidP="007E0817">
            <w:pPr>
              <w:pStyle w:val="BodyText"/>
              <w:jc w:val="right"/>
            </w:pPr>
            <w:r>
              <w:t>74,100</w:t>
            </w:r>
          </w:p>
        </w:tc>
        <w:tc>
          <w:tcPr>
            <w:tcW w:w="1851" w:type="dxa"/>
          </w:tcPr>
          <w:p w14:paraId="1F4B0327" w14:textId="4B2C5DCA" w:rsidR="00DC2354" w:rsidRDefault="00356499" w:rsidP="007E0817">
            <w:pPr>
              <w:pStyle w:val="BodyText"/>
              <w:jc w:val="right"/>
            </w:pPr>
            <w:r>
              <w:t>4,</w:t>
            </w:r>
            <w:r w:rsidR="00B902EC">
              <w:t>24</w:t>
            </w:r>
            <w:r w:rsidR="00AA5DBE">
              <w:t>0</w:t>
            </w:r>
          </w:p>
        </w:tc>
        <w:tc>
          <w:tcPr>
            <w:tcW w:w="1134" w:type="dxa"/>
          </w:tcPr>
          <w:p w14:paraId="1BC4BF6B" w14:textId="7711456E" w:rsidR="00DC2354" w:rsidRDefault="003415B3" w:rsidP="007E0817">
            <w:pPr>
              <w:pStyle w:val="BodyText"/>
              <w:jc w:val="right"/>
            </w:pPr>
            <w:r>
              <w:t>$</w:t>
            </w:r>
            <w:r w:rsidR="00B902EC">
              <w:t>2</w:t>
            </w:r>
            <w:r>
              <w:t>,</w:t>
            </w:r>
            <w:r w:rsidR="00B902EC">
              <w:t>98</w:t>
            </w:r>
            <w:r w:rsidR="00AA5DBE">
              <w:t>0</w:t>
            </w:r>
          </w:p>
        </w:tc>
        <w:tc>
          <w:tcPr>
            <w:tcW w:w="1984" w:type="dxa"/>
          </w:tcPr>
          <w:p w14:paraId="65F033F3" w14:textId="08389C06" w:rsidR="00DC2354" w:rsidRDefault="003415B3" w:rsidP="007E0817">
            <w:pPr>
              <w:pStyle w:val="BodyText"/>
              <w:jc w:val="right"/>
            </w:pPr>
            <w:r>
              <w:t>2</w:t>
            </w:r>
            <w:r w:rsidR="00356499">
              <w:t>4</w:t>
            </w:r>
            <w:r w:rsidR="011576D2">
              <w:t>5</w:t>
            </w:r>
          </w:p>
        </w:tc>
        <w:tc>
          <w:tcPr>
            <w:tcW w:w="1134" w:type="dxa"/>
          </w:tcPr>
          <w:p w14:paraId="4B05E770" w14:textId="189EAD5F" w:rsidR="00DC2354" w:rsidRDefault="003415B3" w:rsidP="007E0817">
            <w:pPr>
              <w:pStyle w:val="BodyText"/>
              <w:jc w:val="right"/>
            </w:pPr>
            <w:r>
              <w:t>$</w:t>
            </w:r>
            <w:r w:rsidR="00356499">
              <w:t>1</w:t>
            </w:r>
            <w:r w:rsidR="3E67D18D">
              <w:t>21</w:t>
            </w:r>
          </w:p>
        </w:tc>
      </w:tr>
      <w:tr w:rsidR="00CC0536" w14:paraId="23097CDB" w14:textId="77777777" w:rsidTr="739C43C6">
        <w:tc>
          <w:tcPr>
            <w:tcW w:w="1128" w:type="dxa"/>
          </w:tcPr>
          <w:p w14:paraId="45EBD09C" w14:textId="287AAD01" w:rsidR="00DC2354" w:rsidRDefault="00DC2354" w:rsidP="00444C23">
            <w:pPr>
              <w:pStyle w:val="BodyText"/>
            </w:pPr>
            <w:r>
              <w:t>2021</w:t>
            </w:r>
          </w:p>
        </w:tc>
        <w:tc>
          <w:tcPr>
            <w:tcW w:w="2545" w:type="dxa"/>
          </w:tcPr>
          <w:p w14:paraId="02AEC3D9" w14:textId="30B79307" w:rsidR="00DC2354" w:rsidRPr="008F63A4" w:rsidRDefault="003415B3" w:rsidP="007E0817">
            <w:pPr>
              <w:pStyle w:val="BodyText"/>
              <w:jc w:val="right"/>
              <w:rPr>
                <w:i/>
                <w:iCs/>
              </w:rPr>
            </w:pPr>
            <w:r w:rsidRPr="008F63A4">
              <w:rPr>
                <w:i/>
                <w:iCs/>
              </w:rPr>
              <w:t>Data unavailable</w:t>
            </w:r>
          </w:p>
        </w:tc>
        <w:tc>
          <w:tcPr>
            <w:tcW w:w="1851" w:type="dxa"/>
          </w:tcPr>
          <w:p w14:paraId="059C00C7" w14:textId="71FEB65C" w:rsidR="00DC2354" w:rsidRDefault="00B902EC" w:rsidP="007E0817">
            <w:pPr>
              <w:pStyle w:val="BodyText"/>
              <w:jc w:val="right"/>
            </w:pPr>
            <w:r>
              <w:t>3</w:t>
            </w:r>
            <w:r w:rsidR="00AA5DBE">
              <w:t>,</w:t>
            </w:r>
            <w:r>
              <w:t>87</w:t>
            </w:r>
            <w:r w:rsidR="00AA5DBE">
              <w:t>0</w:t>
            </w:r>
          </w:p>
        </w:tc>
        <w:tc>
          <w:tcPr>
            <w:tcW w:w="1134" w:type="dxa"/>
          </w:tcPr>
          <w:p w14:paraId="4CD67476" w14:textId="3DB02585" w:rsidR="00DC2354" w:rsidRDefault="00CE1B23" w:rsidP="007E0817">
            <w:pPr>
              <w:pStyle w:val="BodyText"/>
              <w:jc w:val="right"/>
            </w:pPr>
            <w:r>
              <w:t>$</w:t>
            </w:r>
            <w:r w:rsidR="00B902EC">
              <w:t>2</w:t>
            </w:r>
            <w:r w:rsidR="00556298">
              <w:t>,</w:t>
            </w:r>
            <w:r w:rsidR="00B902EC">
              <w:t>98</w:t>
            </w:r>
            <w:r w:rsidR="00556298">
              <w:t>0</w:t>
            </w:r>
          </w:p>
        </w:tc>
        <w:tc>
          <w:tcPr>
            <w:tcW w:w="1984" w:type="dxa"/>
          </w:tcPr>
          <w:p w14:paraId="5A3EBD1B" w14:textId="1A6DC458" w:rsidR="00DC2354" w:rsidRDefault="15A00A95" w:rsidP="007E0817">
            <w:pPr>
              <w:pStyle w:val="BodyText"/>
              <w:jc w:val="right"/>
            </w:pPr>
            <w:r>
              <w:t>199</w:t>
            </w:r>
          </w:p>
        </w:tc>
        <w:tc>
          <w:tcPr>
            <w:tcW w:w="1134" w:type="dxa"/>
          </w:tcPr>
          <w:p w14:paraId="33E99518" w14:textId="00122B9B" w:rsidR="00DC2354" w:rsidRDefault="00A21450" w:rsidP="007E0817">
            <w:pPr>
              <w:pStyle w:val="BodyText"/>
              <w:jc w:val="right"/>
            </w:pPr>
            <w:r>
              <w:t>$</w:t>
            </w:r>
            <w:r w:rsidR="00356499">
              <w:t>1</w:t>
            </w:r>
            <w:r w:rsidR="1F4C28D9">
              <w:t>40</w:t>
            </w:r>
          </w:p>
        </w:tc>
      </w:tr>
      <w:bookmarkEnd w:id="13"/>
    </w:tbl>
    <w:p w14:paraId="4AD269C2" w14:textId="1E6A6381" w:rsidR="003A3BCA" w:rsidRPr="00612AD8" w:rsidRDefault="003A3BCA" w:rsidP="00B3320B">
      <w:pPr>
        <w:pStyle w:val="BodyText"/>
      </w:pPr>
    </w:p>
    <w:sectPr w:rsidR="003A3BCA" w:rsidRPr="00612AD8" w:rsidSect="00444C23">
      <w:headerReference w:type="default" r:id="rId20"/>
      <w:footerReference w:type="default" r:id="rId21"/>
      <w:pgSz w:w="11906" w:h="16838" w:code="9"/>
      <w:pgMar w:top="1418" w:right="907" w:bottom="964" w:left="124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8BD8" w14:textId="77777777" w:rsidR="00903292" w:rsidRDefault="00903292" w:rsidP="00547C1A">
      <w:r>
        <w:separator/>
      </w:r>
    </w:p>
  </w:endnote>
  <w:endnote w:type="continuationSeparator" w:id="0">
    <w:p w14:paraId="75BFB69F" w14:textId="77777777" w:rsidR="00903292" w:rsidRDefault="00903292" w:rsidP="0054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rPr>
      <w:id w:val="-1716426446"/>
      <w:docPartObj>
        <w:docPartGallery w:val="Page Numbers (Bottom of Page)"/>
        <w:docPartUnique/>
      </w:docPartObj>
    </w:sdtPr>
    <w:sdtEndPr>
      <w:rPr>
        <w:noProof/>
      </w:rPr>
    </w:sdtEndPr>
    <w:sdtContent>
      <w:p w14:paraId="690B76E6" w14:textId="21CCD3A5" w:rsidR="00231497" w:rsidRPr="00A71209" w:rsidRDefault="00231497">
        <w:pPr>
          <w:pStyle w:val="Footer"/>
          <w:jc w:val="center"/>
          <w:rPr>
            <w:rFonts w:asciiTheme="minorHAnsi" w:hAnsiTheme="minorHAnsi" w:cstheme="minorHAnsi"/>
            <w:sz w:val="18"/>
          </w:rPr>
        </w:pPr>
        <w:r w:rsidRPr="00A71209">
          <w:rPr>
            <w:rFonts w:asciiTheme="minorHAnsi" w:hAnsiTheme="minorHAnsi" w:cstheme="minorHAnsi"/>
            <w:sz w:val="18"/>
          </w:rPr>
          <w:t xml:space="preserve">Page </w:t>
        </w:r>
        <w:r w:rsidRPr="00A71209">
          <w:rPr>
            <w:rFonts w:asciiTheme="minorHAnsi" w:hAnsiTheme="minorHAnsi" w:cstheme="minorHAnsi"/>
            <w:sz w:val="18"/>
          </w:rPr>
          <w:fldChar w:fldCharType="begin"/>
        </w:r>
        <w:r w:rsidRPr="00A71209">
          <w:rPr>
            <w:rFonts w:asciiTheme="minorHAnsi" w:hAnsiTheme="minorHAnsi" w:cstheme="minorHAnsi"/>
            <w:sz w:val="18"/>
          </w:rPr>
          <w:instrText xml:space="preserve"> PAGE   \* MERGEFORMAT </w:instrText>
        </w:r>
        <w:r w:rsidRPr="00A71209">
          <w:rPr>
            <w:rFonts w:asciiTheme="minorHAnsi" w:hAnsiTheme="minorHAnsi" w:cstheme="minorHAnsi"/>
            <w:sz w:val="18"/>
          </w:rPr>
          <w:fldChar w:fldCharType="separate"/>
        </w:r>
        <w:r>
          <w:rPr>
            <w:rFonts w:asciiTheme="minorHAnsi" w:hAnsiTheme="minorHAnsi" w:cstheme="minorHAnsi"/>
            <w:noProof/>
            <w:sz w:val="18"/>
          </w:rPr>
          <w:t>1</w:t>
        </w:r>
        <w:r w:rsidRPr="00A71209">
          <w:rPr>
            <w:rFonts w:asciiTheme="minorHAnsi" w:hAnsiTheme="minorHAnsi" w:cstheme="minorHAnsi"/>
            <w:noProof/>
            <w:sz w:val="18"/>
          </w:rPr>
          <w:fldChar w:fldCharType="end"/>
        </w:r>
      </w:p>
    </w:sdtContent>
  </w:sdt>
  <w:p w14:paraId="7444963F" w14:textId="1C80880B" w:rsidR="00231497" w:rsidRPr="00305B22" w:rsidRDefault="00231497" w:rsidP="00305B22">
    <w:pPr>
      <w:pStyle w:val="Footer"/>
      <w:pBdr>
        <w:top w:val="none" w:sz="0" w:space="0" w:color="auto"/>
      </w:pBdr>
      <w:rPr>
        <w:rStyle w:val="PageNumber"/>
        <w:rFonts w:ascii="Arial" w:hAnsi="Arial"/>
        <w:b w:val="0"/>
        <w:color w:val="7F7F7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3EDD" w14:textId="77777777" w:rsidR="00903292" w:rsidRPr="00477147" w:rsidRDefault="00903292" w:rsidP="00547C1A">
      <w:pPr>
        <w:rPr>
          <w:color w:val="4D4DB8" w:themeColor="accent1"/>
        </w:rPr>
      </w:pPr>
      <w:bookmarkStart w:id="0" w:name="_Hlk487465832"/>
      <w:bookmarkEnd w:id="0"/>
      <w:r w:rsidRPr="00477147">
        <w:rPr>
          <w:color w:val="4D4DB8" w:themeColor="accent1"/>
        </w:rPr>
        <w:separator/>
      </w:r>
    </w:p>
  </w:footnote>
  <w:footnote w:type="continuationSeparator" w:id="0">
    <w:p w14:paraId="64E6FB9C" w14:textId="77777777" w:rsidR="00903292" w:rsidRDefault="00903292" w:rsidP="00547C1A">
      <w:r>
        <w:continuationSeparator/>
      </w:r>
    </w:p>
  </w:footnote>
  <w:footnote w:id="1">
    <w:p w14:paraId="6D63997E" w14:textId="7BE1966C" w:rsidR="00231497" w:rsidRDefault="00231497" w:rsidP="00444C23">
      <w:pPr>
        <w:pStyle w:val="FootnoteText"/>
        <w:spacing w:after="60"/>
      </w:pPr>
      <w:r>
        <w:rPr>
          <w:rStyle w:val="FootnoteReference"/>
        </w:rPr>
        <w:footnoteRef/>
      </w:r>
      <w:r>
        <w:t xml:space="preserve"> The </w:t>
      </w:r>
      <w:r w:rsidR="00FC2738">
        <w:t>import</w:t>
      </w:r>
      <w:r>
        <w:t xml:space="preserve"> codes mapped to waste and recovered materials </w:t>
      </w:r>
      <w:r w:rsidR="00E748FA">
        <w:t xml:space="preserve">were updated </w:t>
      </w:r>
      <w:r>
        <w:t xml:space="preserve">in 2020-21. Details are given in the accompanying workbook (under ‘Ref lists’). The historical data presented here has been updated. </w:t>
      </w:r>
    </w:p>
  </w:footnote>
  <w:footnote w:id="2">
    <w:p w14:paraId="5B3B1EA6" w14:textId="77777777" w:rsidR="00ED5F95" w:rsidRDefault="00ED5F95" w:rsidP="00ED5F95">
      <w:pPr>
        <w:pStyle w:val="FootnoteText"/>
        <w:spacing w:after="60"/>
      </w:pPr>
      <w:r>
        <w:rPr>
          <w:rStyle w:val="FootnoteReference"/>
        </w:rPr>
        <w:footnoteRef/>
      </w:r>
      <w:r>
        <w:t xml:space="preserve"> Dollar values refer to Australian dollars. Historical values are inflated based on the annualised consumer price index.</w:t>
      </w:r>
    </w:p>
  </w:footnote>
  <w:footnote w:id="3">
    <w:p w14:paraId="48D71207" w14:textId="1854B335" w:rsidR="00A613E2" w:rsidRDefault="00A613E2" w:rsidP="00444C23">
      <w:pPr>
        <w:pStyle w:val="FootnoteText"/>
        <w:spacing w:after="60"/>
      </w:pPr>
      <w:r>
        <w:rPr>
          <w:rStyle w:val="FootnoteReference"/>
        </w:rPr>
        <w:footnoteRef/>
      </w:r>
      <w:r>
        <w:t xml:space="preserve"> These reports are available from </w:t>
      </w:r>
      <w:hyperlink r:id="rId1" w:history="1">
        <w:r w:rsidRPr="00C54B83">
          <w:rPr>
            <w:rStyle w:val="Hyperlink"/>
            <w:sz w:val="18"/>
          </w:rPr>
          <w:t>http://www.environment.gov.au/protection/waste/publications</w:t>
        </w:r>
      </w:hyperlink>
      <w:r w:rsidR="00E748FA">
        <w:rPr>
          <w:rStyle w:val="Hyperlink"/>
          <w:sz w:val="18"/>
        </w:rPr>
        <w:t>.</w:t>
      </w:r>
      <w:r>
        <w:t xml:space="preserve"> </w:t>
      </w:r>
    </w:p>
  </w:footnote>
  <w:footnote w:id="4">
    <w:p w14:paraId="0B6975DF" w14:textId="32098292" w:rsidR="00876427" w:rsidRPr="00A613E2" w:rsidRDefault="00876427" w:rsidP="00444C23">
      <w:pPr>
        <w:pStyle w:val="FootnoteText"/>
        <w:spacing w:after="60"/>
        <w:rPr>
          <w:lang w:val="en-US"/>
        </w:rPr>
      </w:pPr>
      <w:r>
        <w:rPr>
          <w:rStyle w:val="FootnoteReference"/>
        </w:rPr>
        <w:footnoteRef/>
      </w:r>
      <w:r>
        <w:t xml:space="preserve"> </w:t>
      </w:r>
      <w:r w:rsidR="00E748FA">
        <w:t>There is some uncertainty involved in mapping import trade codes to wastes, especially for primary production wastes and by-products, and for trade codes that may be mixes of waste and non-waste material.</w:t>
      </w:r>
    </w:p>
  </w:footnote>
  <w:footnote w:id="5">
    <w:p w14:paraId="1610FBAD" w14:textId="141A3AB4" w:rsidR="00444C23" w:rsidRPr="00444C23" w:rsidRDefault="00444C23" w:rsidP="00444C23">
      <w:pPr>
        <w:pStyle w:val="FootnoteText"/>
        <w:spacing w:after="60"/>
        <w:rPr>
          <w:lang w:val="en-US"/>
        </w:rPr>
      </w:pPr>
      <w:r>
        <w:rPr>
          <w:rStyle w:val="FootnoteReference"/>
        </w:rPr>
        <w:footnoteRef/>
      </w:r>
      <w:r>
        <w:t xml:space="preserve"> The description of this code is ‘</w:t>
      </w:r>
      <w:r w:rsidRPr="00EA2AC6">
        <w:rPr>
          <w:i/>
          <w:iCs/>
        </w:rPr>
        <w:t>Slag and ash, n</w:t>
      </w:r>
      <w:r w:rsidR="00EA2AC6" w:rsidRPr="00EA2AC6">
        <w:rPr>
          <w:i/>
          <w:iCs/>
        </w:rPr>
        <w:t xml:space="preserve">ot </w:t>
      </w:r>
      <w:r w:rsidRPr="00EA2AC6">
        <w:rPr>
          <w:i/>
          <w:iCs/>
        </w:rPr>
        <w:t>e</w:t>
      </w:r>
      <w:r w:rsidR="00EA2AC6" w:rsidRPr="00EA2AC6">
        <w:rPr>
          <w:i/>
          <w:iCs/>
        </w:rPr>
        <w:t xml:space="preserve">lsewhere </w:t>
      </w:r>
      <w:r w:rsidRPr="00EA2AC6">
        <w:rPr>
          <w:i/>
          <w:iCs/>
        </w:rPr>
        <w:t>s</w:t>
      </w:r>
      <w:r w:rsidR="00EA2AC6" w:rsidRPr="00EA2AC6">
        <w:rPr>
          <w:i/>
          <w:iCs/>
        </w:rPr>
        <w:t>pecified</w:t>
      </w:r>
      <w:r w:rsidRPr="00EA2AC6">
        <w:rPr>
          <w:i/>
          <w:iCs/>
        </w:rPr>
        <w:t xml:space="preserve"> (incl</w:t>
      </w:r>
      <w:r w:rsidR="00EA2AC6" w:rsidRPr="00EA2AC6">
        <w:rPr>
          <w:i/>
          <w:iCs/>
        </w:rPr>
        <w:t>uding</w:t>
      </w:r>
      <w:r w:rsidRPr="00EA2AC6">
        <w:rPr>
          <w:i/>
          <w:iCs/>
        </w:rPr>
        <w:t xml:space="preserve"> seaweed ash (kelp)) (excl</w:t>
      </w:r>
      <w:r w:rsidR="00EA2AC6" w:rsidRPr="00EA2AC6">
        <w:rPr>
          <w:i/>
          <w:iCs/>
        </w:rPr>
        <w:t>uding</w:t>
      </w:r>
      <w:r w:rsidRPr="00EA2AC6">
        <w:rPr>
          <w:i/>
          <w:iCs/>
        </w:rPr>
        <w:t xml:space="preserve"> ash and residues from the incineration of municipal waste and those of HS 2618, HS 2619 or HS 2620)</w:t>
      </w:r>
      <w:r>
        <w:t xml:space="preserve">’. It </w:t>
      </w:r>
      <w:r w:rsidR="00EA2AC6">
        <w:t>was previously</w:t>
      </w:r>
      <w:r>
        <w:t xml:space="preserve"> mapped to ‘ash’ and is referred to as </w:t>
      </w:r>
      <w:r w:rsidR="00EA2AC6">
        <w:t>such</w:t>
      </w:r>
      <w:r>
        <w:t xml:space="preserve"> throughout this document</w:t>
      </w:r>
      <w:r w:rsidR="00EA2AC6">
        <w:t>. T</w:t>
      </w:r>
      <w:r>
        <w:t>he large quantities imported</w:t>
      </w:r>
      <w:r w:rsidR="00EA2AC6">
        <w:t xml:space="preserve"> calls this mapping into question – it may be</w:t>
      </w:r>
      <w:r w:rsidR="00B9044C">
        <w:t xml:space="preserve"> mostly</w:t>
      </w:r>
      <w:r w:rsidR="00EA2AC6">
        <w:t xml:space="preserve"> a type of </w:t>
      </w:r>
      <w:r>
        <w:t>slag.</w:t>
      </w:r>
    </w:p>
  </w:footnote>
  <w:footnote w:id="6">
    <w:p w14:paraId="47054332" w14:textId="2BB20FCD" w:rsidR="00AD2824" w:rsidRDefault="00AD2824" w:rsidP="00C01501">
      <w:pPr>
        <w:pStyle w:val="FootnoteText"/>
        <w:spacing w:after="60"/>
      </w:pPr>
      <w:r>
        <w:rPr>
          <w:rStyle w:val="FootnoteReference"/>
        </w:rPr>
        <w:footnoteRef/>
      </w:r>
      <w:r>
        <w:t xml:space="preserve"> The Rubbish Trip (2018) </w:t>
      </w:r>
      <w:hyperlink r:id="rId2" w:history="1">
        <w:r w:rsidRPr="00AD2824">
          <w:rPr>
            <w:rStyle w:val="Hyperlink"/>
            <w:sz w:val="18"/>
          </w:rPr>
          <w:t>Sometimes smashing, sometimes crushing: The story of glass in New Zealand</w:t>
        </w:r>
      </w:hyperlink>
      <w:r>
        <w:t>.</w:t>
      </w:r>
    </w:p>
  </w:footnote>
  <w:footnote w:id="7">
    <w:p w14:paraId="2F604566" w14:textId="6CEBCC31" w:rsidR="0019414B" w:rsidRDefault="0019414B" w:rsidP="00C01501">
      <w:pPr>
        <w:pStyle w:val="FootnoteText"/>
        <w:spacing w:after="60"/>
      </w:pPr>
      <w:r>
        <w:rPr>
          <w:rStyle w:val="FootnoteReference"/>
        </w:rPr>
        <w:footnoteRef/>
      </w:r>
      <w:r>
        <w:t xml:space="preserve"> Visy (2020) </w:t>
      </w:r>
      <w:hyperlink r:id="rId3" w:history="1">
        <w:r w:rsidRPr="0019414B">
          <w:rPr>
            <w:rStyle w:val="Hyperlink"/>
            <w:sz w:val="18"/>
          </w:rPr>
          <w:t>Visy acquires glass manufacturing business</w:t>
        </w:r>
      </w:hyperlink>
      <w:r>
        <w:t>.</w:t>
      </w:r>
    </w:p>
  </w:footnote>
  <w:footnote w:id="8">
    <w:p w14:paraId="2F2DDF15" w14:textId="55D9AA7C" w:rsidR="00B9044C" w:rsidRPr="00B9044C" w:rsidRDefault="00B9044C" w:rsidP="00C01501">
      <w:pPr>
        <w:pStyle w:val="FootnoteText"/>
        <w:spacing w:after="60"/>
        <w:rPr>
          <w:lang w:val="en-US"/>
        </w:rPr>
      </w:pPr>
      <w:r>
        <w:rPr>
          <w:rStyle w:val="FootnoteReference"/>
        </w:rPr>
        <w:footnoteRef/>
      </w:r>
      <w:r>
        <w:t xml:space="preserve"> </w:t>
      </w:r>
      <w:r w:rsidR="00C01501">
        <w:t>This is fibre</w:t>
      </w:r>
      <w:r w:rsidR="00A00FA3">
        <w:t xml:space="preserve"> pulp manufactured by </w:t>
      </w:r>
      <w:r w:rsidR="000571D1">
        <w:t>grinding or similar</w:t>
      </w:r>
      <w:r w:rsidR="00C01501">
        <w:t xml:space="preserve"> mechanical </w:t>
      </w:r>
      <w:r w:rsidR="000571D1">
        <w:t xml:space="preserve">processes, </w:t>
      </w:r>
      <w:r w:rsidR="00C01501">
        <w:t xml:space="preserve">rather than </w:t>
      </w:r>
      <w:r w:rsidR="00A00FA3">
        <w:t xml:space="preserve">by </w:t>
      </w:r>
      <w:r w:rsidR="00C01501">
        <w:t xml:space="preserve">chemical </w:t>
      </w:r>
      <w:r w:rsidR="000571D1">
        <w:t>treatment</w:t>
      </w:r>
      <w:r w:rsidR="00C01501">
        <w:t xml:space="preserve">. </w:t>
      </w:r>
      <w:r w:rsidR="000571D1">
        <w:t xml:space="preserve">Imports in this category will be primarily </w:t>
      </w:r>
      <w:r w:rsidR="00C01501">
        <w:t>newspapers and magazines</w:t>
      </w:r>
      <w:r w:rsidR="000571D1">
        <w:t>, which are commonly made from mechanical pulp</w:t>
      </w:r>
      <w:r w:rsidR="00C01501">
        <w:t>.</w:t>
      </w:r>
    </w:p>
  </w:footnote>
  <w:footnote w:id="9">
    <w:p w14:paraId="1462490F" w14:textId="093A6C6A" w:rsidR="00A00FA3" w:rsidRPr="00A00FA3" w:rsidRDefault="00A00FA3">
      <w:pPr>
        <w:pStyle w:val="FootnoteText"/>
        <w:rPr>
          <w:lang w:val="en-US"/>
        </w:rPr>
      </w:pPr>
      <w:r>
        <w:rPr>
          <w:rStyle w:val="FootnoteReference"/>
        </w:rPr>
        <w:footnoteRef/>
      </w:r>
      <w:r>
        <w:t xml:space="preserve"> </w:t>
      </w:r>
      <w:r>
        <w:rPr>
          <w:lang w:val="en-US"/>
        </w:rPr>
        <w:t>Australian material taken overseas for processing then brought back here.</w:t>
      </w:r>
    </w:p>
  </w:footnote>
  <w:footnote w:id="10">
    <w:p w14:paraId="1D96AC87" w14:textId="40125860" w:rsidR="00FB013D" w:rsidRDefault="00FB013D" w:rsidP="00C01501">
      <w:pPr>
        <w:pStyle w:val="FootnoteText"/>
        <w:spacing w:after="60"/>
      </w:pPr>
      <w:r>
        <w:rPr>
          <w:rStyle w:val="FootnoteReference"/>
        </w:rPr>
        <w:footnoteRef/>
      </w:r>
      <w:r>
        <w:t xml:space="preserve"> A technical summary on this material is available from Cement Concrete and Aggregates Australia at </w:t>
      </w:r>
      <w:hyperlink r:id="rId4" w:history="1">
        <w:r w:rsidR="00E748FA" w:rsidRPr="00003970">
          <w:rPr>
            <w:rStyle w:val="Hyperlink"/>
            <w:sz w:val="18"/>
          </w:rPr>
          <w:t>https://www.ccaa.com.au/</w:t>
        </w:r>
        <w:r w:rsidR="00E748FA" w:rsidRPr="00003970">
          <w:rPr>
            <w:rStyle w:val="Hyperlink"/>
            <w:sz w:val="18"/>
          </w:rPr>
          <w:br/>
          <w:t>imis_prod/documents/TECH_NOTE_78_-_Ground_Slag.pdf</w:t>
        </w:r>
      </w:hyperlink>
      <w:r w:rsidR="00E748FA">
        <w:rPr>
          <w:rStyle w:val="Hyperlink"/>
          <w:sz w:val="18"/>
        </w:rPr>
        <w:t>.</w:t>
      </w:r>
    </w:p>
  </w:footnote>
  <w:footnote w:id="11">
    <w:p w14:paraId="386566D9" w14:textId="77777777" w:rsidR="00FB013D" w:rsidRDefault="00FB013D" w:rsidP="00C01501">
      <w:pPr>
        <w:pStyle w:val="FootnoteText"/>
        <w:spacing w:after="60"/>
      </w:pPr>
      <w:r>
        <w:rPr>
          <w:rStyle w:val="FootnoteReference"/>
        </w:rPr>
        <w:footnoteRef/>
      </w:r>
      <w:r>
        <w:t xml:space="preserve"> Cement Industry Federation (2020) </w:t>
      </w:r>
      <w:hyperlink r:id="rId5" w:history="1">
        <w:r w:rsidRPr="00BB58F1">
          <w:rPr>
            <w:rStyle w:val="Hyperlink"/>
            <w:sz w:val="18"/>
          </w:rPr>
          <w:t>Production statistics</w:t>
        </w:r>
      </w:hyperlink>
      <w:r>
        <w:t>.</w:t>
      </w:r>
    </w:p>
  </w:footnote>
  <w:footnote w:id="12">
    <w:p w14:paraId="25276854" w14:textId="77777777" w:rsidR="00FB013D" w:rsidRDefault="00FB013D" w:rsidP="00C01501">
      <w:pPr>
        <w:pStyle w:val="FootnoteText"/>
        <w:spacing w:after="60"/>
      </w:pPr>
      <w:r>
        <w:rPr>
          <w:rStyle w:val="FootnoteReference"/>
        </w:rPr>
        <w:footnoteRef/>
      </w:r>
      <w:r>
        <w:t xml:space="preserve"> Ancuta P &amp; Sonia A (2020) Oil press-cakes and meals valorization through circular economy approaches: A review, </w:t>
      </w:r>
      <w:r w:rsidRPr="000E3C95">
        <w:rPr>
          <w:i/>
          <w:iCs/>
        </w:rPr>
        <w:t>Applied Science</w:t>
      </w:r>
      <w:r>
        <w:t xml:space="preserve"> 10(21): 7432.</w:t>
      </w:r>
    </w:p>
  </w:footnote>
  <w:footnote w:id="13">
    <w:p w14:paraId="1125CCF2" w14:textId="5A4339BC" w:rsidR="00CC0536" w:rsidRDefault="00CC0536" w:rsidP="003415B3">
      <w:pPr>
        <w:pStyle w:val="FootnoteText"/>
      </w:pPr>
      <w:r>
        <w:rPr>
          <w:rStyle w:val="FootnoteReference"/>
        </w:rPr>
        <w:footnoteRef/>
      </w:r>
      <w:r>
        <w:t xml:space="preserve"> </w:t>
      </w:r>
      <w:r w:rsidRPr="0089274F">
        <w:rPr>
          <w:i/>
          <w:iCs/>
        </w:rPr>
        <w:t>National Waste report 2020</w:t>
      </w:r>
      <w:r>
        <w:t xml:space="preserve">, available from </w:t>
      </w:r>
      <w:hyperlink r:id="rId6" w:history="1">
        <w:r w:rsidRPr="00050A9C">
          <w:rPr>
            <w:rStyle w:val="Hyperlink"/>
            <w:sz w:val="18"/>
          </w:rPr>
          <w:t>https://www.environment.gov.au/system/files/pages/5a160ae2-d3a9-480e-9344-4eac42ef9001/files/national-waste-report-2020.pdf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DC01" w14:textId="33ECAE69" w:rsidR="00231497" w:rsidRDefault="00231497" w:rsidP="00F255F5">
    <w:pPr>
      <w:pStyle w:val="Header"/>
      <w:jc w:val="right"/>
    </w:pPr>
    <w:r>
      <w:rPr>
        <w:noProof/>
        <w:lang w:eastAsia="en-AU"/>
      </w:rPr>
      <w:drawing>
        <wp:inline distT="0" distB="0" distL="0" distR="0" wp14:anchorId="501D369F" wp14:editId="0BC5527F">
          <wp:extent cx="1692000" cy="291600"/>
          <wp:effectExtent l="0" t="0" r="3810" b="0"/>
          <wp:docPr id="9" name="Picture 9" descr="C:\Users\sarah\AppData\Local\Microsoft\Windows\INetCache\Content.Word\BE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AppData\Local\Microsoft\Windows\INetCache\Content.Word\BE logo 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000" cy="29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181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4EB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B4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46F2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AA6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581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60BF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EAD92"/>
    <w:lvl w:ilvl="0">
      <w:start w:val="1"/>
      <w:numFmt w:val="bullet"/>
      <w:lvlText w:val="○"/>
      <w:lvlJc w:val="left"/>
      <w:pPr>
        <w:ind w:left="717" w:hanging="360"/>
      </w:pPr>
      <w:rPr>
        <w:rFonts w:ascii="Calibri" w:hAnsi="Calibri" w:hint="default"/>
        <w:color w:val="3C58A7"/>
        <w:sz w:val="18"/>
      </w:rPr>
    </w:lvl>
  </w:abstractNum>
  <w:abstractNum w:abstractNumId="8" w15:restartNumberingAfterBreak="0">
    <w:nsid w:val="FFFFFF88"/>
    <w:multiLevelType w:val="singleLevel"/>
    <w:tmpl w:val="D0BEC7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44150A"/>
    <w:lvl w:ilvl="0">
      <w:start w:val="1"/>
      <w:numFmt w:val="bullet"/>
      <w:lvlText w:val=""/>
      <w:lvlJc w:val="left"/>
      <w:pPr>
        <w:ind w:left="360" w:hanging="360"/>
      </w:pPr>
      <w:rPr>
        <w:rFonts w:ascii="Symbol" w:hAnsi="Symbol" w:hint="default"/>
        <w:color w:val="3C58A7"/>
        <w:u w:color="3C58A7"/>
      </w:rPr>
    </w:lvl>
  </w:abstractNum>
  <w:abstractNum w:abstractNumId="10" w15:restartNumberingAfterBreak="0">
    <w:nsid w:val="000B4EB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AA16C3"/>
    <w:multiLevelType w:val="hybridMultilevel"/>
    <w:tmpl w:val="B074E3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562312"/>
    <w:multiLevelType w:val="hybridMultilevel"/>
    <w:tmpl w:val="5A82C838"/>
    <w:lvl w:ilvl="0" w:tplc="28C096DC">
      <w:start w:val="1"/>
      <w:numFmt w:val="upperLetter"/>
      <w:pStyle w:val="AppendixHeading"/>
      <w:lvlText w:val="Appendi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A929CF"/>
    <w:multiLevelType w:val="multilevel"/>
    <w:tmpl w:val="463CD5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766308"/>
    <w:multiLevelType w:val="hybridMultilevel"/>
    <w:tmpl w:val="43B261D6"/>
    <w:lvl w:ilvl="0" w:tplc="0A247650">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165189"/>
    <w:multiLevelType w:val="hybridMultilevel"/>
    <w:tmpl w:val="65E68F60"/>
    <w:lvl w:ilvl="0" w:tplc="7834CB8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D33497"/>
    <w:multiLevelType w:val="hybridMultilevel"/>
    <w:tmpl w:val="AEC0866A"/>
    <w:lvl w:ilvl="0" w:tplc="9A44B946">
      <w:start w:val="1"/>
      <w:numFmt w:val="bullet"/>
      <w:lvlText w:val="-"/>
      <w:lvlJc w:val="left"/>
      <w:pPr>
        <w:ind w:left="720" w:hanging="360"/>
      </w:pPr>
      <w:rPr>
        <w:rFonts w:ascii="Courier New" w:hAnsi="Courier New" w:hint="default"/>
      </w:rPr>
    </w:lvl>
    <w:lvl w:ilvl="1" w:tplc="A916488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6512B4"/>
    <w:multiLevelType w:val="hybridMultilevel"/>
    <w:tmpl w:val="5490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F95756"/>
    <w:multiLevelType w:val="multilevel"/>
    <w:tmpl w:val="DCDA1470"/>
    <w:lvl w:ilvl="0">
      <w:start w:val="1"/>
      <w:numFmt w:val="bullet"/>
      <w:pStyle w:val="Bullet1"/>
      <w:lvlText w:val=""/>
      <w:lvlJc w:val="left"/>
      <w:pPr>
        <w:ind w:left="425" w:hanging="425"/>
      </w:pPr>
      <w:rPr>
        <w:rFonts w:ascii="Symbol" w:hAnsi="Symbol" w:hint="default"/>
      </w:rPr>
    </w:lvl>
    <w:lvl w:ilvl="1">
      <w:start w:val="1"/>
      <w:numFmt w:val="bullet"/>
      <w:pStyle w:val="Bullet2"/>
      <w:lvlText w:val="-"/>
      <w:lvlJc w:val="left"/>
      <w:pPr>
        <w:ind w:left="851" w:hanging="426"/>
      </w:pPr>
      <w:rPr>
        <w:rFonts w:ascii="Courier New" w:hAnsi="Courier New" w:hint="default"/>
      </w:rPr>
    </w:lvl>
    <w:lvl w:ilvl="2">
      <w:start w:val="1"/>
      <w:numFmt w:val="bullet"/>
      <w:pStyle w:val="Bullet3"/>
      <w:lvlText w:val="o"/>
      <w:lvlJc w:val="left"/>
      <w:pPr>
        <w:ind w:left="1276" w:hanging="425"/>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53035DF"/>
    <w:multiLevelType w:val="hybridMultilevel"/>
    <w:tmpl w:val="7C52D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662F7A"/>
    <w:multiLevelType w:val="multilevel"/>
    <w:tmpl w:val="57F613E6"/>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971374E"/>
    <w:multiLevelType w:val="multilevel"/>
    <w:tmpl w:val="580C4DF4"/>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FB2423"/>
    <w:multiLevelType w:val="multilevel"/>
    <w:tmpl w:val="BA82B626"/>
    <w:lvl w:ilvl="0">
      <w:start w:val="1"/>
      <w:numFmt w:val="decimal"/>
      <w:pStyle w:val="Number1"/>
      <w:lvlText w:val="%1."/>
      <w:lvlJc w:val="left"/>
      <w:pPr>
        <w:ind w:left="425" w:hanging="425"/>
      </w:pPr>
      <w:rPr>
        <w:rFonts w:hint="default"/>
      </w:rPr>
    </w:lvl>
    <w:lvl w:ilvl="1">
      <w:start w:val="1"/>
      <w:numFmt w:val="lowerLetter"/>
      <w:pStyle w:val="Number2"/>
      <w:lvlText w:val="%2)"/>
      <w:lvlJc w:val="left"/>
      <w:pPr>
        <w:ind w:left="851" w:hanging="426"/>
      </w:pPr>
      <w:rPr>
        <w:rFonts w:hint="default"/>
      </w:rPr>
    </w:lvl>
    <w:lvl w:ilvl="2">
      <w:start w:val="1"/>
      <w:numFmt w:val="lowerRoman"/>
      <w:pStyle w:val="Number3"/>
      <w:lvlText w:val="(%3)"/>
      <w:lvlJc w:val="right"/>
      <w:pPr>
        <w:ind w:left="1276" w:hanging="425"/>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num>
  <w:num w:numId="2">
    <w:abstractNumId w:val="8"/>
  </w:num>
  <w:num w:numId="3">
    <w:abstractNumId w:val="7"/>
  </w:num>
  <w:num w:numId="4">
    <w:abstractNumId w:val="8"/>
    <w:lvlOverride w:ilvl="0">
      <w:startOverride w:val="1"/>
    </w:lvlOverride>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8"/>
  </w:num>
  <w:num w:numId="13">
    <w:abstractNumId w:val="16"/>
  </w:num>
  <w:num w:numId="14">
    <w:abstractNumId w:val="22"/>
  </w:num>
  <w:num w:numId="15">
    <w:abstractNumId w:val="22"/>
    <w:lvlOverride w:ilvl="0">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15"/>
  </w:num>
  <w:num w:numId="21">
    <w:abstractNumId w:val="10"/>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styleLockTheme/>
  <w:styleLockQFSet/>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0E"/>
    <w:rsid w:val="000000F4"/>
    <w:rsid w:val="000023DB"/>
    <w:rsid w:val="00006858"/>
    <w:rsid w:val="00007F34"/>
    <w:rsid w:val="000107D9"/>
    <w:rsid w:val="00011850"/>
    <w:rsid w:val="00013707"/>
    <w:rsid w:val="00013771"/>
    <w:rsid w:val="00014326"/>
    <w:rsid w:val="00014661"/>
    <w:rsid w:val="00014D20"/>
    <w:rsid w:val="00015680"/>
    <w:rsid w:val="0001580C"/>
    <w:rsid w:val="00015A6D"/>
    <w:rsid w:val="0001690F"/>
    <w:rsid w:val="00016958"/>
    <w:rsid w:val="00017CE2"/>
    <w:rsid w:val="00017EA4"/>
    <w:rsid w:val="000200AA"/>
    <w:rsid w:val="0002458A"/>
    <w:rsid w:val="000277E7"/>
    <w:rsid w:val="00027BF6"/>
    <w:rsid w:val="00030646"/>
    <w:rsid w:val="000314C2"/>
    <w:rsid w:val="00031E18"/>
    <w:rsid w:val="00031E46"/>
    <w:rsid w:val="00032289"/>
    <w:rsid w:val="000333E3"/>
    <w:rsid w:val="00033750"/>
    <w:rsid w:val="00034E04"/>
    <w:rsid w:val="00034E49"/>
    <w:rsid w:val="0004034D"/>
    <w:rsid w:val="00040801"/>
    <w:rsid w:val="00040D3F"/>
    <w:rsid w:val="00042878"/>
    <w:rsid w:val="00042C79"/>
    <w:rsid w:val="00043469"/>
    <w:rsid w:val="00043891"/>
    <w:rsid w:val="00043904"/>
    <w:rsid w:val="00043F4F"/>
    <w:rsid w:val="00047756"/>
    <w:rsid w:val="00050375"/>
    <w:rsid w:val="00050CA2"/>
    <w:rsid w:val="00050D40"/>
    <w:rsid w:val="00050E29"/>
    <w:rsid w:val="00051040"/>
    <w:rsid w:val="00051315"/>
    <w:rsid w:val="000519A7"/>
    <w:rsid w:val="00051B6E"/>
    <w:rsid w:val="000522BD"/>
    <w:rsid w:val="000525E3"/>
    <w:rsid w:val="00054513"/>
    <w:rsid w:val="000548F7"/>
    <w:rsid w:val="00055860"/>
    <w:rsid w:val="00055F20"/>
    <w:rsid w:val="000571D1"/>
    <w:rsid w:val="00057461"/>
    <w:rsid w:val="000606D8"/>
    <w:rsid w:val="0006188C"/>
    <w:rsid w:val="00061C51"/>
    <w:rsid w:val="00061FD4"/>
    <w:rsid w:val="0006462D"/>
    <w:rsid w:val="000649A6"/>
    <w:rsid w:val="000652A8"/>
    <w:rsid w:val="00065F58"/>
    <w:rsid w:val="00066339"/>
    <w:rsid w:val="00070B32"/>
    <w:rsid w:val="00072030"/>
    <w:rsid w:val="000741BE"/>
    <w:rsid w:val="000774B8"/>
    <w:rsid w:val="000776D1"/>
    <w:rsid w:val="00077859"/>
    <w:rsid w:val="0008116C"/>
    <w:rsid w:val="000819A5"/>
    <w:rsid w:val="00081A6E"/>
    <w:rsid w:val="000839C7"/>
    <w:rsid w:val="00084A37"/>
    <w:rsid w:val="00084A66"/>
    <w:rsid w:val="00084FDB"/>
    <w:rsid w:val="00085DEB"/>
    <w:rsid w:val="000861EA"/>
    <w:rsid w:val="00087207"/>
    <w:rsid w:val="00087A1E"/>
    <w:rsid w:val="00091AC7"/>
    <w:rsid w:val="000934A9"/>
    <w:rsid w:val="000946CC"/>
    <w:rsid w:val="0009521E"/>
    <w:rsid w:val="00096145"/>
    <w:rsid w:val="0009631E"/>
    <w:rsid w:val="00097239"/>
    <w:rsid w:val="000977B0"/>
    <w:rsid w:val="00097A9B"/>
    <w:rsid w:val="00097C23"/>
    <w:rsid w:val="000A1226"/>
    <w:rsid w:val="000A2ACE"/>
    <w:rsid w:val="000A4807"/>
    <w:rsid w:val="000A4F09"/>
    <w:rsid w:val="000A699D"/>
    <w:rsid w:val="000A6DC0"/>
    <w:rsid w:val="000A7042"/>
    <w:rsid w:val="000A7BB4"/>
    <w:rsid w:val="000B081B"/>
    <w:rsid w:val="000B08A0"/>
    <w:rsid w:val="000B1B45"/>
    <w:rsid w:val="000B279D"/>
    <w:rsid w:val="000B2A07"/>
    <w:rsid w:val="000B32FD"/>
    <w:rsid w:val="000B4AF3"/>
    <w:rsid w:val="000B64EB"/>
    <w:rsid w:val="000B6877"/>
    <w:rsid w:val="000B70E6"/>
    <w:rsid w:val="000B7EE8"/>
    <w:rsid w:val="000C10AF"/>
    <w:rsid w:val="000C13BE"/>
    <w:rsid w:val="000C150C"/>
    <w:rsid w:val="000C2908"/>
    <w:rsid w:val="000C2E15"/>
    <w:rsid w:val="000C31BB"/>
    <w:rsid w:val="000C3A11"/>
    <w:rsid w:val="000C3D48"/>
    <w:rsid w:val="000C3E66"/>
    <w:rsid w:val="000D09E3"/>
    <w:rsid w:val="000D1DD0"/>
    <w:rsid w:val="000D318A"/>
    <w:rsid w:val="000D54CB"/>
    <w:rsid w:val="000D59D5"/>
    <w:rsid w:val="000D5C62"/>
    <w:rsid w:val="000D7BAE"/>
    <w:rsid w:val="000E04B3"/>
    <w:rsid w:val="000E05A0"/>
    <w:rsid w:val="000E0DCE"/>
    <w:rsid w:val="000E12DA"/>
    <w:rsid w:val="000E25E2"/>
    <w:rsid w:val="000E33C6"/>
    <w:rsid w:val="000E3C95"/>
    <w:rsid w:val="000E3D6F"/>
    <w:rsid w:val="000E3E5E"/>
    <w:rsid w:val="000E3ECE"/>
    <w:rsid w:val="000E3FA6"/>
    <w:rsid w:val="000E3FDC"/>
    <w:rsid w:val="000E4807"/>
    <w:rsid w:val="000E55D8"/>
    <w:rsid w:val="000E58CE"/>
    <w:rsid w:val="000E66E1"/>
    <w:rsid w:val="000E701C"/>
    <w:rsid w:val="000E73E5"/>
    <w:rsid w:val="000E7A91"/>
    <w:rsid w:val="000F0866"/>
    <w:rsid w:val="000F08A6"/>
    <w:rsid w:val="000F0D44"/>
    <w:rsid w:val="000F0E2A"/>
    <w:rsid w:val="000F2EF2"/>
    <w:rsid w:val="000F315D"/>
    <w:rsid w:val="000F3C58"/>
    <w:rsid w:val="000F41D1"/>
    <w:rsid w:val="000F5668"/>
    <w:rsid w:val="000F5E99"/>
    <w:rsid w:val="000F6923"/>
    <w:rsid w:val="000F730D"/>
    <w:rsid w:val="000F7B61"/>
    <w:rsid w:val="001002B9"/>
    <w:rsid w:val="00102B40"/>
    <w:rsid w:val="00103D78"/>
    <w:rsid w:val="00103FF1"/>
    <w:rsid w:val="00104E96"/>
    <w:rsid w:val="0010581B"/>
    <w:rsid w:val="00105927"/>
    <w:rsid w:val="00105F0F"/>
    <w:rsid w:val="00106FFD"/>
    <w:rsid w:val="00110011"/>
    <w:rsid w:val="00110651"/>
    <w:rsid w:val="001117BD"/>
    <w:rsid w:val="001136A4"/>
    <w:rsid w:val="00114051"/>
    <w:rsid w:val="00114FE4"/>
    <w:rsid w:val="00115E81"/>
    <w:rsid w:val="00116168"/>
    <w:rsid w:val="00116EF5"/>
    <w:rsid w:val="00117663"/>
    <w:rsid w:val="0011783B"/>
    <w:rsid w:val="00117FDB"/>
    <w:rsid w:val="001210EF"/>
    <w:rsid w:val="00121B6C"/>
    <w:rsid w:val="00122A4F"/>
    <w:rsid w:val="00122C59"/>
    <w:rsid w:val="00122F97"/>
    <w:rsid w:val="001231DB"/>
    <w:rsid w:val="00123283"/>
    <w:rsid w:val="00123654"/>
    <w:rsid w:val="001245CB"/>
    <w:rsid w:val="001314AB"/>
    <w:rsid w:val="00131654"/>
    <w:rsid w:val="00132EE2"/>
    <w:rsid w:val="00133D29"/>
    <w:rsid w:val="001366C5"/>
    <w:rsid w:val="00136829"/>
    <w:rsid w:val="00136CCB"/>
    <w:rsid w:val="001375D7"/>
    <w:rsid w:val="00137604"/>
    <w:rsid w:val="00140160"/>
    <w:rsid w:val="001431F2"/>
    <w:rsid w:val="00143570"/>
    <w:rsid w:val="00143698"/>
    <w:rsid w:val="00143A4E"/>
    <w:rsid w:val="00144EAA"/>
    <w:rsid w:val="001469F7"/>
    <w:rsid w:val="00147692"/>
    <w:rsid w:val="00147B6D"/>
    <w:rsid w:val="00152761"/>
    <w:rsid w:val="001535C3"/>
    <w:rsid w:val="00153630"/>
    <w:rsid w:val="00153E95"/>
    <w:rsid w:val="0015519B"/>
    <w:rsid w:val="001553AE"/>
    <w:rsid w:val="00156240"/>
    <w:rsid w:val="00157BC6"/>
    <w:rsid w:val="00157C85"/>
    <w:rsid w:val="00157F93"/>
    <w:rsid w:val="00160076"/>
    <w:rsid w:val="0016119B"/>
    <w:rsid w:val="001619DA"/>
    <w:rsid w:val="00161A63"/>
    <w:rsid w:val="00163D4C"/>
    <w:rsid w:val="00165144"/>
    <w:rsid w:val="001655EB"/>
    <w:rsid w:val="001656C3"/>
    <w:rsid w:val="00166F3F"/>
    <w:rsid w:val="00170211"/>
    <w:rsid w:val="00172B6E"/>
    <w:rsid w:val="00174B42"/>
    <w:rsid w:val="00175583"/>
    <w:rsid w:val="0017623C"/>
    <w:rsid w:val="00176834"/>
    <w:rsid w:val="00176D89"/>
    <w:rsid w:val="00177B4E"/>
    <w:rsid w:val="00180DCB"/>
    <w:rsid w:val="00180FF6"/>
    <w:rsid w:val="0018220D"/>
    <w:rsid w:val="00187D8E"/>
    <w:rsid w:val="00190012"/>
    <w:rsid w:val="00190EC0"/>
    <w:rsid w:val="0019139B"/>
    <w:rsid w:val="001918C8"/>
    <w:rsid w:val="00191D6A"/>
    <w:rsid w:val="00192537"/>
    <w:rsid w:val="00192A5F"/>
    <w:rsid w:val="00192FBE"/>
    <w:rsid w:val="0019346D"/>
    <w:rsid w:val="0019414B"/>
    <w:rsid w:val="001942C6"/>
    <w:rsid w:val="00194C0F"/>
    <w:rsid w:val="00194E6E"/>
    <w:rsid w:val="0019506F"/>
    <w:rsid w:val="0019594A"/>
    <w:rsid w:val="00195DA1"/>
    <w:rsid w:val="001963F3"/>
    <w:rsid w:val="00196563"/>
    <w:rsid w:val="00196A73"/>
    <w:rsid w:val="001970F8"/>
    <w:rsid w:val="001971DA"/>
    <w:rsid w:val="00197629"/>
    <w:rsid w:val="001977BA"/>
    <w:rsid w:val="001A08A2"/>
    <w:rsid w:val="001A1A84"/>
    <w:rsid w:val="001A1AAA"/>
    <w:rsid w:val="001A2FCD"/>
    <w:rsid w:val="001A38D7"/>
    <w:rsid w:val="001A3DBD"/>
    <w:rsid w:val="001A4A54"/>
    <w:rsid w:val="001A4FA1"/>
    <w:rsid w:val="001A5071"/>
    <w:rsid w:val="001A57A1"/>
    <w:rsid w:val="001A58FE"/>
    <w:rsid w:val="001A6A49"/>
    <w:rsid w:val="001A7B61"/>
    <w:rsid w:val="001B0612"/>
    <w:rsid w:val="001B208E"/>
    <w:rsid w:val="001B3558"/>
    <w:rsid w:val="001B3845"/>
    <w:rsid w:val="001B389F"/>
    <w:rsid w:val="001B40C7"/>
    <w:rsid w:val="001B4275"/>
    <w:rsid w:val="001B5592"/>
    <w:rsid w:val="001B7EA7"/>
    <w:rsid w:val="001C0F90"/>
    <w:rsid w:val="001C1171"/>
    <w:rsid w:val="001C2471"/>
    <w:rsid w:val="001C2E1D"/>
    <w:rsid w:val="001C36FC"/>
    <w:rsid w:val="001C3828"/>
    <w:rsid w:val="001C39D1"/>
    <w:rsid w:val="001C4FE6"/>
    <w:rsid w:val="001C6127"/>
    <w:rsid w:val="001C65C3"/>
    <w:rsid w:val="001C683F"/>
    <w:rsid w:val="001C6967"/>
    <w:rsid w:val="001D0455"/>
    <w:rsid w:val="001D0670"/>
    <w:rsid w:val="001D33DB"/>
    <w:rsid w:val="001D40D7"/>
    <w:rsid w:val="001D4217"/>
    <w:rsid w:val="001D6436"/>
    <w:rsid w:val="001E0118"/>
    <w:rsid w:val="001E0B3F"/>
    <w:rsid w:val="001E2C16"/>
    <w:rsid w:val="001E3405"/>
    <w:rsid w:val="001E3560"/>
    <w:rsid w:val="001E554E"/>
    <w:rsid w:val="001E5EF1"/>
    <w:rsid w:val="001E68E7"/>
    <w:rsid w:val="001E6B7B"/>
    <w:rsid w:val="001F036C"/>
    <w:rsid w:val="001F0D42"/>
    <w:rsid w:val="001F137E"/>
    <w:rsid w:val="001F17C8"/>
    <w:rsid w:val="001F1F2C"/>
    <w:rsid w:val="001F4E6D"/>
    <w:rsid w:val="001F6713"/>
    <w:rsid w:val="001F7B08"/>
    <w:rsid w:val="00200153"/>
    <w:rsid w:val="0020021B"/>
    <w:rsid w:val="0020189E"/>
    <w:rsid w:val="002018D5"/>
    <w:rsid w:val="00201F87"/>
    <w:rsid w:val="00202222"/>
    <w:rsid w:val="002045AC"/>
    <w:rsid w:val="00207543"/>
    <w:rsid w:val="0021020D"/>
    <w:rsid w:val="00211194"/>
    <w:rsid w:val="0021148F"/>
    <w:rsid w:val="00213BD8"/>
    <w:rsid w:val="00215B3A"/>
    <w:rsid w:val="0021661E"/>
    <w:rsid w:val="0021783B"/>
    <w:rsid w:val="00217DFA"/>
    <w:rsid w:val="00220666"/>
    <w:rsid w:val="002216DF"/>
    <w:rsid w:val="00222291"/>
    <w:rsid w:val="002225CD"/>
    <w:rsid w:val="0022408C"/>
    <w:rsid w:val="0022523F"/>
    <w:rsid w:val="00225C83"/>
    <w:rsid w:val="002264E8"/>
    <w:rsid w:val="00231497"/>
    <w:rsid w:val="00231550"/>
    <w:rsid w:val="0023197E"/>
    <w:rsid w:val="00231FF3"/>
    <w:rsid w:val="0023312D"/>
    <w:rsid w:val="00236E59"/>
    <w:rsid w:val="00237787"/>
    <w:rsid w:val="00240BAE"/>
    <w:rsid w:val="00242C91"/>
    <w:rsid w:val="002434AE"/>
    <w:rsid w:val="00244349"/>
    <w:rsid w:val="002449B8"/>
    <w:rsid w:val="00244D2C"/>
    <w:rsid w:val="00245614"/>
    <w:rsid w:val="00246162"/>
    <w:rsid w:val="002466FB"/>
    <w:rsid w:val="00246FFF"/>
    <w:rsid w:val="00247DB2"/>
    <w:rsid w:val="0025002B"/>
    <w:rsid w:val="00250458"/>
    <w:rsid w:val="00250D19"/>
    <w:rsid w:val="00251931"/>
    <w:rsid w:val="00252E43"/>
    <w:rsid w:val="00253E7C"/>
    <w:rsid w:val="00254A4D"/>
    <w:rsid w:val="00255077"/>
    <w:rsid w:val="00255205"/>
    <w:rsid w:val="00255BA6"/>
    <w:rsid w:val="002563F5"/>
    <w:rsid w:val="00256665"/>
    <w:rsid w:val="00257838"/>
    <w:rsid w:val="002611E3"/>
    <w:rsid w:val="002615D4"/>
    <w:rsid w:val="00261FD6"/>
    <w:rsid w:val="00262898"/>
    <w:rsid w:val="00262C2C"/>
    <w:rsid w:val="0026379A"/>
    <w:rsid w:val="002640DC"/>
    <w:rsid w:val="00264EAA"/>
    <w:rsid w:val="00265249"/>
    <w:rsid w:val="00265675"/>
    <w:rsid w:val="00266224"/>
    <w:rsid w:val="00266398"/>
    <w:rsid w:val="0026664B"/>
    <w:rsid w:val="0026691B"/>
    <w:rsid w:val="00266D4C"/>
    <w:rsid w:val="002671B4"/>
    <w:rsid w:val="00267775"/>
    <w:rsid w:val="00267D5A"/>
    <w:rsid w:val="0027261E"/>
    <w:rsid w:val="00273BFA"/>
    <w:rsid w:val="0027528C"/>
    <w:rsid w:val="00276674"/>
    <w:rsid w:val="00276C0F"/>
    <w:rsid w:val="00277434"/>
    <w:rsid w:val="00277E9A"/>
    <w:rsid w:val="0028017F"/>
    <w:rsid w:val="002808F6"/>
    <w:rsid w:val="0028283A"/>
    <w:rsid w:val="0028399E"/>
    <w:rsid w:val="00283CD1"/>
    <w:rsid w:val="00284DFB"/>
    <w:rsid w:val="00287F93"/>
    <w:rsid w:val="00290209"/>
    <w:rsid w:val="00291010"/>
    <w:rsid w:val="0029148C"/>
    <w:rsid w:val="00291EB8"/>
    <w:rsid w:val="0029322D"/>
    <w:rsid w:val="00293321"/>
    <w:rsid w:val="00294368"/>
    <w:rsid w:val="002956B7"/>
    <w:rsid w:val="00295F56"/>
    <w:rsid w:val="00296B46"/>
    <w:rsid w:val="00297755"/>
    <w:rsid w:val="00297773"/>
    <w:rsid w:val="002A04C7"/>
    <w:rsid w:val="002A091D"/>
    <w:rsid w:val="002A115A"/>
    <w:rsid w:val="002A1FC6"/>
    <w:rsid w:val="002A3EEE"/>
    <w:rsid w:val="002A4789"/>
    <w:rsid w:val="002A4B1D"/>
    <w:rsid w:val="002A6BD6"/>
    <w:rsid w:val="002A7D62"/>
    <w:rsid w:val="002A7FC6"/>
    <w:rsid w:val="002B07E7"/>
    <w:rsid w:val="002B0A12"/>
    <w:rsid w:val="002B0A1C"/>
    <w:rsid w:val="002B0A4D"/>
    <w:rsid w:val="002B0B3E"/>
    <w:rsid w:val="002B1536"/>
    <w:rsid w:val="002B1919"/>
    <w:rsid w:val="002B1C11"/>
    <w:rsid w:val="002B284B"/>
    <w:rsid w:val="002B3841"/>
    <w:rsid w:val="002B4FA7"/>
    <w:rsid w:val="002B5D38"/>
    <w:rsid w:val="002B6855"/>
    <w:rsid w:val="002B7738"/>
    <w:rsid w:val="002C0342"/>
    <w:rsid w:val="002C0B7A"/>
    <w:rsid w:val="002C0C60"/>
    <w:rsid w:val="002C1FCE"/>
    <w:rsid w:val="002C3FE9"/>
    <w:rsid w:val="002C6513"/>
    <w:rsid w:val="002C74EA"/>
    <w:rsid w:val="002C7FCC"/>
    <w:rsid w:val="002D0BFE"/>
    <w:rsid w:val="002D2B02"/>
    <w:rsid w:val="002D3048"/>
    <w:rsid w:val="002D506D"/>
    <w:rsid w:val="002D5CF7"/>
    <w:rsid w:val="002D5EC9"/>
    <w:rsid w:val="002D7EAE"/>
    <w:rsid w:val="002E0503"/>
    <w:rsid w:val="002E0839"/>
    <w:rsid w:val="002E0A12"/>
    <w:rsid w:val="002E19D0"/>
    <w:rsid w:val="002E3BAB"/>
    <w:rsid w:val="002E413D"/>
    <w:rsid w:val="002E44F5"/>
    <w:rsid w:val="002E4B31"/>
    <w:rsid w:val="002E5092"/>
    <w:rsid w:val="002E50A2"/>
    <w:rsid w:val="002E646C"/>
    <w:rsid w:val="002E73CE"/>
    <w:rsid w:val="002E7933"/>
    <w:rsid w:val="002F026E"/>
    <w:rsid w:val="002F0A4E"/>
    <w:rsid w:val="002F21C0"/>
    <w:rsid w:val="002F2F10"/>
    <w:rsid w:val="002F63DB"/>
    <w:rsid w:val="002F64AC"/>
    <w:rsid w:val="002F6591"/>
    <w:rsid w:val="002F673E"/>
    <w:rsid w:val="002F6881"/>
    <w:rsid w:val="00301125"/>
    <w:rsid w:val="00301ECE"/>
    <w:rsid w:val="0030202E"/>
    <w:rsid w:val="003020CC"/>
    <w:rsid w:val="00303411"/>
    <w:rsid w:val="00303687"/>
    <w:rsid w:val="00304448"/>
    <w:rsid w:val="00304F93"/>
    <w:rsid w:val="00305B22"/>
    <w:rsid w:val="00306728"/>
    <w:rsid w:val="00310533"/>
    <w:rsid w:val="003109EB"/>
    <w:rsid w:val="00311B2F"/>
    <w:rsid w:val="0031383E"/>
    <w:rsid w:val="00313D56"/>
    <w:rsid w:val="00314373"/>
    <w:rsid w:val="00315A6B"/>
    <w:rsid w:val="00320095"/>
    <w:rsid w:val="00320907"/>
    <w:rsid w:val="00323432"/>
    <w:rsid w:val="003235D5"/>
    <w:rsid w:val="00324622"/>
    <w:rsid w:val="00325D1D"/>
    <w:rsid w:val="00325EE8"/>
    <w:rsid w:val="0033039B"/>
    <w:rsid w:val="003318A6"/>
    <w:rsid w:val="00332C81"/>
    <w:rsid w:val="0033301F"/>
    <w:rsid w:val="003332A9"/>
    <w:rsid w:val="0033455F"/>
    <w:rsid w:val="00334DD5"/>
    <w:rsid w:val="0033526F"/>
    <w:rsid w:val="003354D5"/>
    <w:rsid w:val="0033615A"/>
    <w:rsid w:val="003364B1"/>
    <w:rsid w:val="00336883"/>
    <w:rsid w:val="00336889"/>
    <w:rsid w:val="00340FE4"/>
    <w:rsid w:val="003415B3"/>
    <w:rsid w:val="00341996"/>
    <w:rsid w:val="00344366"/>
    <w:rsid w:val="00346522"/>
    <w:rsid w:val="003505D5"/>
    <w:rsid w:val="003512A8"/>
    <w:rsid w:val="003522E8"/>
    <w:rsid w:val="003539B9"/>
    <w:rsid w:val="00354F01"/>
    <w:rsid w:val="0035502C"/>
    <w:rsid w:val="003555F8"/>
    <w:rsid w:val="00355688"/>
    <w:rsid w:val="00356499"/>
    <w:rsid w:val="0035674A"/>
    <w:rsid w:val="003603AB"/>
    <w:rsid w:val="003609B9"/>
    <w:rsid w:val="00360F1C"/>
    <w:rsid w:val="00360F6D"/>
    <w:rsid w:val="003619E7"/>
    <w:rsid w:val="00361CA1"/>
    <w:rsid w:val="00362BB3"/>
    <w:rsid w:val="00365DA2"/>
    <w:rsid w:val="00365E7E"/>
    <w:rsid w:val="00366627"/>
    <w:rsid w:val="00366EF8"/>
    <w:rsid w:val="00367049"/>
    <w:rsid w:val="00367317"/>
    <w:rsid w:val="00367D5D"/>
    <w:rsid w:val="00370257"/>
    <w:rsid w:val="003705B5"/>
    <w:rsid w:val="003707D8"/>
    <w:rsid w:val="00370946"/>
    <w:rsid w:val="00370989"/>
    <w:rsid w:val="0037134E"/>
    <w:rsid w:val="003719CE"/>
    <w:rsid w:val="003723CE"/>
    <w:rsid w:val="00373F48"/>
    <w:rsid w:val="003756C7"/>
    <w:rsid w:val="003766C8"/>
    <w:rsid w:val="00380EF7"/>
    <w:rsid w:val="00381D9A"/>
    <w:rsid w:val="00381EE0"/>
    <w:rsid w:val="0038250B"/>
    <w:rsid w:val="003827FC"/>
    <w:rsid w:val="00382BD3"/>
    <w:rsid w:val="0038378E"/>
    <w:rsid w:val="003844E9"/>
    <w:rsid w:val="0038678C"/>
    <w:rsid w:val="0038755B"/>
    <w:rsid w:val="003905AB"/>
    <w:rsid w:val="00392076"/>
    <w:rsid w:val="00393835"/>
    <w:rsid w:val="00393DC1"/>
    <w:rsid w:val="00394333"/>
    <w:rsid w:val="00394F07"/>
    <w:rsid w:val="003967E2"/>
    <w:rsid w:val="00396B8C"/>
    <w:rsid w:val="00396E64"/>
    <w:rsid w:val="00397378"/>
    <w:rsid w:val="00397677"/>
    <w:rsid w:val="003A0C9D"/>
    <w:rsid w:val="003A1072"/>
    <w:rsid w:val="003A2728"/>
    <w:rsid w:val="003A3106"/>
    <w:rsid w:val="003A346B"/>
    <w:rsid w:val="003A3BCA"/>
    <w:rsid w:val="003A49DD"/>
    <w:rsid w:val="003A4F41"/>
    <w:rsid w:val="003A67D8"/>
    <w:rsid w:val="003A6C54"/>
    <w:rsid w:val="003B02AE"/>
    <w:rsid w:val="003B02EE"/>
    <w:rsid w:val="003B076A"/>
    <w:rsid w:val="003B0ED0"/>
    <w:rsid w:val="003B181B"/>
    <w:rsid w:val="003B1B8A"/>
    <w:rsid w:val="003B2F23"/>
    <w:rsid w:val="003B3436"/>
    <w:rsid w:val="003B3CFA"/>
    <w:rsid w:val="003B469B"/>
    <w:rsid w:val="003B4A97"/>
    <w:rsid w:val="003B5D79"/>
    <w:rsid w:val="003C1174"/>
    <w:rsid w:val="003C1F67"/>
    <w:rsid w:val="003C4D4E"/>
    <w:rsid w:val="003C5EAE"/>
    <w:rsid w:val="003C6AC7"/>
    <w:rsid w:val="003D0563"/>
    <w:rsid w:val="003D1A4F"/>
    <w:rsid w:val="003D1E13"/>
    <w:rsid w:val="003D2515"/>
    <w:rsid w:val="003D2DDC"/>
    <w:rsid w:val="003D33AB"/>
    <w:rsid w:val="003D4044"/>
    <w:rsid w:val="003D64AA"/>
    <w:rsid w:val="003D6C47"/>
    <w:rsid w:val="003E0811"/>
    <w:rsid w:val="003E0955"/>
    <w:rsid w:val="003E1D6E"/>
    <w:rsid w:val="003E20DE"/>
    <w:rsid w:val="003E301C"/>
    <w:rsid w:val="003E3DD9"/>
    <w:rsid w:val="003E405B"/>
    <w:rsid w:val="003E45C4"/>
    <w:rsid w:val="003E4F17"/>
    <w:rsid w:val="003E59EA"/>
    <w:rsid w:val="003E5D5C"/>
    <w:rsid w:val="003E686E"/>
    <w:rsid w:val="003E68FF"/>
    <w:rsid w:val="003E6B48"/>
    <w:rsid w:val="003F0185"/>
    <w:rsid w:val="003F0BCD"/>
    <w:rsid w:val="003F3127"/>
    <w:rsid w:val="003F3AD3"/>
    <w:rsid w:val="003F448F"/>
    <w:rsid w:val="003F4864"/>
    <w:rsid w:val="003F494C"/>
    <w:rsid w:val="003F4D50"/>
    <w:rsid w:val="003F4FB0"/>
    <w:rsid w:val="003F5305"/>
    <w:rsid w:val="003F6A76"/>
    <w:rsid w:val="003F7EEB"/>
    <w:rsid w:val="00401A62"/>
    <w:rsid w:val="00401DFB"/>
    <w:rsid w:val="00402ED9"/>
    <w:rsid w:val="004031A9"/>
    <w:rsid w:val="00403648"/>
    <w:rsid w:val="004039CA"/>
    <w:rsid w:val="004049F4"/>
    <w:rsid w:val="004049FC"/>
    <w:rsid w:val="0040507D"/>
    <w:rsid w:val="004058FA"/>
    <w:rsid w:val="00406AAC"/>
    <w:rsid w:val="00407C3E"/>
    <w:rsid w:val="00410421"/>
    <w:rsid w:val="00410587"/>
    <w:rsid w:val="004109CA"/>
    <w:rsid w:val="004109E1"/>
    <w:rsid w:val="004129B6"/>
    <w:rsid w:val="004141E3"/>
    <w:rsid w:val="00415D1C"/>
    <w:rsid w:val="00417E73"/>
    <w:rsid w:val="00420935"/>
    <w:rsid w:val="004219AE"/>
    <w:rsid w:val="00422F59"/>
    <w:rsid w:val="00423A85"/>
    <w:rsid w:val="004256CC"/>
    <w:rsid w:val="004259D3"/>
    <w:rsid w:val="0042604B"/>
    <w:rsid w:val="004263D5"/>
    <w:rsid w:val="00426B26"/>
    <w:rsid w:val="00426C28"/>
    <w:rsid w:val="00426E28"/>
    <w:rsid w:val="004275B0"/>
    <w:rsid w:val="004317AB"/>
    <w:rsid w:val="00431C64"/>
    <w:rsid w:val="0043219D"/>
    <w:rsid w:val="00432392"/>
    <w:rsid w:val="00433CE8"/>
    <w:rsid w:val="00435E87"/>
    <w:rsid w:val="004368A9"/>
    <w:rsid w:val="00436BFC"/>
    <w:rsid w:val="00436FF4"/>
    <w:rsid w:val="00437FF2"/>
    <w:rsid w:val="004408F6"/>
    <w:rsid w:val="004412D9"/>
    <w:rsid w:val="00441371"/>
    <w:rsid w:val="00441933"/>
    <w:rsid w:val="00442670"/>
    <w:rsid w:val="00442ED0"/>
    <w:rsid w:val="0044341D"/>
    <w:rsid w:val="00443603"/>
    <w:rsid w:val="00443641"/>
    <w:rsid w:val="00443A58"/>
    <w:rsid w:val="0044461D"/>
    <w:rsid w:val="004446F3"/>
    <w:rsid w:val="00444C23"/>
    <w:rsid w:val="00444E9D"/>
    <w:rsid w:val="004463A1"/>
    <w:rsid w:val="00447505"/>
    <w:rsid w:val="00450209"/>
    <w:rsid w:val="00451269"/>
    <w:rsid w:val="00452E9A"/>
    <w:rsid w:val="004536C6"/>
    <w:rsid w:val="00455C5E"/>
    <w:rsid w:val="00457AB7"/>
    <w:rsid w:val="00457D8E"/>
    <w:rsid w:val="00460A12"/>
    <w:rsid w:val="00461BB4"/>
    <w:rsid w:val="004625D1"/>
    <w:rsid w:val="004646A2"/>
    <w:rsid w:val="00465F75"/>
    <w:rsid w:val="004662BB"/>
    <w:rsid w:val="0046685C"/>
    <w:rsid w:val="00466B2D"/>
    <w:rsid w:val="00466BBD"/>
    <w:rsid w:val="004710A7"/>
    <w:rsid w:val="004713B0"/>
    <w:rsid w:val="00473C3C"/>
    <w:rsid w:val="00474782"/>
    <w:rsid w:val="004748FA"/>
    <w:rsid w:val="00474E0C"/>
    <w:rsid w:val="004751EB"/>
    <w:rsid w:val="00475DC9"/>
    <w:rsid w:val="004768DC"/>
    <w:rsid w:val="00476FA4"/>
    <w:rsid w:val="00477147"/>
    <w:rsid w:val="00481E0F"/>
    <w:rsid w:val="00482477"/>
    <w:rsid w:val="00482856"/>
    <w:rsid w:val="0048299E"/>
    <w:rsid w:val="00482EF7"/>
    <w:rsid w:val="004833B0"/>
    <w:rsid w:val="0048367F"/>
    <w:rsid w:val="00484205"/>
    <w:rsid w:val="00484C03"/>
    <w:rsid w:val="00484DFB"/>
    <w:rsid w:val="00486797"/>
    <w:rsid w:val="004867B8"/>
    <w:rsid w:val="00490D7E"/>
    <w:rsid w:val="00491214"/>
    <w:rsid w:val="0049132A"/>
    <w:rsid w:val="00493FA0"/>
    <w:rsid w:val="00496C7A"/>
    <w:rsid w:val="00496CD5"/>
    <w:rsid w:val="00497733"/>
    <w:rsid w:val="00497EE5"/>
    <w:rsid w:val="00497F46"/>
    <w:rsid w:val="004A1591"/>
    <w:rsid w:val="004A3DD6"/>
    <w:rsid w:val="004A46CD"/>
    <w:rsid w:val="004A5E7A"/>
    <w:rsid w:val="004A77F6"/>
    <w:rsid w:val="004A7C3D"/>
    <w:rsid w:val="004B04AD"/>
    <w:rsid w:val="004B2354"/>
    <w:rsid w:val="004B2607"/>
    <w:rsid w:val="004B27C7"/>
    <w:rsid w:val="004B3734"/>
    <w:rsid w:val="004B63A9"/>
    <w:rsid w:val="004B6823"/>
    <w:rsid w:val="004B6B0A"/>
    <w:rsid w:val="004B6E4C"/>
    <w:rsid w:val="004B7CBE"/>
    <w:rsid w:val="004C0DC4"/>
    <w:rsid w:val="004C0F5B"/>
    <w:rsid w:val="004C1CA3"/>
    <w:rsid w:val="004C1D5F"/>
    <w:rsid w:val="004C3B41"/>
    <w:rsid w:val="004C4856"/>
    <w:rsid w:val="004C5A2C"/>
    <w:rsid w:val="004C6C71"/>
    <w:rsid w:val="004C6D06"/>
    <w:rsid w:val="004C75E0"/>
    <w:rsid w:val="004D0434"/>
    <w:rsid w:val="004D3081"/>
    <w:rsid w:val="004D32F7"/>
    <w:rsid w:val="004D4A33"/>
    <w:rsid w:val="004D5093"/>
    <w:rsid w:val="004D5578"/>
    <w:rsid w:val="004D6BAC"/>
    <w:rsid w:val="004E0123"/>
    <w:rsid w:val="004E148C"/>
    <w:rsid w:val="004E163D"/>
    <w:rsid w:val="004E1FC6"/>
    <w:rsid w:val="004E2669"/>
    <w:rsid w:val="004E4C1B"/>
    <w:rsid w:val="004E5976"/>
    <w:rsid w:val="004E5B2E"/>
    <w:rsid w:val="004E688C"/>
    <w:rsid w:val="004E6A2E"/>
    <w:rsid w:val="004E702A"/>
    <w:rsid w:val="004E7104"/>
    <w:rsid w:val="004E7AA6"/>
    <w:rsid w:val="004F19D5"/>
    <w:rsid w:val="004F24B8"/>
    <w:rsid w:val="004F2E03"/>
    <w:rsid w:val="004F329B"/>
    <w:rsid w:val="004F442E"/>
    <w:rsid w:val="004F4E2F"/>
    <w:rsid w:val="004F5403"/>
    <w:rsid w:val="004F779A"/>
    <w:rsid w:val="005000A9"/>
    <w:rsid w:val="0050015F"/>
    <w:rsid w:val="00501C80"/>
    <w:rsid w:val="00501E45"/>
    <w:rsid w:val="00503A65"/>
    <w:rsid w:val="00504672"/>
    <w:rsid w:val="005071E6"/>
    <w:rsid w:val="0050731F"/>
    <w:rsid w:val="005079FD"/>
    <w:rsid w:val="00507FAB"/>
    <w:rsid w:val="005104DE"/>
    <w:rsid w:val="00510A11"/>
    <w:rsid w:val="0051139B"/>
    <w:rsid w:val="005117F0"/>
    <w:rsid w:val="00513ACA"/>
    <w:rsid w:val="00513E03"/>
    <w:rsid w:val="00514A40"/>
    <w:rsid w:val="00516252"/>
    <w:rsid w:val="00516295"/>
    <w:rsid w:val="00516C79"/>
    <w:rsid w:val="005172DB"/>
    <w:rsid w:val="00517A38"/>
    <w:rsid w:val="00517BAA"/>
    <w:rsid w:val="0052052F"/>
    <w:rsid w:val="00520FC2"/>
    <w:rsid w:val="0052147C"/>
    <w:rsid w:val="00521A3D"/>
    <w:rsid w:val="00521AE2"/>
    <w:rsid w:val="00521EA8"/>
    <w:rsid w:val="0052227A"/>
    <w:rsid w:val="00523405"/>
    <w:rsid w:val="00524F11"/>
    <w:rsid w:val="00525E77"/>
    <w:rsid w:val="005262CD"/>
    <w:rsid w:val="00526B65"/>
    <w:rsid w:val="005277C3"/>
    <w:rsid w:val="005314B4"/>
    <w:rsid w:val="0053592C"/>
    <w:rsid w:val="00535F76"/>
    <w:rsid w:val="00536866"/>
    <w:rsid w:val="00536908"/>
    <w:rsid w:val="00536AB8"/>
    <w:rsid w:val="00537D30"/>
    <w:rsid w:val="00540E06"/>
    <w:rsid w:val="00541B11"/>
    <w:rsid w:val="00543B80"/>
    <w:rsid w:val="00544C39"/>
    <w:rsid w:val="00545999"/>
    <w:rsid w:val="00545CCF"/>
    <w:rsid w:val="00546A19"/>
    <w:rsid w:val="00547C1A"/>
    <w:rsid w:val="0055017E"/>
    <w:rsid w:val="0055204B"/>
    <w:rsid w:val="00552424"/>
    <w:rsid w:val="005524BF"/>
    <w:rsid w:val="00552AFE"/>
    <w:rsid w:val="00552D4C"/>
    <w:rsid w:val="00552FE4"/>
    <w:rsid w:val="00553D3C"/>
    <w:rsid w:val="00553E91"/>
    <w:rsid w:val="00556298"/>
    <w:rsid w:val="00556303"/>
    <w:rsid w:val="00557B1F"/>
    <w:rsid w:val="0056030E"/>
    <w:rsid w:val="00560CC1"/>
    <w:rsid w:val="00561237"/>
    <w:rsid w:val="00561557"/>
    <w:rsid w:val="00562DE7"/>
    <w:rsid w:val="00563C8B"/>
    <w:rsid w:val="00565389"/>
    <w:rsid w:val="0056599B"/>
    <w:rsid w:val="00565AC8"/>
    <w:rsid w:val="005706F5"/>
    <w:rsid w:val="00570A0A"/>
    <w:rsid w:val="00571425"/>
    <w:rsid w:val="00571A19"/>
    <w:rsid w:val="00573A5A"/>
    <w:rsid w:val="00573CC4"/>
    <w:rsid w:val="00574F76"/>
    <w:rsid w:val="00575150"/>
    <w:rsid w:val="00575654"/>
    <w:rsid w:val="0057619E"/>
    <w:rsid w:val="00576B04"/>
    <w:rsid w:val="00577D97"/>
    <w:rsid w:val="00580908"/>
    <w:rsid w:val="005817CA"/>
    <w:rsid w:val="005824D7"/>
    <w:rsid w:val="005830D2"/>
    <w:rsid w:val="00584D11"/>
    <w:rsid w:val="00585A9B"/>
    <w:rsid w:val="00586128"/>
    <w:rsid w:val="00586267"/>
    <w:rsid w:val="00586F34"/>
    <w:rsid w:val="005904C7"/>
    <w:rsid w:val="00590562"/>
    <w:rsid w:val="00591321"/>
    <w:rsid w:val="00591FF1"/>
    <w:rsid w:val="00592AE2"/>
    <w:rsid w:val="00594558"/>
    <w:rsid w:val="00595644"/>
    <w:rsid w:val="00595CA0"/>
    <w:rsid w:val="00596392"/>
    <w:rsid w:val="005966B5"/>
    <w:rsid w:val="0059692E"/>
    <w:rsid w:val="00596FCB"/>
    <w:rsid w:val="005976DF"/>
    <w:rsid w:val="005A0ECD"/>
    <w:rsid w:val="005A2A30"/>
    <w:rsid w:val="005A40AE"/>
    <w:rsid w:val="005A4E17"/>
    <w:rsid w:val="005A55C5"/>
    <w:rsid w:val="005A5B49"/>
    <w:rsid w:val="005A5CEE"/>
    <w:rsid w:val="005A6582"/>
    <w:rsid w:val="005A688C"/>
    <w:rsid w:val="005A68AB"/>
    <w:rsid w:val="005A7AD1"/>
    <w:rsid w:val="005B049C"/>
    <w:rsid w:val="005B0531"/>
    <w:rsid w:val="005B07BD"/>
    <w:rsid w:val="005B15C7"/>
    <w:rsid w:val="005B160F"/>
    <w:rsid w:val="005B1EFA"/>
    <w:rsid w:val="005B3E56"/>
    <w:rsid w:val="005B483C"/>
    <w:rsid w:val="005B5FFA"/>
    <w:rsid w:val="005B6A95"/>
    <w:rsid w:val="005B6C44"/>
    <w:rsid w:val="005B731E"/>
    <w:rsid w:val="005C2D73"/>
    <w:rsid w:val="005C315D"/>
    <w:rsid w:val="005C412D"/>
    <w:rsid w:val="005C5CAC"/>
    <w:rsid w:val="005C6724"/>
    <w:rsid w:val="005C67B9"/>
    <w:rsid w:val="005D0755"/>
    <w:rsid w:val="005D1052"/>
    <w:rsid w:val="005D1638"/>
    <w:rsid w:val="005D178B"/>
    <w:rsid w:val="005D2265"/>
    <w:rsid w:val="005D3783"/>
    <w:rsid w:val="005D3814"/>
    <w:rsid w:val="005D4C25"/>
    <w:rsid w:val="005D4EA3"/>
    <w:rsid w:val="005D617C"/>
    <w:rsid w:val="005D63C9"/>
    <w:rsid w:val="005D6C20"/>
    <w:rsid w:val="005D75C7"/>
    <w:rsid w:val="005D787D"/>
    <w:rsid w:val="005D7DF4"/>
    <w:rsid w:val="005D7FF8"/>
    <w:rsid w:val="005E0F02"/>
    <w:rsid w:val="005E0F3C"/>
    <w:rsid w:val="005E12C6"/>
    <w:rsid w:val="005E1702"/>
    <w:rsid w:val="005E1BEF"/>
    <w:rsid w:val="005E39FD"/>
    <w:rsid w:val="005E50C3"/>
    <w:rsid w:val="005E53BC"/>
    <w:rsid w:val="005E59B0"/>
    <w:rsid w:val="005E5A3C"/>
    <w:rsid w:val="005E5A77"/>
    <w:rsid w:val="005E5F46"/>
    <w:rsid w:val="005E6D9B"/>
    <w:rsid w:val="005F14FE"/>
    <w:rsid w:val="005F2419"/>
    <w:rsid w:val="005F3024"/>
    <w:rsid w:val="005F33AC"/>
    <w:rsid w:val="005F4015"/>
    <w:rsid w:val="005F4829"/>
    <w:rsid w:val="005F4BDB"/>
    <w:rsid w:val="005F6BF5"/>
    <w:rsid w:val="005F6EFF"/>
    <w:rsid w:val="005F7CBC"/>
    <w:rsid w:val="005F7EEB"/>
    <w:rsid w:val="0060132B"/>
    <w:rsid w:val="0060146C"/>
    <w:rsid w:val="0060254E"/>
    <w:rsid w:val="0060591A"/>
    <w:rsid w:val="00605B60"/>
    <w:rsid w:val="0060601B"/>
    <w:rsid w:val="00607914"/>
    <w:rsid w:val="00610014"/>
    <w:rsid w:val="006104FE"/>
    <w:rsid w:val="00611759"/>
    <w:rsid w:val="00612AD8"/>
    <w:rsid w:val="00612C28"/>
    <w:rsid w:val="00612D59"/>
    <w:rsid w:val="006138BF"/>
    <w:rsid w:val="00615A7C"/>
    <w:rsid w:val="006162CD"/>
    <w:rsid w:val="0062038E"/>
    <w:rsid w:val="00621C00"/>
    <w:rsid w:val="00622308"/>
    <w:rsid w:val="00622325"/>
    <w:rsid w:val="00622C47"/>
    <w:rsid w:val="0062379C"/>
    <w:rsid w:val="00623AD1"/>
    <w:rsid w:val="00623CE0"/>
    <w:rsid w:val="00623F69"/>
    <w:rsid w:val="00625053"/>
    <w:rsid w:val="006251E9"/>
    <w:rsid w:val="006261B0"/>
    <w:rsid w:val="00626CAF"/>
    <w:rsid w:val="00626D1B"/>
    <w:rsid w:val="0063021E"/>
    <w:rsid w:val="00630519"/>
    <w:rsid w:val="00630F97"/>
    <w:rsid w:val="00631434"/>
    <w:rsid w:val="00631749"/>
    <w:rsid w:val="00631D0D"/>
    <w:rsid w:val="006320D4"/>
    <w:rsid w:val="00632DE1"/>
    <w:rsid w:val="006341D2"/>
    <w:rsid w:val="0063431F"/>
    <w:rsid w:val="006345C1"/>
    <w:rsid w:val="006371CB"/>
    <w:rsid w:val="00640BA9"/>
    <w:rsid w:val="00640D49"/>
    <w:rsid w:val="00642752"/>
    <w:rsid w:val="0064473D"/>
    <w:rsid w:val="00644B42"/>
    <w:rsid w:val="0064528E"/>
    <w:rsid w:val="006452A5"/>
    <w:rsid w:val="00645AA7"/>
    <w:rsid w:val="00645EB8"/>
    <w:rsid w:val="00646F31"/>
    <w:rsid w:val="006475A9"/>
    <w:rsid w:val="0064766B"/>
    <w:rsid w:val="006476D3"/>
    <w:rsid w:val="006506D2"/>
    <w:rsid w:val="00650E8A"/>
    <w:rsid w:val="00651DFE"/>
    <w:rsid w:val="00651EA2"/>
    <w:rsid w:val="00653BA7"/>
    <w:rsid w:val="0065457A"/>
    <w:rsid w:val="00654770"/>
    <w:rsid w:val="006547CD"/>
    <w:rsid w:val="006555D1"/>
    <w:rsid w:val="00656530"/>
    <w:rsid w:val="00657AB2"/>
    <w:rsid w:val="00661AB9"/>
    <w:rsid w:val="006631D5"/>
    <w:rsid w:val="00663C3A"/>
    <w:rsid w:val="00663CB1"/>
    <w:rsid w:val="00664264"/>
    <w:rsid w:val="00665063"/>
    <w:rsid w:val="006666EC"/>
    <w:rsid w:val="006705F7"/>
    <w:rsid w:val="0067118E"/>
    <w:rsid w:val="00671A53"/>
    <w:rsid w:val="00672009"/>
    <w:rsid w:val="0067231D"/>
    <w:rsid w:val="006737A1"/>
    <w:rsid w:val="00675759"/>
    <w:rsid w:val="00675F55"/>
    <w:rsid w:val="0068174D"/>
    <w:rsid w:val="00686D9E"/>
    <w:rsid w:val="006901E8"/>
    <w:rsid w:val="00690836"/>
    <w:rsid w:val="00691DDE"/>
    <w:rsid w:val="0069256F"/>
    <w:rsid w:val="00692A52"/>
    <w:rsid w:val="00693880"/>
    <w:rsid w:val="00693E99"/>
    <w:rsid w:val="00695DC1"/>
    <w:rsid w:val="0069655E"/>
    <w:rsid w:val="0069724D"/>
    <w:rsid w:val="00697462"/>
    <w:rsid w:val="006A0847"/>
    <w:rsid w:val="006A0B81"/>
    <w:rsid w:val="006A1417"/>
    <w:rsid w:val="006A1A5B"/>
    <w:rsid w:val="006A2F6E"/>
    <w:rsid w:val="006A3543"/>
    <w:rsid w:val="006A5465"/>
    <w:rsid w:val="006B0D83"/>
    <w:rsid w:val="006B1FDF"/>
    <w:rsid w:val="006B238A"/>
    <w:rsid w:val="006B2DAC"/>
    <w:rsid w:val="006B3F22"/>
    <w:rsid w:val="006B4A0C"/>
    <w:rsid w:val="006B50B9"/>
    <w:rsid w:val="006B5E91"/>
    <w:rsid w:val="006B7391"/>
    <w:rsid w:val="006B76BB"/>
    <w:rsid w:val="006B7CB1"/>
    <w:rsid w:val="006B7DF4"/>
    <w:rsid w:val="006C08A5"/>
    <w:rsid w:val="006C0A94"/>
    <w:rsid w:val="006C0D60"/>
    <w:rsid w:val="006C19FD"/>
    <w:rsid w:val="006C1E19"/>
    <w:rsid w:val="006C2C8F"/>
    <w:rsid w:val="006C46AF"/>
    <w:rsid w:val="006C4AE4"/>
    <w:rsid w:val="006C6C29"/>
    <w:rsid w:val="006C6C97"/>
    <w:rsid w:val="006C74ED"/>
    <w:rsid w:val="006C79F2"/>
    <w:rsid w:val="006D11BA"/>
    <w:rsid w:val="006D1602"/>
    <w:rsid w:val="006D190F"/>
    <w:rsid w:val="006D2092"/>
    <w:rsid w:val="006D29AB"/>
    <w:rsid w:val="006D33AE"/>
    <w:rsid w:val="006D39B4"/>
    <w:rsid w:val="006D72E3"/>
    <w:rsid w:val="006E03D8"/>
    <w:rsid w:val="006E0DB6"/>
    <w:rsid w:val="006E12AB"/>
    <w:rsid w:val="006E269A"/>
    <w:rsid w:val="006E315C"/>
    <w:rsid w:val="006E4208"/>
    <w:rsid w:val="006E4B05"/>
    <w:rsid w:val="006E5380"/>
    <w:rsid w:val="006E6F4D"/>
    <w:rsid w:val="006E6F9A"/>
    <w:rsid w:val="006E6FEA"/>
    <w:rsid w:val="006E734B"/>
    <w:rsid w:val="006F0577"/>
    <w:rsid w:val="006F2701"/>
    <w:rsid w:val="006F31B4"/>
    <w:rsid w:val="006F3380"/>
    <w:rsid w:val="006F6612"/>
    <w:rsid w:val="006F6913"/>
    <w:rsid w:val="006F6C28"/>
    <w:rsid w:val="006F6CA8"/>
    <w:rsid w:val="006F6D2B"/>
    <w:rsid w:val="0070040B"/>
    <w:rsid w:val="00700716"/>
    <w:rsid w:val="00702B60"/>
    <w:rsid w:val="00703AD0"/>
    <w:rsid w:val="00703F46"/>
    <w:rsid w:val="00703F4D"/>
    <w:rsid w:val="007055D4"/>
    <w:rsid w:val="0070698A"/>
    <w:rsid w:val="007077E4"/>
    <w:rsid w:val="00707E23"/>
    <w:rsid w:val="00710524"/>
    <w:rsid w:val="0071141D"/>
    <w:rsid w:val="00711753"/>
    <w:rsid w:val="00711A10"/>
    <w:rsid w:val="00711B72"/>
    <w:rsid w:val="00713C60"/>
    <w:rsid w:val="00713D44"/>
    <w:rsid w:val="0071574A"/>
    <w:rsid w:val="00715A1B"/>
    <w:rsid w:val="00716423"/>
    <w:rsid w:val="0071690A"/>
    <w:rsid w:val="00716B02"/>
    <w:rsid w:val="00717057"/>
    <w:rsid w:val="00720C59"/>
    <w:rsid w:val="007214FA"/>
    <w:rsid w:val="00721788"/>
    <w:rsid w:val="007219A8"/>
    <w:rsid w:val="00721D75"/>
    <w:rsid w:val="007225EB"/>
    <w:rsid w:val="00723B53"/>
    <w:rsid w:val="00723D0A"/>
    <w:rsid w:val="00723D19"/>
    <w:rsid w:val="00725E8F"/>
    <w:rsid w:val="00727060"/>
    <w:rsid w:val="00727132"/>
    <w:rsid w:val="00727A24"/>
    <w:rsid w:val="00727DA1"/>
    <w:rsid w:val="0073030C"/>
    <w:rsid w:val="007304AF"/>
    <w:rsid w:val="00731617"/>
    <w:rsid w:val="00731D75"/>
    <w:rsid w:val="007324B7"/>
    <w:rsid w:val="0073263E"/>
    <w:rsid w:val="00733DF3"/>
    <w:rsid w:val="0073416B"/>
    <w:rsid w:val="00734248"/>
    <w:rsid w:val="0073436A"/>
    <w:rsid w:val="00734CC8"/>
    <w:rsid w:val="00734EC4"/>
    <w:rsid w:val="00736431"/>
    <w:rsid w:val="00736AA3"/>
    <w:rsid w:val="00736DE2"/>
    <w:rsid w:val="007374F2"/>
    <w:rsid w:val="00737DD5"/>
    <w:rsid w:val="00740031"/>
    <w:rsid w:val="0074180C"/>
    <w:rsid w:val="007426D7"/>
    <w:rsid w:val="00742904"/>
    <w:rsid w:val="00743199"/>
    <w:rsid w:val="00743E1E"/>
    <w:rsid w:val="00744929"/>
    <w:rsid w:val="00745106"/>
    <w:rsid w:val="00745AB9"/>
    <w:rsid w:val="00750819"/>
    <w:rsid w:val="00750BDD"/>
    <w:rsid w:val="00751271"/>
    <w:rsid w:val="007512CB"/>
    <w:rsid w:val="0075133C"/>
    <w:rsid w:val="00751F98"/>
    <w:rsid w:val="0075248F"/>
    <w:rsid w:val="00752905"/>
    <w:rsid w:val="007536C4"/>
    <w:rsid w:val="007546EA"/>
    <w:rsid w:val="00755BF9"/>
    <w:rsid w:val="00755DA7"/>
    <w:rsid w:val="00756DD0"/>
    <w:rsid w:val="00757704"/>
    <w:rsid w:val="00757C05"/>
    <w:rsid w:val="00761453"/>
    <w:rsid w:val="007619E5"/>
    <w:rsid w:val="00762252"/>
    <w:rsid w:val="00762C8D"/>
    <w:rsid w:val="0076337D"/>
    <w:rsid w:val="00765F91"/>
    <w:rsid w:val="00766E20"/>
    <w:rsid w:val="00767CBE"/>
    <w:rsid w:val="0077121F"/>
    <w:rsid w:val="00771C77"/>
    <w:rsid w:val="007732BD"/>
    <w:rsid w:val="00773955"/>
    <w:rsid w:val="00773BC1"/>
    <w:rsid w:val="00773ED4"/>
    <w:rsid w:val="0077452F"/>
    <w:rsid w:val="00775025"/>
    <w:rsid w:val="00776001"/>
    <w:rsid w:val="007763AB"/>
    <w:rsid w:val="00776E0E"/>
    <w:rsid w:val="00777F54"/>
    <w:rsid w:val="00781943"/>
    <w:rsid w:val="00782B2D"/>
    <w:rsid w:val="00782F3B"/>
    <w:rsid w:val="00783169"/>
    <w:rsid w:val="0078324A"/>
    <w:rsid w:val="00783F02"/>
    <w:rsid w:val="00784028"/>
    <w:rsid w:val="00784E68"/>
    <w:rsid w:val="0078517F"/>
    <w:rsid w:val="00785995"/>
    <w:rsid w:val="00786763"/>
    <w:rsid w:val="0078762D"/>
    <w:rsid w:val="0079092B"/>
    <w:rsid w:val="00791E63"/>
    <w:rsid w:val="007928A3"/>
    <w:rsid w:val="00793B55"/>
    <w:rsid w:val="00793C89"/>
    <w:rsid w:val="007944E1"/>
    <w:rsid w:val="007949F6"/>
    <w:rsid w:val="007952E9"/>
    <w:rsid w:val="00795D05"/>
    <w:rsid w:val="0079661B"/>
    <w:rsid w:val="007A0C03"/>
    <w:rsid w:val="007A0DC2"/>
    <w:rsid w:val="007A1452"/>
    <w:rsid w:val="007A1857"/>
    <w:rsid w:val="007A43BA"/>
    <w:rsid w:val="007A69D4"/>
    <w:rsid w:val="007A6F3A"/>
    <w:rsid w:val="007B3736"/>
    <w:rsid w:val="007B39FB"/>
    <w:rsid w:val="007B3A98"/>
    <w:rsid w:val="007B5A1D"/>
    <w:rsid w:val="007B7EB6"/>
    <w:rsid w:val="007C0A1F"/>
    <w:rsid w:val="007C0DAC"/>
    <w:rsid w:val="007C1276"/>
    <w:rsid w:val="007C3F3D"/>
    <w:rsid w:val="007C4044"/>
    <w:rsid w:val="007C425C"/>
    <w:rsid w:val="007C45B4"/>
    <w:rsid w:val="007C497D"/>
    <w:rsid w:val="007C5C28"/>
    <w:rsid w:val="007C7DE7"/>
    <w:rsid w:val="007D0211"/>
    <w:rsid w:val="007D0FE2"/>
    <w:rsid w:val="007D1E63"/>
    <w:rsid w:val="007D32CF"/>
    <w:rsid w:val="007D33A0"/>
    <w:rsid w:val="007D4090"/>
    <w:rsid w:val="007D58DE"/>
    <w:rsid w:val="007D6AF8"/>
    <w:rsid w:val="007D73F5"/>
    <w:rsid w:val="007D779C"/>
    <w:rsid w:val="007E063A"/>
    <w:rsid w:val="007E06A1"/>
    <w:rsid w:val="007E0817"/>
    <w:rsid w:val="007E091A"/>
    <w:rsid w:val="007E1F5A"/>
    <w:rsid w:val="007E5F8F"/>
    <w:rsid w:val="007E6720"/>
    <w:rsid w:val="007E7FD6"/>
    <w:rsid w:val="007F1152"/>
    <w:rsid w:val="007F145E"/>
    <w:rsid w:val="007F1D94"/>
    <w:rsid w:val="007F2123"/>
    <w:rsid w:val="007F2140"/>
    <w:rsid w:val="007F25E4"/>
    <w:rsid w:val="007F3865"/>
    <w:rsid w:val="007F4F07"/>
    <w:rsid w:val="007F7C59"/>
    <w:rsid w:val="0080052F"/>
    <w:rsid w:val="00800EB6"/>
    <w:rsid w:val="00801789"/>
    <w:rsid w:val="00802BBD"/>
    <w:rsid w:val="00804872"/>
    <w:rsid w:val="00804D06"/>
    <w:rsid w:val="00804D51"/>
    <w:rsid w:val="008073BD"/>
    <w:rsid w:val="00807842"/>
    <w:rsid w:val="00810C2E"/>
    <w:rsid w:val="00811306"/>
    <w:rsid w:val="00811CCA"/>
    <w:rsid w:val="00814106"/>
    <w:rsid w:val="00814A71"/>
    <w:rsid w:val="00816EE5"/>
    <w:rsid w:val="008206C3"/>
    <w:rsid w:val="0082178E"/>
    <w:rsid w:val="00821ABA"/>
    <w:rsid w:val="0082261C"/>
    <w:rsid w:val="0082296E"/>
    <w:rsid w:val="00823718"/>
    <w:rsid w:val="008238AC"/>
    <w:rsid w:val="00823A6A"/>
    <w:rsid w:val="00823D18"/>
    <w:rsid w:val="008248D2"/>
    <w:rsid w:val="00825E99"/>
    <w:rsid w:val="00826495"/>
    <w:rsid w:val="008272A4"/>
    <w:rsid w:val="00827E2D"/>
    <w:rsid w:val="0083200E"/>
    <w:rsid w:val="008327AF"/>
    <w:rsid w:val="00833524"/>
    <w:rsid w:val="008342E7"/>
    <w:rsid w:val="0083490A"/>
    <w:rsid w:val="00834E74"/>
    <w:rsid w:val="0083650A"/>
    <w:rsid w:val="00837CF1"/>
    <w:rsid w:val="00840806"/>
    <w:rsid w:val="008439D5"/>
    <w:rsid w:val="008439D6"/>
    <w:rsid w:val="008446E0"/>
    <w:rsid w:val="00845EAB"/>
    <w:rsid w:val="00846415"/>
    <w:rsid w:val="008464F4"/>
    <w:rsid w:val="00847BBC"/>
    <w:rsid w:val="00850B51"/>
    <w:rsid w:val="0085170E"/>
    <w:rsid w:val="008523B0"/>
    <w:rsid w:val="00852AE7"/>
    <w:rsid w:val="00853519"/>
    <w:rsid w:val="008545FB"/>
    <w:rsid w:val="00855F59"/>
    <w:rsid w:val="00857AD7"/>
    <w:rsid w:val="00857C2A"/>
    <w:rsid w:val="00860406"/>
    <w:rsid w:val="00860446"/>
    <w:rsid w:val="008606EB"/>
    <w:rsid w:val="00861338"/>
    <w:rsid w:val="00861D95"/>
    <w:rsid w:val="00861E89"/>
    <w:rsid w:val="00862033"/>
    <w:rsid w:val="0086206C"/>
    <w:rsid w:val="00862833"/>
    <w:rsid w:val="00863038"/>
    <w:rsid w:val="0086371B"/>
    <w:rsid w:val="00870503"/>
    <w:rsid w:val="00870575"/>
    <w:rsid w:val="00870C67"/>
    <w:rsid w:val="00871E75"/>
    <w:rsid w:val="00872A00"/>
    <w:rsid w:val="00874868"/>
    <w:rsid w:val="00874D3D"/>
    <w:rsid w:val="00876427"/>
    <w:rsid w:val="00876538"/>
    <w:rsid w:val="00876684"/>
    <w:rsid w:val="00880891"/>
    <w:rsid w:val="00880F41"/>
    <w:rsid w:val="00882D24"/>
    <w:rsid w:val="008835D4"/>
    <w:rsid w:val="008838FF"/>
    <w:rsid w:val="00884766"/>
    <w:rsid w:val="00885649"/>
    <w:rsid w:val="00885D18"/>
    <w:rsid w:val="0088695B"/>
    <w:rsid w:val="008879E5"/>
    <w:rsid w:val="0089181D"/>
    <w:rsid w:val="008919C7"/>
    <w:rsid w:val="00892311"/>
    <w:rsid w:val="0089274F"/>
    <w:rsid w:val="00892DBE"/>
    <w:rsid w:val="008937A4"/>
    <w:rsid w:val="00895138"/>
    <w:rsid w:val="00895245"/>
    <w:rsid w:val="00895804"/>
    <w:rsid w:val="008961A6"/>
    <w:rsid w:val="00896252"/>
    <w:rsid w:val="00896EB8"/>
    <w:rsid w:val="008A0D3C"/>
    <w:rsid w:val="008A16FB"/>
    <w:rsid w:val="008A1870"/>
    <w:rsid w:val="008A188B"/>
    <w:rsid w:val="008A3B69"/>
    <w:rsid w:val="008A49C3"/>
    <w:rsid w:val="008A4E9B"/>
    <w:rsid w:val="008A66BE"/>
    <w:rsid w:val="008A700F"/>
    <w:rsid w:val="008A7837"/>
    <w:rsid w:val="008A7D6D"/>
    <w:rsid w:val="008B123F"/>
    <w:rsid w:val="008B177A"/>
    <w:rsid w:val="008B1DA0"/>
    <w:rsid w:val="008B21A5"/>
    <w:rsid w:val="008B2842"/>
    <w:rsid w:val="008B3C77"/>
    <w:rsid w:val="008B5013"/>
    <w:rsid w:val="008B646C"/>
    <w:rsid w:val="008B6593"/>
    <w:rsid w:val="008B7302"/>
    <w:rsid w:val="008B7CA9"/>
    <w:rsid w:val="008C0048"/>
    <w:rsid w:val="008C0693"/>
    <w:rsid w:val="008C307A"/>
    <w:rsid w:val="008C3961"/>
    <w:rsid w:val="008C3D68"/>
    <w:rsid w:val="008C6B84"/>
    <w:rsid w:val="008C6D41"/>
    <w:rsid w:val="008C6FA9"/>
    <w:rsid w:val="008C7057"/>
    <w:rsid w:val="008C744D"/>
    <w:rsid w:val="008C7811"/>
    <w:rsid w:val="008D0BD7"/>
    <w:rsid w:val="008D15AD"/>
    <w:rsid w:val="008D2633"/>
    <w:rsid w:val="008D3B04"/>
    <w:rsid w:val="008D516F"/>
    <w:rsid w:val="008D554A"/>
    <w:rsid w:val="008D587C"/>
    <w:rsid w:val="008D5D48"/>
    <w:rsid w:val="008D646F"/>
    <w:rsid w:val="008D77C5"/>
    <w:rsid w:val="008D7C70"/>
    <w:rsid w:val="008E153A"/>
    <w:rsid w:val="008E2C98"/>
    <w:rsid w:val="008E309B"/>
    <w:rsid w:val="008E3D42"/>
    <w:rsid w:val="008E5DCB"/>
    <w:rsid w:val="008E5F9C"/>
    <w:rsid w:val="008E67E6"/>
    <w:rsid w:val="008E693A"/>
    <w:rsid w:val="008E6FF4"/>
    <w:rsid w:val="008F0305"/>
    <w:rsid w:val="008F121D"/>
    <w:rsid w:val="008F1659"/>
    <w:rsid w:val="008F1ED6"/>
    <w:rsid w:val="008F221B"/>
    <w:rsid w:val="008F26D9"/>
    <w:rsid w:val="008F31FE"/>
    <w:rsid w:val="008F333D"/>
    <w:rsid w:val="008F4A71"/>
    <w:rsid w:val="008F4C02"/>
    <w:rsid w:val="008F5145"/>
    <w:rsid w:val="008F574C"/>
    <w:rsid w:val="008F5861"/>
    <w:rsid w:val="008F63A4"/>
    <w:rsid w:val="008F748B"/>
    <w:rsid w:val="008F7A17"/>
    <w:rsid w:val="009010A7"/>
    <w:rsid w:val="00902041"/>
    <w:rsid w:val="0090278C"/>
    <w:rsid w:val="00902AF0"/>
    <w:rsid w:val="00903292"/>
    <w:rsid w:val="009047BC"/>
    <w:rsid w:val="00905908"/>
    <w:rsid w:val="009064CB"/>
    <w:rsid w:val="0090658B"/>
    <w:rsid w:val="009114DF"/>
    <w:rsid w:val="00911DDF"/>
    <w:rsid w:val="00912344"/>
    <w:rsid w:val="00913C37"/>
    <w:rsid w:val="00913D21"/>
    <w:rsid w:val="00915328"/>
    <w:rsid w:val="00915F93"/>
    <w:rsid w:val="00916285"/>
    <w:rsid w:val="0092100C"/>
    <w:rsid w:val="0092231A"/>
    <w:rsid w:val="00922B5B"/>
    <w:rsid w:val="00923462"/>
    <w:rsid w:val="00923764"/>
    <w:rsid w:val="00923805"/>
    <w:rsid w:val="00924256"/>
    <w:rsid w:val="00926A8B"/>
    <w:rsid w:val="00930441"/>
    <w:rsid w:val="00930678"/>
    <w:rsid w:val="00931B8B"/>
    <w:rsid w:val="00932B5C"/>
    <w:rsid w:val="00933C8A"/>
    <w:rsid w:val="009350B9"/>
    <w:rsid w:val="0093581A"/>
    <w:rsid w:val="00935BC8"/>
    <w:rsid w:val="00935D60"/>
    <w:rsid w:val="0093636C"/>
    <w:rsid w:val="00937381"/>
    <w:rsid w:val="00940BD6"/>
    <w:rsid w:val="00940D53"/>
    <w:rsid w:val="00940DD2"/>
    <w:rsid w:val="00940EC8"/>
    <w:rsid w:val="00941AE1"/>
    <w:rsid w:val="0094285D"/>
    <w:rsid w:val="00944A36"/>
    <w:rsid w:val="00945681"/>
    <w:rsid w:val="00945E63"/>
    <w:rsid w:val="00947696"/>
    <w:rsid w:val="0094793E"/>
    <w:rsid w:val="00947990"/>
    <w:rsid w:val="00947FCD"/>
    <w:rsid w:val="009505E6"/>
    <w:rsid w:val="00951F53"/>
    <w:rsid w:val="009524F9"/>
    <w:rsid w:val="00952B75"/>
    <w:rsid w:val="00952CC5"/>
    <w:rsid w:val="009530D1"/>
    <w:rsid w:val="00953B95"/>
    <w:rsid w:val="00953F0C"/>
    <w:rsid w:val="00954452"/>
    <w:rsid w:val="009552E9"/>
    <w:rsid w:val="00956115"/>
    <w:rsid w:val="009565BE"/>
    <w:rsid w:val="00960CEF"/>
    <w:rsid w:val="00960FF7"/>
    <w:rsid w:val="0096184D"/>
    <w:rsid w:val="009620CA"/>
    <w:rsid w:val="00962170"/>
    <w:rsid w:val="009645E9"/>
    <w:rsid w:val="00964AB4"/>
    <w:rsid w:val="00964AC0"/>
    <w:rsid w:val="00965509"/>
    <w:rsid w:val="00966467"/>
    <w:rsid w:val="0096673F"/>
    <w:rsid w:val="009667B2"/>
    <w:rsid w:val="0096725A"/>
    <w:rsid w:val="00967DEE"/>
    <w:rsid w:val="00970B50"/>
    <w:rsid w:val="00970F49"/>
    <w:rsid w:val="00971618"/>
    <w:rsid w:val="00971955"/>
    <w:rsid w:val="00971DC0"/>
    <w:rsid w:val="00973E3D"/>
    <w:rsid w:val="009741F3"/>
    <w:rsid w:val="009754A9"/>
    <w:rsid w:val="00975D73"/>
    <w:rsid w:val="00976D0A"/>
    <w:rsid w:val="00976ECA"/>
    <w:rsid w:val="009775E7"/>
    <w:rsid w:val="0097771C"/>
    <w:rsid w:val="00980A91"/>
    <w:rsid w:val="00980E6F"/>
    <w:rsid w:val="00981458"/>
    <w:rsid w:val="009831A3"/>
    <w:rsid w:val="00983FE9"/>
    <w:rsid w:val="0098471B"/>
    <w:rsid w:val="00984A69"/>
    <w:rsid w:val="00985CC9"/>
    <w:rsid w:val="009863A9"/>
    <w:rsid w:val="00986EA1"/>
    <w:rsid w:val="00987346"/>
    <w:rsid w:val="00987416"/>
    <w:rsid w:val="00991B38"/>
    <w:rsid w:val="00992D94"/>
    <w:rsid w:val="00995018"/>
    <w:rsid w:val="00995D53"/>
    <w:rsid w:val="0099620B"/>
    <w:rsid w:val="00996685"/>
    <w:rsid w:val="00997A7D"/>
    <w:rsid w:val="009A103F"/>
    <w:rsid w:val="009A18DD"/>
    <w:rsid w:val="009A2E01"/>
    <w:rsid w:val="009A2F13"/>
    <w:rsid w:val="009A33A3"/>
    <w:rsid w:val="009A4DB5"/>
    <w:rsid w:val="009A5030"/>
    <w:rsid w:val="009A50E1"/>
    <w:rsid w:val="009A5F80"/>
    <w:rsid w:val="009A6C33"/>
    <w:rsid w:val="009B0191"/>
    <w:rsid w:val="009B11C1"/>
    <w:rsid w:val="009B17CE"/>
    <w:rsid w:val="009B183F"/>
    <w:rsid w:val="009B1926"/>
    <w:rsid w:val="009B1F51"/>
    <w:rsid w:val="009B2435"/>
    <w:rsid w:val="009B29C4"/>
    <w:rsid w:val="009B39D5"/>
    <w:rsid w:val="009B47F5"/>
    <w:rsid w:val="009B4BCA"/>
    <w:rsid w:val="009B55CF"/>
    <w:rsid w:val="009B5609"/>
    <w:rsid w:val="009B642A"/>
    <w:rsid w:val="009C0FDB"/>
    <w:rsid w:val="009C0FFC"/>
    <w:rsid w:val="009C19BC"/>
    <w:rsid w:val="009C2954"/>
    <w:rsid w:val="009C2E6B"/>
    <w:rsid w:val="009C2EA2"/>
    <w:rsid w:val="009C37E2"/>
    <w:rsid w:val="009C3A4B"/>
    <w:rsid w:val="009C3A74"/>
    <w:rsid w:val="009C3C69"/>
    <w:rsid w:val="009C3D34"/>
    <w:rsid w:val="009C407C"/>
    <w:rsid w:val="009C42B6"/>
    <w:rsid w:val="009C465E"/>
    <w:rsid w:val="009C57EE"/>
    <w:rsid w:val="009C633D"/>
    <w:rsid w:val="009C6FBC"/>
    <w:rsid w:val="009C712E"/>
    <w:rsid w:val="009C767D"/>
    <w:rsid w:val="009C7A35"/>
    <w:rsid w:val="009C7AAF"/>
    <w:rsid w:val="009D0155"/>
    <w:rsid w:val="009D1226"/>
    <w:rsid w:val="009D36AE"/>
    <w:rsid w:val="009D38AD"/>
    <w:rsid w:val="009D40F6"/>
    <w:rsid w:val="009D493F"/>
    <w:rsid w:val="009D58DF"/>
    <w:rsid w:val="009D64DD"/>
    <w:rsid w:val="009D7769"/>
    <w:rsid w:val="009E20F2"/>
    <w:rsid w:val="009E2447"/>
    <w:rsid w:val="009E3FF9"/>
    <w:rsid w:val="009E404F"/>
    <w:rsid w:val="009E56D2"/>
    <w:rsid w:val="009E5752"/>
    <w:rsid w:val="009E6950"/>
    <w:rsid w:val="009E6C3D"/>
    <w:rsid w:val="009E6EAE"/>
    <w:rsid w:val="009E736B"/>
    <w:rsid w:val="009E7786"/>
    <w:rsid w:val="009E796B"/>
    <w:rsid w:val="009E7DBE"/>
    <w:rsid w:val="009F0F0E"/>
    <w:rsid w:val="009F212A"/>
    <w:rsid w:val="009F2937"/>
    <w:rsid w:val="009F296D"/>
    <w:rsid w:val="009F3FF5"/>
    <w:rsid w:val="009F560F"/>
    <w:rsid w:val="009F614F"/>
    <w:rsid w:val="009F7431"/>
    <w:rsid w:val="009F7E35"/>
    <w:rsid w:val="00A00FA3"/>
    <w:rsid w:val="00A013C9"/>
    <w:rsid w:val="00A02FFD"/>
    <w:rsid w:val="00A0351B"/>
    <w:rsid w:val="00A040BA"/>
    <w:rsid w:val="00A050E2"/>
    <w:rsid w:val="00A053D4"/>
    <w:rsid w:val="00A05BF7"/>
    <w:rsid w:val="00A05EC5"/>
    <w:rsid w:val="00A073C3"/>
    <w:rsid w:val="00A079AC"/>
    <w:rsid w:val="00A10C8B"/>
    <w:rsid w:val="00A1122A"/>
    <w:rsid w:val="00A12285"/>
    <w:rsid w:val="00A134CA"/>
    <w:rsid w:val="00A1506D"/>
    <w:rsid w:val="00A16B0B"/>
    <w:rsid w:val="00A170F7"/>
    <w:rsid w:val="00A176B0"/>
    <w:rsid w:val="00A21450"/>
    <w:rsid w:val="00A214E5"/>
    <w:rsid w:val="00A221A2"/>
    <w:rsid w:val="00A22E44"/>
    <w:rsid w:val="00A23159"/>
    <w:rsid w:val="00A23B8D"/>
    <w:rsid w:val="00A24ED9"/>
    <w:rsid w:val="00A24EFE"/>
    <w:rsid w:val="00A27770"/>
    <w:rsid w:val="00A30106"/>
    <w:rsid w:val="00A31687"/>
    <w:rsid w:val="00A31CAA"/>
    <w:rsid w:val="00A33A1A"/>
    <w:rsid w:val="00A34B08"/>
    <w:rsid w:val="00A34DD3"/>
    <w:rsid w:val="00A355CF"/>
    <w:rsid w:val="00A362ED"/>
    <w:rsid w:val="00A363FD"/>
    <w:rsid w:val="00A37319"/>
    <w:rsid w:val="00A37673"/>
    <w:rsid w:val="00A420B3"/>
    <w:rsid w:val="00A420D2"/>
    <w:rsid w:val="00A42DFF"/>
    <w:rsid w:val="00A433D1"/>
    <w:rsid w:val="00A434C0"/>
    <w:rsid w:val="00A435B5"/>
    <w:rsid w:val="00A4384D"/>
    <w:rsid w:val="00A453CB"/>
    <w:rsid w:val="00A45647"/>
    <w:rsid w:val="00A45EBE"/>
    <w:rsid w:val="00A4674D"/>
    <w:rsid w:val="00A46CCA"/>
    <w:rsid w:val="00A5001F"/>
    <w:rsid w:val="00A517CF"/>
    <w:rsid w:val="00A5224F"/>
    <w:rsid w:val="00A52EA0"/>
    <w:rsid w:val="00A533D3"/>
    <w:rsid w:val="00A53CC7"/>
    <w:rsid w:val="00A5533E"/>
    <w:rsid w:val="00A55896"/>
    <w:rsid w:val="00A56CAC"/>
    <w:rsid w:val="00A57D87"/>
    <w:rsid w:val="00A600A6"/>
    <w:rsid w:val="00A60217"/>
    <w:rsid w:val="00A612F7"/>
    <w:rsid w:val="00A613E2"/>
    <w:rsid w:val="00A624C9"/>
    <w:rsid w:val="00A669F1"/>
    <w:rsid w:val="00A66E03"/>
    <w:rsid w:val="00A67264"/>
    <w:rsid w:val="00A675B6"/>
    <w:rsid w:val="00A70A3A"/>
    <w:rsid w:val="00A71209"/>
    <w:rsid w:val="00A71807"/>
    <w:rsid w:val="00A73D3E"/>
    <w:rsid w:val="00A73EB2"/>
    <w:rsid w:val="00A74DC4"/>
    <w:rsid w:val="00A7504E"/>
    <w:rsid w:val="00A7645B"/>
    <w:rsid w:val="00A77312"/>
    <w:rsid w:val="00A777E8"/>
    <w:rsid w:val="00A77E8B"/>
    <w:rsid w:val="00A81160"/>
    <w:rsid w:val="00A81460"/>
    <w:rsid w:val="00A81990"/>
    <w:rsid w:val="00A82378"/>
    <w:rsid w:val="00A82D58"/>
    <w:rsid w:val="00A82D70"/>
    <w:rsid w:val="00A83333"/>
    <w:rsid w:val="00A83CD5"/>
    <w:rsid w:val="00A849A8"/>
    <w:rsid w:val="00A84DAF"/>
    <w:rsid w:val="00A85C7C"/>
    <w:rsid w:val="00A8608C"/>
    <w:rsid w:val="00A86113"/>
    <w:rsid w:val="00A8638A"/>
    <w:rsid w:val="00A87F19"/>
    <w:rsid w:val="00A908AE"/>
    <w:rsid w:val="00A9103D"/>
    <w:rsid w:val="00A91916"/>
    <w:rsid w:val="00A92302"/>
    <w:rsid w:val="00A92656"/>
    <w:rsid w:val="00A9282F"/>
    <w:rsid w:val="00A92D63"/>
    <w:rsid w:val="00A9344A"/>
    <w:rsid w:val="00A95735"/>
    <w:rsid w:val="00A95976"/>
    <w:rsid w:val="00A95FBD"/>
    <w:rsid w:val="00A9619C"/>
    <w:rsid w:val="00A9680F"/>
    <w:rsid w:val="00AA0067"/>
    <w:rsid w:val="00AA0CE5"/>
    <w:rsid w:val="00AA22AF"/>
    <w:rsid w:val="00AA2363"/>
    <w:rsid w:val="00AA23E5"/>
    <w:rsid w:val="00AA57C9"/>
    <w:rsid w:val="00AA59B7"/>
    <w:rsid w:val="00AA5DBE"/>
    <w:rsid w:val="00AA7998"/>
    <w:rsid w:val="00AA7BD3"/>
    <w:rsid w:val="00AB0E83"/>
    <w:rsid w:val="00AB0F13"/>
    <w:rsid w:val="00AB1228"/>
    <w:rsid w:val="00AB236F"/>
    <w:rsid w:val="00AB2574"/>
    <w:rsid w:val="00AB26A6"/>
    <w:rsid w:val="00AB3536"/>
    <w:rsid w:val="00AB4EB8"/>
    <w:rsid w:val="00AC119A"/>
    <w:rsid w:val="00AC14A5"/>
    <w:rsid w:val="00AC244E"/>
    <w:rsid w:val="00AC3BAB"/>
    <w:rsid w:val="00AC3DB7"/>
    <w:rsid w:val="00AC4863"/>
    <w:rsid w:val="00AC5947"/>
    <w:rsid w:val="00AC5BA9"/>
    <w:rsid w:val="00AD1354"/>
    <w:rsid w:val="00AD2429"/>
    <w:rsid w:val="00AD2824"/>
    <w:rsid w:val="00AD2911"/>
    <w:rsid w:val="00AD2AF7"/>
    <w:rsid w:val="00AD2F79"/>
    <w:rsid w:val="00AD3D97"/>
    <w:rsid w:val="00AD4659"/>
    <w:rsid w:val="00AD4F31"/>
    <w:rsid w:val="00AD5E6D"/>
    <w:rsid w:val="00AD65C5"/>
    <w:rsid w:val="00AD7197"/>
    <w:rsid w:val="00AD7C06"/>
    <w:rsid w:val="00AE1086"/>
    <w:rsid w:val="00AE149B"/>
    <w:rsid w:val="00AE149D"/>
    <w:rsid w:val="00AE299D"/>
    <w:rsid w:val="00AE3329"/>
    <w:rsid w:val="00AE34EA"/>
    <w:rsid w:val="00AE5451"/>
    <w:rsid w:val="00AE58BF"/>
    <w:rsid w:val="00AE629E"/>
    <w:rsid w:val="00AE799D"/>
    <w:rsid w:val="00AF0FF8"/>
    <w:rsid w:val="00AF1D05"/>
    <w:rsid w:val="00AF2424"/>
    <w:rsid w:val="00AF26D0"/>
    <w:rsid w:val="00AF302E"/>
    <w:rsid w:val="00AF3308"/>
    <w:rsid w:val="00AF3478"/>
    <w:rsid w:val="00AF4310"/>
    <w:rsid w:val="00AF5036"/>
    <w:rsid w:val="00AF5622"/>
    <w:rsid w:val="00AF7A55"/>
    <w:rsid w:val="00B00009"/>
    <w:rsid w:val="00B00AED"/>
    <w:rsid w:val="00B019BC"/>
    <w:rsid w:val="00B01DD2"/>
    <w:rsid w:val="00B02451"/>
    <w:rsid w:val="00B02A2E"/>
    <w:rsid w:val="00B03945"/>
    <w:rsid w:val="00B04264"/>
    <w:rsid w:val="00B070DA"/>
    <w:rsid w:val="00B07B30"/>
    <w:rsid w:val="00B07DF6"/>
    <w:rsid w:val="00B100C4"/>
    <w:rsid w:val="00B1107A"/>
    <w:rsid w:val="00B11172"/>
    <w:rsid w:val="00B119C8"/>
    <w:rsid w:val="00B123F4"/>
    <w:rsid w:val="00B13053"/>
    <w:rsid w:val="00B145AC"/>
    <w:rsid w:val="00B16888"/>
    <w:rsid w:val="00B17AC9"/>
    <w:rsid w:val="00B17B1E"/>
    <w:rsid w:val="00B17DC8"/>
    <w:rsid w:val="00B20ADC"/>
    <w:rsid w:val="00B2147B"/>
    <w:rsid w:val="00B21501"/>
    <w:rsid w:val="00B21745"/>
    <w:rsid w:val="00B224F5"/>
    <w:rsid w:val="00B22636"/>
    <w:rsid w:val="00B22900"/>
    <w:rsid w:val="00B23E21"/>
    <w:rsid w:val="00B25C64"/>
    <w:rsid w:val="00B25E52"/>
    <w:rsid w:val="00B2685C"/>
    <w:rsid w:val="00B2715B"/>
    <w:rsid w:val="00B300BA"/>
    <w:rsid w:val="00B30925"/>
    <w:rsid w:val="00B30B2A"/>
    <w:rsid w:val="00B31CF7"/>
    <w:rsid w:val="00B3320B"/>
    <w:rsid w:val="00B334AC"/>
    <w:rsid w:val="00B34B75"/>
    <w:rsid w:val="00B35626"/>
    <w:rsid w:val="00B35ED8"/>
    <w:rsid w:val="00B40863"/>
    <w:rsid w:val="00B41978"/>
    <w:rsid w:val="00B4227A"/>
    <w:rsid w:val="00B43145"/>
    <w:rsid w:val="00B431B5"/>
    <w:rsid w:val="00B4323F"/>
    <w:rsid w:val="00B43322"/>
    <w:rsid w:val="00B43687"/>
    <w:rsid w:val="00B46B90"/>
    <w:rsid w:val="00B4774E"/>
    <w:rsid w:val="00B47CDD"/>
    <w:rsid w:val="00B50B44"/>
    <w:rsid w:val="00B50BE7"/>
    <w:rsid w:val="00B5155E"/>
    <w:rsid w:val="00B5164B"/>
    <w:rsid w:val="00B51EE5"/>
    <w:rsid w:val="00B54026"/>
    <w:rsid w:val="00B540CE"/>
    <w:rsid w:val="00B568A9"/>
    <w:rsid w:val="00B60941"/>
    <w:rsid w:val="00B60EA5"/>
    <w:rsid w:val="00B619C3"/>
    <w:rsid w:val="00B65019"/>
    <w:rsid w:val="00B65D6C"/>
    <w:rsid w:val="00B668E8"/>
    <w:rsid w:val="00B674BC"/>
    <w:rsid w:val="00B67BC5"/>
    <w:rsid w:val="00B700E3"/>
    <w:rsid w:val="00B70EF1"/>
    <w:rsid w:val="00B71CDE"/>
    <w:rsid w:val="00B72250"/>
    <w:rsid w:val="00B72ECD"/>
    <w:rsid w:val="00B732B7"/>
    <w:rsid w:val="00B744DE"/>
    <w:rsid w:val="00B74934"/>
    <w:rsid w:val="00B764F4"/>
    <w:rsid w:val="00B76F97"/>
    <w:rsid w:val="00B80137"/>
    <w:rsid w:val="00B80256"/>
    <w:rsid w:val="00B80468"/>
    <w:rsid w:val="00B81344"/>
    <w:rsid w:val="00B81754"/>
    <w:rsid w:val="00B81A1E"/>
    <w:rsid w:val="00B81BAF"/>
    <w:rsid w:val="00B81C50"/>
    <w:rsid w:val="00B82CE6"/>
    <w:rsid w:val="00B840BF"/>
    <w:rsid w:val="00B842C1"/>
    <w:rsid w:val="00B85CE3"/>
    <w:rsid w:val="00B86A88"/>
    <w:rsid w:val="00B86C1B"/>
    <w:rsid w:val="00B86F3F"/>
    <w:rsid w:val="00B87C9E"/>
    <w:rsid w:val="00B902EC"/>
    <w:rsid w:val="00B9044C"/>
    <w:rsid w:val="00B9046D"/>
    <w:rsid w:val="00B914B5"/>
    <w:rsid w:val="00B91B1E"/>
    <w:rsid w:val="00B91CBA"/>
    <w:rsid w:val="00B930AD"/>
    <w:rsid w:val="00B93B87"/>
    <w:rsid w:val="00B94A7F"/>
    <w:rsid w:val="00B954D9"/>
    <w:rsid w:val="00B9781E"/>
    <w:rsid w:val="00BA00B7"/>
    <w:rsid w:val="00BA0569"/>
    <w:rsid w:val="00BA0B57"/>
    <w:rsid w:val="00BA1283"/>
    <w:rsid w:val="00BA1E28"/>
    <w:rsid w:val="00BA2323"/>
    <w:rsid w:val="00BA30EF"/>
    <w:rsid w:val="00BA46C3"/>
    <w:rsid w:val="00BA4A65"/>
    <w:rsid w:val="00BA4AF5"/>
    <w:rsid w:val="00BA4F19"/>
    <w:rsid w:val="00BA5B73"/>
    <w:rsid w:val="00BA68AD"/>
    <w:rsid w:val="00BA74E7"/>
    <w:rsid w:val="00BB05A8"/>
    <w:rsid w:val="00BB0D07"/>
    <w:rsid w:val="00BB2DA9"/>
    <w:rsid w:val="00BB32D2"/>
    <w:rsid w:val="00BB4CCC"/>
    <w:rsid w:val="00BB546E"/>
    <w:rsid w:val="00BB5681"/>
    <w:rsid w:val="00BB578F"/>
    <w:rsid w:val="00BB58F1"/>
    <w:rsid w:val="00BB6687"/>
    <w:rsid w:val="00BB6D30"/>
    <w:rsid w:val="00BB77FD"/>
    <w:rsid w:val="00BC1924"/>
    <w:rsid w:val="00BC3C94"/>
    <w:rsid w:val="00BC53F5"/>
    <w:rsid w:val="00BC658A"/>
    <w:rsid w:val="00BC75BA"/>
    <w:rsid w:val="00BC7D07"/>
    <w:rsid w:val="00BD070B"/>
    <w:rsid w:val="00BD0A52"/>
    <w:rsid w:val="00BD1381"/>
    <w:rsid w:val="00BD16B3"/>
    <w:rsid w:val="00BD2179"/>
    <w:rsid w:val="00BD6201"/>
    <w:rsid w:val="00BD63D8"/>
    <w:rsid w:val="00BD6C57"/>
    <w:rsid w:val="00BD6EE6"/>
    <w:rsid w:val="00BD7406"/>
    <w:rsid w:val="00BD7426"/>
    <w:rsid w:val="00BE00DA"/>
    <w:rsid w:val="00BE0C2A"/>
    <w:rsid w:val="00BE2496"/>
    <w:rsid w:val="00BE2A5E"/>
    <w:rsid w:val="00BE4154"/>
    <w:rsid w:val="00BF0139"/>
    <w:rsid w:val="00BF1A01"/>
    <w:rsid w:val="00BF3C5E"/>
    <w:rsid w:val="00BF3F4E"/>
    <w:rsid w:val="00BF3F8B"/>
    <w:rsid w:val="00BF5C3F"/>
    <w:rsid w:val="00BF6F2A"/>
    <w:rsid w:val="00BF737C"/>
    <w:rsid w:val="00C00A71"/>
    <w:rsid w:val="00C01501"/>
    <w:rsid w:val="00C02057"/>
    <w:rsid w:val="00C02264"/>
    <w:rsid w:val="00C03814"/>
    <w:rsid w:val="00C03B0F"/>
    <w:rsid w:val="00C03B5B"/>
    <w:rsid w:val="00C03D50"/>
    <w:rsid w:val="00C06176"/>
    <w:rsid w:val="00C07697"/>
    <w:rsid w:val="00C07D88"/>
    <w:rsid w:val="00C10BA7"/>
    <w:rsid w:val="00C113C7"/>
    <w:rsid w:val="00C12E6D"/>
    <w:rsid w:val="00C12FBC"/>
    <w:rsid w:val="00C13522"/>
    <w:rsid w:val="00C149A9"/>
    <w:rsid w:val="00C15531"/>
    <w:rsid w:val="00C158FA"/>
    <w:rsid w:val="00C15929"/>
    <w:rsid w:val="00C17C5F"/>
    <w:rsid w:val="00C20588"/>
    <w:rsid w:val="00C21B3A"/>
    <w:rsid w:val="00C21BFA"/>
    <w:rsid w:val="00C22931"/>
    <w:rsid w:val="00C22E2B"/>
    <w:rsid w:val="00C22FDA"/>
    <w:rsid w:val="00C236C8"/>
    <w:rsid w:val="00C270CB"/>
    <w:rsid w:val="00C27AA1"/>
    <w:rsid w:val="00C30151"/>
    <w:rsid w:val="00C30698"/>
    <w:rsid w:val="00C30E5C"/>
    <w:rsid w:val="00C3134D"/>
    <w:rsid w:val="00C31AA9"/>
    <w:rsid w:val="00C32236"/>
    <w:rsid w:val="00C3251A"/>
    <w:rsid w:val="00C32BAF"/>
    <w:rsid w:val="00C33528"/>
    <w:rsid w:val="00C338C5"/>
    <w:rsid w:val="00C33951"/>
    <w:rsid w:val="00C35732"/>
    <w:rsid w:val="00C3658F"/>
    <w:rsid w:val="00C36D5B"/>
    <w:rsid w:val="00C41E5C"/>
    <w:rsid w:val="00C43496"/>
    <w:rsid w:val="00C456A8"/>
    <w:rsid w:val="00C45B62"/>
    <w:rsid w:val="00C4663F"/>
    <w:rsid w:val="00C50B23"/>
    <w:rsid w:val="00C51CC2"/>
    <w:rsid w:val="00C5423E"/>
    <w:rsid w:val="00C547C5"/>
    <w:rsid w:val="00C60300"/>
    <w:rsid w:val="00C627DA"/>
    <w:rsid w:val="00C64D4A"/>
    <w:rsid w:val="00C64D86"/>
    <w:rsid w:val="00C65029"/>
    <w:rsid w:val="00C650E9"/>
    <w:rsid w:val="00C66BAD"/>
    <w:rsid w:val="00C66F35"/>
    <w:rsid w:val="00C7031E"/>
    <w:rsid w:val="00C707B5"/>
    <w:rsid w:val="00C70F65"/>
    <w:rsid w:val="00C719A3"/>
    <w:rsid w:val="00C724AA"/>
    <w:rsid w:val="00C7328A"/>
    <w:rsid w:val="00C73328"/>
    <w:rsid w:val="00C742F0"/>
    <w:rsid w:val="00C764CC"/>
    <w:rsid w:val="00C76574"/>
    <w:rsid w:val="00C770FF"/>
    <w:rsid w:val="00C77A3A"/>
    <w:rsid w:val="00C77CC3"/>
    <w:rsid w:val="00C81A8B"/>
    <w:rsid w:val="00C84522"/>
    <w:rsid w:val="00C84755"/>
    <w:rsid w:val="00C84784"/>
    <w:rsid w:val="00C84844"/>
    <w:rsid w:val="00C84AE0"/>
    <w:rsid w:val="00C857E8"/>
    <w:rsid w:val="00C86803"/>
    <w:rsid w:val="00C86CB1"/>
    <w:rsid w:val="00C875EE"/>
    <w:rsid w:val="00C87726"/>
    <w:rsid w:val="00C90BC0"/>
    <w:rsid w:val="00C9177E"/>
    <w:rsid w:val="00C918A7"/>
    <w:rsid w:val="00C92A2D"/>
    <w:rsid w:val="00C93334"/>
    <w:rsid w:val="00C9470A"/>
    <w:rsid w:val="00C95848"/>
    <w:rsid w:val="00CA040E"/>
    <w:rsid w:val="00CA1E1A"/>
    <w:rsid w:val="00CA1F92"/>
    <w:rsid w:val="00CA2027"/>
    <w:rsid w:val="00CA3AA7"/>
    <w:rsid w:val="00CA3F7D"/>
    <w:rsid w:val="00CA459B"/>
    <w:rsid w:val="00CA4D2A"/>
    <w:rsid w:val="00CA5ADF"/>
    <w:rsid w:val="00CA6A5B"/>
    <w:rsid w:val="00CA7438"/>
    <w:rsid w:val="00CA7904"/>
    <w:rsid w:val="00CB09FF"/>
    <w:rsid w:val="00CB2117"/>
    <w:rsid w:val="00CB2639"/>
    <w:rsid w:val="00CB3C05"/>
    <w:rsid w:val="00CB3E81"/>
    <w:rsid w:val="00CB41BD"/>
    <w:rsid w:val="00CB444B"/>
    <w:rsid w:val="00CB52C2"/>
    <w:rsid w:val="00CB5695"/>
    <w:rsid w:val="00CB5862"/>
    <w:rsid w:val="00CB5EAF"/>
    <w:rsid w:val="00CB5EF2"/>
    <w:rsid w:val="00CB79BB"/>
    <w:rsid w:val="00CC0536"/>
    <w:rsid w:val="00CC06A4"/>
    <w:rsid w:val="00CC0B24"/>
    <w:rsid w:val="00CC0C7C"/>
    <w:rsid w:val="00CC1D63"/>
    <w:rsid w:val="00CC1EB4"/>
    <w:rsid w:val="00CC3870"/>
    <w:rsid w:val="00CC4310"/>
    <w:rsid w:val="00CC4449"/>
    <w:rsid w:val="00CC47FF"/>
    <w:rsid w:val="00CC4CC2"/>
    <w:rsid w:val="00CC4E3B"/>
    <w:rsid w:val="00CC5026"/>
    <w:rsid w:val="00CC66AF"/>
    <w:rsid w:val="00CC6832"/>
    <w:rsid w:val="00CC733F"/>
    <w:rsid w:val="00CD0AAB"/>
    <w:rsid w:val="00CD188D"/>
    <w:rsid w:val="00CD1D4D"/>
    <w:rsid w:val="00CD2496"/>
    <w:rsid w:val="00CD649B"/>
    <w:rsid w:val="00CD7582"/>
    <w:rsid w:val="00CE1024"/>
    <w:rsid w:val="00CE1B23"/>
    <w:rsid w:val="00CE1D25"/>
    <w:rsid w:val="00CE23C4"/>
    <w:rsid w:val="00CE458C"/>
    <w:rsid w:val="00CE47D6"/>
    <w:rsid w:val="00CE6853"/>
    <w:rsid w:val="00CE720D"/>
    <w:rsid w:val="00CE781F"/>
    <w:rsid w:val="00CE79C7"/>
    <w:rsid w:val="00CF0CED"/>
    <w:rsid w:val="00CF1664"/>
    <w:rsid w:val="00CF3DA3"/>
    <w:rsid w:val="00CF46A0"/>
    <w:rsid w:val="00CF4C43"/>
    <w:rsid w:val="00CF61B1"/>
    <w:rsid w:val="00CF7A85"/>
    <w:rsid w:val="00D003F4"/>
    <w:rsid w:val="00D02BD1"/>
    <w:rsid w:val="00D0606C"/>
    <w:rsid w:val="00D060EB"/>
    <w:rsid w:val="00D06147"/>
    <w:rsid w:val="00D065ED"/>
    <w:rsid w:val="00D0664E"/>
    <w:rsid w:val="00D07276"/>
    <w:rsid w:val="00D0788D"/>
    <w:rsid w:val="00D109D7"/>
    <w:rsid w:val="00D10CAD"/>
    <w:rsid w:val="00D12C15"/>
    <w:rsid w:val="00D13C61"/>
    <w:rsid w:val="00D14347"/>
    <w:rsid w:val="00D14ED6"/>
    <w:rsid w:val="00D15841"/>
    <w:rsid w:val="00D16A39"/>
    <w:rsid w:val="00D16F7B"/>
    <w:rsid w:val="00D21079"/>
    <w:rsid w:val="00D213F0"/>
    <w:rsid w:val="00D22896"/>
    <w:rsid w:val="00D22CE2"/>
    <w:rsid w:val="00D23A0A"/>
    <w:rsid w:val="00D24493"/>
    <w:rsid w:val="00D245D3"/>
    <w:rsid w:val="00D248F5"/>
    <w:rsid w:val="00D2588B"/>
    <w:rsid w:val="00D25BAD"/>
    <w:rsid w:val="00D26CF3"/>
    <w:rsid w:val="00D270D3"/>
    <w:rsid w:val="00D27736"/>
    <w:rsid w:val="00D27BC6"/>
    <w:rsid w:val="00D30715"/>
    <w:rsid w:val="00D30A18"/>
    <w:rsid w:val="00D31113"/>
    <w:rsid w:val="00D32977"/>
    <w:rsid w:val="00D35053"/>
    <w:rsid w:val="00D3704A"/>
    <w:rsid w:val="00D370D7"/>
    <w:rsid w:val="00D4097E"/>
    <w:rsid w:val="00D41992"/>
    <w:rsid w:val="00D41F0C"/>
    <w:rsid w:val="00D43383"/>
    <w:rsid w:val="00D4370B"/>
    <w:rsid w:val="00D43E18"/>
    <w:rsid w:val="00D44304"/>
    <w:rsid w:val="00D444DF"/>
    <w:rsid w:val="00D4504F"/>
    <w:rsid w:val="00D451BE"/>
    <w:rsid w:val="00D45492"/>
    <w:rsid w:val="00D45E7B"/>
    <w:rsid w:val="00D463A1"/>
    <w:rsid w:val="00D468F6"/>
    <w:rsid w:val="00D507C4"/>
    <w:rsid w:val="00D50804"/>
    <w:rsid w:val="00D51325"/>
    <w:rsid w:val="00D518F4"/>
    <w:rsid w:val="00D521C1"/>
    <w:rsid w:val="00D5236B"/>
    <w:rsid w:val="00D52544"/>
    <w:rsid w:val="00D56F4E"/>
    <w:rsid w:val="00D57743"/>
    <w:rsid w:val="00D62359"/>
    <w:rsid w:val="00D6283F"/>
    <w:rsid w:val="00D63F73"/>
    <w:rsid w:val="00D6403B"/>
    <w:rsid w:val="00D659C1"/>
    <w:rsid w:val="00D666CE"/>
    <w:rsid w:val="00D67151"/>
    <w:rsid w:val="00D67536"/>
    <w:rsid w:val="00D67F6C"/>
    <w:rsid w:val="00D71008"/>
    <w:rsid w:val="00D71ECE"/>
    <w:rsid w:val="00D7227C"/>
    <w:rsid w:val="00D72581"/>
    <w:rsid w:val="00D72AFD"/>
    <w:rsid w:val="00D74834"/>
    <w:rsid w:val="00D7530B"/>
    <w:rsid w:val="00D7610D"/>
    <w:rsid w:val="00D76252"/>
    <w:rsid w:val="00D776E8"/>
    <w:rsid w:val="00D77C8D"/>
    <w:rsid w:val="00D77F74"/>
    <w:rsid w:val="00D80CED"/>
    <w:rsid w:val="00D85B7F"/>
    <w:rsid w:val="00D85E30"/>
    <w:rsid w:val="00D86CD2"/>
    <w:rsid w:val="00D870E4"/>
    <w:rsid w:val="00D900EC"/>
    <w:rsid w:val="00D90CF3"/>
    <w:rsid w:val="00D91A6A"/>
    <w:rsid w:val="00D91B86"/>
    <w:rsid w:val="00D92BA9"/>
    <w:rsid w:val="00D92C44"/>
    <w:rsid w:val="00D94100"/>
    <w:rsid w:val="00D95153"/>
    <w:rsid w:val="00D96499"/>
    <w:rsid w:val="00D97116"/>
    <w:rsid w:val="00D97AE1"/>
    <w:rsid w:val="00DA00A9"/>
    <w:rsid w:val="00DA04BB"/>
    <w:rsid w:val="00DA0DF7"/>
    <w:rsid w:val="00DA2673"/>
    <w:rsid w:val="00DA2744"/>
    <w:rsid w:val="00DA2CD0"/>
    <w:rsid w:val="00DA3F37"/>
    <w:rsid w:val="00DA4183"/>
    <w:rsid w:val="00DA41D7"/>
    <w:rsid w:val="00DA5935"/>
    <w:rsid w:val="00DA6485"/>
    <w:rsid w:val="00DA68E7"/>
    <w:rsid w:val="00DA6A18"/>
    <w:rsid w:val="00DA6A45"/>
    <w:rsid w:val="00DA6EE1"/>
    <w:rsid w:val="00DA73BA"/>
    <w:rsid w:val="00DA76E5"/>
    <w:rsid w:val="00DB03F1"/>
    <w:rsid w:val="00DB1A33"/>
    <w:rsid w:val="00DB1B5B"/>
    <w:rsid w:val="00DB2A7D"/>
    <w:rsid w:val="00DB3CC0"/>
    <w:rsid w:val="00DB6385"/>
    <w:rsid w:val="00DB651A"/>
    <w:rsid w:val="00DB6872"/>
    <w:rsid w:val="00DC0A7E"/>
    <w:rsid w:val="00DC0E69"/>
    <w:rsid w:val="00DC1E5D"/>
    <w:rsid w:val="00DC21D4"/>
    <w:rsid w:val="00DC2354"/>
    <w:rsid w:val="00DC26A4"/>
    <w:rsid w:val="00DC3DDF"/>
    <w:rsid w:val="00DC537F"/>
    <w:rsid w:val="00DC5799"/>
    <w:rsid w:val="00DC62FF"/>
    <w:rsid w:val="00DD1345"/>
    <w:rsid w:val="00DD2EB4"/>
    <w:rsid w:val="00DD3097"/>
    <w:rsid w:val="00DD3110"/>
    <w:rsid w:val="00DD3258"/>
    <w:rsid w:val="00DD369D"/>
    <w:rsid w:val="00DD51FD"/>
    <w:rsid w:val="00DD7153"/>
    <w:rsid w:val="00DD7262"/>
    <w:rsid w:val="00DD7C65"/>
    <w:rsid w:val="00DD7EF7"/>
    <w:rsid w:val="00DE0256"/>
    <w:rsid w:val="00DE053C"/>
    <w:rsid w:val="00DE093C"/>
    <w:rsid w:val="00DE1E19"/>
    <w:rsid w:val="00DE206A"/>
    <w:rsid w:val="00DE3460"/>
    <w:rsid w:val="00DE3A0B"/>
    <w:rsid w:val="00DE3DC7"/>
    <w:rsid w:val="00DE4CF1"/>
    <w:rsid w:val="00DE5278"/>
    <w:rsid w:val="00DE7725"/>
    <w:rsid w:val="00DE7B91"/>
    <w:rsid w:val="00DF0523"/>
    <w:rsid w:val="00DF085A"/>
    <w:rsid w:val="00DF2526"/>
    <w:rsid w:val="00DF2CC6"/>
    <w:rsid w:val="00DF543A"/>
    <w:rsid w:val="00DF571F"/>
    <w:rsid w:val="00DF64D6"/>
    <w:rsid w:val="00DF79F2"/>
    <w:rsid w:val="00E00740"/>
    <w:rsid w:val="00E02FCE"/>
    <w:rsid w:val="00E0334B"/>
    <w:rsid w:val="00E03CB0"/>
    <w:rsid w:val="00E04F3E"/>
    <w:rsid w:val="00E07B01"/>
    <w:rsid w:val="00E07BFC"/>
    <w:rsid w:val="00E104D0"/>
    <w:rsid w:val="00E11B23"/>
    <w:rsid w:val="00E12BBA"/>
    <w:rsid w:val="00E13C44"/>
    <w:rsid w:val="00E155D5"/>
    <w:rsid w:val="00E15B68"/>
    <w:rsid w:val="00E162A4"/>
    <w:rsid w:val="00E16781"/>
    <w:rsid w:val="00E16AE8"/>
    <w:rsid w:val="00E16E03"/>
    <w:rsid w:val="00E17B92"/>
    <w:rsid w:val="00E21566"/>
    <w:rsid w:val="00E216E7"/>
    <w:rsid w:val="00E21B69"/>
    <w:rsid w:val="00E2225F"/>
    <w:rsid w:val="00E2288D"/>
    <w:rsid w:val="00E22E32"/>
    <w:rsid w:val="00E22FDB"/>
    <w:rsid w:val="00E24256"/>
    <w:rsid w:val="00E2538F"/>
    <w:rsid w:val="00E30A0E"/>
    <w:rsid w:val="00E30EBE"/>
    <w:rsid w:val="00E3108D"/>
    <w:rsid w:val="00E3246B"/>
    <w:rsid w:val="00E33409"/>
    <w:rsid w:val="00E33B10"/>
    <w:rsid w:val="00E33E3D"/>
    <w:rsid w:val="00E34057"/>
    <w:rsid w:val="00E3613A"/>
    <w:rsid w:val="00E36C70"/>
    <w:rsid w:val="00E37793"/>
    <w:rsid w:val="00E37E46"/>
    <w:rsid w:val="00E40518"/>
    <w:rsid w:val="00E40908"/>
    <w:rsid w:val="00E41F50"/>
    <w:rsid w:val="00E430B6"/>
    <w:rsid w:val="00E4360B"/>
    <w:rsid w:val="00E43BF2"/>
    <w:rsid w:val="00E44550"/>
    <w:rsid w:val="00E44679"/>
    <w:rsid w:val="00E46584"/>
    <w:rsid w:val="00E46613"/>
    <w:rsid w:val="00E47662"/>
    <w:rsid w:val="00E47E9F"/>
    <w:rsid w:val="00E50A59"/>
    <w:rsid w:val="00E50B51"/>
    <w:rsid w:val="00E514AB"/>
    <w:rsid w:val="00E51845"/>
    <w:rsid w:val="00E53281"/>
    <w:rsid w:val="00E53DE0"/>
    <w:rsid w:val="00E54C5F"/>
    <w:rsid w:val="00E54D77"/>
    <w:rsid w:val="00E55A5C"/>
    <w:rsid w:val="00E55D6E"/>
    <w:rsid w:val="00E56FA1"/>
    <w:rsid w:val="00E60980"/>
    <w:rsid w:val="00E62223"/>
    <w:rsid w:val="00E625E4"/>
    <w:rsid w:val="00E63D52"/>
    <w:rsid w:val="00E651FF"/>
    <w:rsid w:val="00E70501"/>
    <w:rsid w:val="00E715BD"/>
    <w:rsid w:val="00E715E4"/>
    <w:rsid w:val="00E7284D"/>
    <w:rsid w:val="00E72F5A"/>
    <w:rsid w:val="00E736E4"/>
    <w:rsid w:val="00E748FA"/>
    <w:rsid w:val="00E75288"/>
    <w:rsid w:val="00E80652"/>
    <w:rsid w:val="00E80E97"/>
    <w:rsid w:val="00E82EA1"/>
    <w:rsid w:val="00E857DD"/>
    <w:rsid w:val="00E865E3"/>
    <w:rsid w:val="00E869F1"/>
    <w:rsid w:val="00E86E6D"/>
    <w:rsid w:val="00E8731C"/>
    <w:rsid w:val="00E87C1C"/>
    <w:rsid w:val="00E87CA5"/>
    <w:rsid w:val="00E90EC2"/>
    <w:rsid w:val="00E912B1"/>
    <w:rsid w:val="00E918F3"/>
    <w:rsid w:val="00E91B11"/>
    <w:rsid w:val="00E926BD"/>
    <w:rsid w:val="00E94109"/>
    <w:rsid w:val="00E94874"/>
    <w:rsid w:val="00E949FD"/>
    <w:rsid w:val="00E951D5"/>
    <w:rsid w:val="00EA03E3"/>
    <w:rsid w:val="00EA20F2"/>
    <w:rsid w:val="00EA23B4"/>
    <w:rsid w:val="00EA2AC6"/>
    <w:rsid w:val="00EA3267"/>
    <w:rsid w:val="00EA41D1"/>
    <w:rsid w:val="00EA52EE"/>
    <w:rsid w:val="00EA539A"/>
    <w:rsid w:val="00EA5A96"/>
    <w:rsid w:val="00EA61D6"/>
    <w:rsid w:val="00EA6EA3"/>
    <w:rsid w:val="00EA7AE4"/>
    <w:rsid w:val="00EB5C8F"/>
    <w:rsid w:val="00EB6D7F"/>
    <w:rsid w:val="00EB7FE9"/>
    <w:rsid w:val="00EC00AA"/>
    <w:rsid w:val="00EC00EE"/>
    <w:rsid w:val="00EC01B5"/>
    <w:rsid w:val="00EC07F4"/>
    <w:rsid w:val="00EC0B1E"/>
    <w:rsid w:val="00EC1B1B"/>
    <w:rsid w:val="00EC1C4A"/>
    <w:rsid w:val="00EC2EB9"/>
    <w:rsid w:val="00EC3E48"/>
    <w:rsid w:val="00EC48B7"/>
    <w:rsid w:val="00EC5D7A"/>
    <w:rsid w:val="00EC6280"/>
    <w:rsid w:val="00EC6B5D"/>
    <w:rsid w:val="00EC7C15"/>
    <w:rsid w:val="00ED0ADD"/>
    <w:rsid w:val="00ED1A8D"/>
    <w:rsid w:val="00ED317E"/>
    <w:rsid w:val="00ED3518"/>
    <w:rsid w:val="00ED37E0"/>
    <w:rsid w:val="00ED3EAD"/>
    <w:rsid w:val="00ED4713"/>
    <w:rsid w:val="00ED4A6A"/>
    <w:rsid w:val="00ED5244"/>
    <w:rsid w:val="00ED5F95"/>
    <w:rsid w:val="00ED5FE9"/>
    <w:rsid w:val="00ED64BC"/>
    <w:rsid w:val="00ED7E46"/>
    <w:rsid w:val="00EE0FC4"/>
    <w:rsid w:val="00EE3A7D"/>
    <w:rsid w:val="00EE3ECA"/>
    <w:rsid w:val="00EE58BB"/>
    <w:rsid w:val="00EE5A38"/>
    <w:rsid w:val="00EF08B5"/>
    <w:rsid w:val="00EF16EF"/>
    <w:rsid w:val="00EF1770"/>
    <w:rsid w:val="00EF1F9C"/>
    <w:rsid w:val="00EF3362"/>
    <w:rsid w:val="00EF409F"/>
    <w:rsid w:val="00EF5443"/>
    <w:rsid w:val="00EF59F8"/>
    <w:rsid w:val="00EF6CBE"/>
    <w:rsid w:val="00EF7A7F"/>
    <w:rsid w:val="00F00642"/>
    <w:rsid w:val="00F014E5"/>
    <w:rsid w:val="00F032E7"/>
    <w:rsid w:val="00F03947"/>
    <w:rsid w:val="00F05B56"/>
    <w:rsid w:val="00F05C45"/>
    <w:rsid w:val="00F069C9"/>
    <w:rsid w:val="00F122EA"/>
    <w:rsid w:val="00F1233E"/>
    <w:rsid w:val="00F12979"/>
    <w:rsid w:val="00F1354E"/>
    <w:rsid w:val="00F14C7F"/>
    <w:rsid w:val="00F14EEA"/>
    <w:rsid w:val="00F154F6"/>
    <w:rsid w:val="00F15925"/>
    <w:rsid w:val="00F16277"/>
    <w:rsid w:val="00F1658B"/>
    <w:rsid w:val="00F171C2"/>
    <w:rsid w:val="00F1748F"/>
    <w:rsid w:val="00F176E6"/>
    <w:rsid w:val="00F179B8"/>
    <w:rsid w:val="00F21515"/>
    <w:rsid w:val="00F2166E"/>
    <w:rsid w:val="00F23F44"/>
    <w:rsid w:val="00F241BA"/>
    <w:rsid w:val="00F24911"/>
    <w:rsid w:val="00F255F5"/>
    <w:rsid w:val="00F25A23"/>
    <w:rsid w:val="00F27FA1"/>
    <w:rsid w:val="00F30BEC"/>
    <w:rsid w:val="00F3130A"/>
    <w:rsid w:val="00F3192F"/>
    <w:rsid w:val="00F32442"/>
    <w:rsid w:val="00F32CBA"/>
    <w:rsid w:val="00F33614"/>
    <w:rsid w:val="00F34147"/>
    <w:rsid w:val="00F353BD"/>
    <w:rsid w:val="00F359CB"/>
    <w:rsid w:val="00F364E6"/>
    <w:rsid w:val="00F37A52"/>
    <w:rsid w:val="00F37A81"/>
    <w:rsid w:val="00F4065B"/>
    <w:rsid w:val="00F40ADA"/>
    <w:rsid w:val="00F40BD9"/>
    <w:rsid w:val="00F40C85"/>
    <w:rsid w:val="00F41093"/>
    <w:rsid w:val="00F42984"/>
    <w:rsid w:val="00F43088"/>
    <w:rsid w:val="00F44577"/>
    <w:rsid w:val="00F44909"/>
    <w:rsid w:val="00F4505F"/>
    <w:rsid w:val="00F456AF"/>
    <w:rsid w:val="00F475BA"/>
    <w:rsid w:val="00F47975"/>
    <w:rsid w:val="00F479D6"/>
    <w:rsid w:val="00F50009"/>
    <w:rsid w:val="00F51CE3"/>
    <w:rsid w:val="00F52533"/>
    <w:rsid w:val="00F526FF"/>
    <w:rsid w:val="00F53ECA"/>
    <w:rsid w:val="00F540E0"/>
    <w:rsid w:val="00F54E28"/>
    <w:rsid w:val="00F576AD"/>
    <w:rsid w:val="00F57A59"/>
    <w:rsid w:val="00F57F36"/>
    <w:rsid w:val="00F604D4"/>
    <w:rsid w:val="00F60AFF"/>
    <w:rsid w:val="00F61A8E"/>
    <w:rsid w:val="00F649AC"/>
    <w:rsid w:val="00F65AE6"/>
    <w:rsid w:val="00F65DB4"/>
    <w:rsid w:val="00F67426"/>
    <w:rsid w:val="00F67595"/>
    <w:rsid w:val="00F67A12"/>
    <w:rsid w:val="00F70CF7"/>
    <w:rsid w:val="00F71327"/>
    <w:rsid w:val="00F72A39"/>
    <w:rsid w:val="00F73A38"/>
    <w:rsid w:val="00F7455E"/>
    <w:rsid w:val="00F7543F"/>
    <w:rsid w:val="00F75653"/>
    <w:rsid w:val="00F75B4F"/>
    <w:rsid w:val="00F77000"/>
    <w:rsid w:val="00F7712C"/>
    <w:rsid w:val="00F77377"/>
    <w:rsid w:val="00F80132"/>
    <w:rsid w:val="00F804F3"/>
    <w:rsid w:val="00F80722"/>
    <w:rsid w:val="00F81193"/>
    <w:rsid w:val="00F83515"/>
    <w:rsid w:val="00F84FD3"/>
    <w:rsid w:val="00F85DBE"/>
    <w:rsid w:val="00F913B2"/>
    <w:rsid w:val="00F92AE7"/>
    <w:rsid w:val="00F92E20"/>
    <w:rsid w:val="00F939B8"/>
    <w:rsid w:val="00F93AF3"/>
    <w:rsid w:val="00F93B6D"/>
    <w:rsid w:val="00F9597B"/>
    <w:rsid w:val="00F95F3A"/>
    <w:rsid w:val="00F9639A"/>
    <w:rsid w:val="00F96E69"/>
    <w:rsid w:val="00F972EE"/>
    <w:rsid w:val="00F97EA7"/>
    <w:rsid w:val="00FA0E0D"/>
    <w:rsid w:val="00FA190E"/>
    <w:rsid w:val="00FA1FB3"/>
    <w:rsid w:val="00FA396B"/>
    <w:rsid w:val="00FA525A"/>
    <w:rsid w:val="00FA5463"/>
    <w:rsid w:val="00FA5E63"/>
    <w:rsid w:val="00FA6ADC"/>
    <w:rsid w:val="00FA7FE5"/>
    <w:rsid w:val="00FB013D"/>
    <w:rsid w:val="00FB037C"/>
    <w:rsid w:val="00FB3068"/>
    <w:rsid w:val="00FB3DFE"/>
    <w:rsid w:val="00FB415B"/>
    <w:rsid w:val="00FB45A2"/>
    <w:rsid w:val="00FB52E9"/>
    <w:rsid w:val="00FB61D4"/>
    <w:rsid w:val="00FB72B4"/>
    <w:rsid w:val="00FB7324"/>
    <w:rsid w:val="00FC0DCB"/>
    <w:rsid w:val="00FC2738"/>
    <w:rsid w:val="00FC346D"/>
    <w:rsid w:val="00FC3528"/>
    <w:rsid w:val="00FC378A"/>
    <w:rsid w:val="00FC419D"/>
    <w:rsid w:val="00FC4E11"/>
    <w:rsid w:val="00FC734D"/>
    <w:rsid w:val="00FC7709"/>
    <w:rsid w:val="00FC7D9A"/>
    <w:rsid w:val="00FD10F6"/>
    <w:rsid w:val="00FD2AC8"/>
    <w:rsid w:val="00FD3033"/>
    <w:rsid w:val="00FD30F3"/>
    <w:rsid w:val="00FD31C5"/>
    <w:rsid w:val="00FD39F5"/>
    <w:rsid w:val="00FD41F8"/>
    <w:rsid w:val="00FD4526"/>
    <w:rsid w:val="00FD4F63"/>
    <w:rsid w:val="00FD59C0"/>
    <w:rsid w:val="00FD63E7"/>
    <w:rsid w:val="00FD65B5"/>
    <w:rsid w:val="00FD7EED"/>
    <w:rsid w:val="00FE192D"/>
    <w:rsid w:val="00FE1E00"/>
    <w:rsid w:val="00FE33D6"/>
    <w:rsid w:val="00FE55FD"/>
    <w:rsid w:val="00FE5B36"/>
    <w:rsid w:val="00FE67BB"/>
    <w:rsid w:val="00FE7A66"/>
    <w:rsid w:val="00FF2438"/>
    <w:rsid w:val="00FF2734"/>
    <w:rsid w:val="00FF39F6"/>
    <w:rsid w:val="00FF3DDA"/>
    <w:rsid w:val="00FF496E"/>
    <w:rsid w:val="00FF5F26"/>
    <w:rsid w:val="00FF68C9"/>
    <w:rsid w:val="011576D2"/>
    <w:rsid w:val="0384D0FC"/>
    <w:rsid w:val="0495396E"/>
    <w:rsid w:val="0516FD43"/>
    <w:rsid w:val="0643B42B"/>
    <w:rsid w:val="065D3D50"/>
    <w:rsid w:val="07B3B01B"/>
    <w:rsid w:val="08E796E7"/>
    <w:rsid w:val="09FE7F51"/>
    <w:rsid w:val="0A7CF900"/>
    <w:rsid w:val="0EE95D01"/>
    <w:rsid w:val="10F229A5"/>
    <w:rsid w:val="11230A48"/>
    <w:rsid w:val="12981C38"/>
    <w:rsid w:val="13103E62"/>
    <w:rsid w:val="150FAB87"/>
    <w:rsid w:val="15A00A95"/>
    <w:rsid w:val="16883BF1"/>
    <w:rsid w:val="1786800B"/>
    <w:rsid w:val="17F79CD7"/>
    <w:rsid w:val="186D95DF"/>
    <w:rsid w:val="187B3672"/>
    <w:rsid w:val="19B054AF"/>
    <w:rsid w:val="1A43E606"/>
    <w:rsid w:val="1B50A278"/>
    <w:rsid w:val="1D7D8BEA"/>
    <w:rsid w:val="1D9A2E0E"/>
    <w:rsid w:val="1DEB4068"/>
    <w:rsid w:val="1F17475A"/>
    <w:rsid w:val="1F35FE6F"/>
    <w:rsid w:val="1F4C28D9"/>
    <w:rsid w:val="22BEB18B"/>
    <w:rsid w:val="2374FA59"/>
    <w:rsid w:val="245D447C"/>
    <w:rsid w:val="24AAD32F"/>
    <w:rsid w:val="266E951A"/>
    <w:rsid w:val="29264DFE"/>
    <w:rsid w:val="2B41CC20"/>
    <w:rsid w:val="2D4C49D2"/>
    <w:rsid w:val="2DA91AA5"/>
    <w:rsid w:val="2EDF5C26"/>
    <w:rsid w:val="2F18671C"/>
    <w:rsid w:val="31431C8E"/>
    <w:rsid w:val="32679734"/>
    <w:rsid w:val="34299423"/>
    <w:rsid w:val="360AA928"/>
    <w:rsid w:val="365A55B0"/>
    <w:rsid w:val="38849B2D"/>
    <w:rsid w:val="38A428C7"/>
    <w:rsid w:val="3903FAB4"/>
    <w:rsid w:val="3AB55230"/>
    <w:rsid w:val="3C57B7B1"/>
    <w:rsid w:val="3C88D0D7"/>
    <w:rsid w:val="3D93BBB5"/>
    <w:rsid w:val="3DB34A94"/>
    <w:rsid w:val="3E67D18D"/>
    <w:rsid w:val="3FA21D86"/>
    <w:rsid w:val="445C664C"/>
    <w:rsid w:val="44859A90"/>
    <w:rsid w:val="464B16EE"/>
    <w:rsid w:val="469A6C74"/>
    <w:rsid w:val="481AD815"/>
    <w:rsid w:val="48AD21B8"/>
    <w:rsid w:val="49A37574"/>
    <w:rsid w:val="4A49373E"/>
    <w:rsid w:val="4CAD4C5F"/>
    <w:rsid w:val="4FCCA355"/>
    <w:rsid w:val="5094B8C6"/>
    <w:rsid w:val="52C01771"/>
    <w:rsid w:val="52E32E75"/>
    <w:rsid w:val="5315249B"/>
    <w:rsid w:val="53621A49"/>
    <w:rsid w:val="5498302C"/>
    <w:rsid w:val="55581709"/>
    <w:rsid w:val="556534ED"/>
    <w:rsid w:val="56FB4F2A"/>
    <w:rsid w:val="5731293A"/>
    <w:rsid w:val="5A39BE2C"/>
    <w:rsid w:val="5B47D72E"/>
    <w:rsid w:val="5BBD8B8D"/>
    <w:rsid w:val="5C4F8C2F"/>
    <w:rsid w:val="5EC24B89"/>
    <w:rsid w:val="60C93B9A"/>
    <w:rsid w:val="628330A3"/>
    <w:rsid w:val="6425B407"/>
    <w:rsid w:val="654D0AD9"/>
    <w:rsid w:val="658AB74D"/>
    <w:rsid w:val="658D7931"/>
    <w:rsid w:val="65A23D64"/>
    <w:rsid w:val="65A679F8"/>
    <w:rsid w:val="67192ED9"/>
    <w:rsid w:val="6846E2E5"/>
    <w:rsid w:val="68BBFF1B"/>
    <w:rsid w:val="68EEB0B0"/>
    <w:rsid w:val="68F67A5A"/>
    <w:rsid w:val="6A052731"/>
    <w:rsid w:val="6DF468D0"/>
    <w:rsid w:val="739C43C6"/>
    <w:rsid w:val="75DA12DF"/>
    <w:rsid w:val="76973D10"/>
    <w:rsid w:val="76C5CC3E"/>
    <w:rsid w:val="772A9BC0"/>
    <w:rsid w:val="7AC21631"/>
    <w:rsid w:val="7C79A152"/>
    <w:rsid w:val="7CDCFD00"/>
    <w:rsid w:val="7F3847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A98B9"/>
  <w15:docId w15:val="{833A7FEC-69FA-418B-ADB4-F54077B0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rsid w:val="00401DFB"/>
  </w:style>
  <w:style w:type="paragraph" w:styleId="Heading1">
    <w:name w:val="heading 1"/>
    <w:basedOn w:val="Normal"/>
    <w:next w:val="BodyText"/>
    <w:link w:val="Heading1Char"/>
    <w:uiPriority w:val="9"/>
    <w:qFormat/>
    <w:rsid w:val="00E430B6"/>
    <w:pPr>
      <w:widowControl w:val="0"/>
      <w:numPr>
        <w:numId w:val="16"/>
      </w:numPr>
      <w:spacing w:before="60" w:after="360"/>
      <w:outlineLvl w:val="0"/>
    </w:pPr>
    <w:rPr>
      <w:rFonts w:eastAsiaTheme="majorEastAsia" w:cstheme="majorBidi"/>
      <w:b/>
      <w:color w:val="000099"/>
      <w:sz w:val="40"/>
      <w:szCs w:val="32"/>
    </w:rPr>
  </w:style>
  <w:style w:type="paragraph" w:styleId="Heading2">
    <w:name w:val="heading 2"/>
    <w:basedOn w:val="Heading1"/>
    <w:next w:val="BodyText"/>
    <w:link w:val="Heading2Char"/>
    <w:uiPriority w:val="3"/>
    <w:qFormat/>
    <w:rsid w:val="00E430B6"/>
    <w:pPr>
      <w:numPr>
        <w:ilvl w:val="1"/>
      </w:numPr>
      <w:spacing w:before="0" w:after="240"/>
      <w:outlineLvl w:val="1"/>
    </w:pPr>
    <w:rPr>
      <w:color w:val="4D4DB8"/>
      <w:sz w:val="28"/>
      <w:szCs w:val="26"/>
    </w:rPr>
  </w:style>
  <w:style w:type="paragraph" w:styleId="Heading3">
    <w:name w:val="heading 3"/>
    <w:basedOn w:val="Heading2"/>
    <w:next w:val="BodyText"/>
    <w:link w:val="Heading3Char"/>
    <w:uiPriority w:val="5"/>
    <w:qFormat/>
    <w:rsid w:val="00E430B6"/>
    <w:pPr>
      <w:numPr>
        <w:ilvl w:val="2"/>
      </w:numPr>
      <w:spacing w:after="120"/>
      <w:outlineLvl w:val="2"/>
    </w:pPr>
    <w:rPr>
      <w:sz w:val="24"/>
    </w:rPr>
  </w:style>
  <w:style w:type="paragraph" w:styleId="Heading4">
    <w:name w:val="heading 4"/>
    <w:basedOn w:val="Heading3"/>
    <w:next w:val="Normal"/>
    <w:link w:val="Heading4Char"/>
    <w:uiPriority w:val="99"/>
    <w:semiHidden/>
    <w:locked/>
    <w:rsid w:val="002D5EC9"/>
    <w:pPr>
      <w:keepNext/>
      <w:keepLines/>
      <w:numPr>
        <w:ilvl w:val="3"/>
      </w:numPr>
      <w:spacing w:before="40" w:after="0"/>
      <w:outlineLvl w:val="3"/>
    </w:pPr>
    <w:rPr>
      <w:i/>
      <w:iCs/>
    </w:rPr>
  </w:style>
  <w:style w:type="paragraph" w:styleId="Heading5">
    <w:name w:val="heading 5"/>
    <w:basedOn w:val="Heading4"/>
    <w:next w:val="Normal"/>
    <w:link w:val="Heading5Char"/>
    <w:uiPriority w:val="99"/>
    <w:semiHidden/>
    <w:locked/>
    <w:rsid w:val="002D5EC9"/>
    <w:pPr>
      <w:numPr>
        <w:ilvl w:val="4"/>
      </w:numPr>
      <w:outlineLvl w:val="4"/>
    </w:pPr>
    <w:rPr>
      <w:i w:val="0"/>
      <w:sz w:val="20"/>
    </w:rPr>
  </w:style>
  <w:style w:type="paragraph" w:styleId="Heading6">
    <w:name w:val="heading 6"/>
    <w:basedOn w:val="Heading5"/>
    <w:next w:val="Normal"/>
    <w:link w:val="Heading6Char"/>
    <w:uiPriority w:val="99"/>
    <w:semiHidden/>
    <w:locked/>
    <w:rsid w:val="002D5EC9"/>
    <w:pPr>
      <w:numPr>
        <w:ilvl w:val="5"/>
      </w:numPr>
      <w:outlineLvl w:val="5"/>
    </w:pPr>
    <w:rPr>
      <w:i/>
    </w:rPr>
  </w:style>
  <w:style w:type="paragraph" w:styleId="Heading7">
    <w:name w:val="heading 7"/>
    <w:basedOn w:val="Heading6"/>
    <w:next w:val="Normal"/>
    <w:link w:val="Heading7Char"/>
    <w:uiPriority w:val="99"/>
    <w:semiHidden/>
    <w:locked/>
    <w:rsid w:val="002D5EC9"/>
    <w:pPr>
      <w:numPr>
        <w:ilvl w:val="6"/>
      </w:numPr>
      <w:outlineLvl w:val="6"/>
    </w:pPr>
    <w:rPr>
      <w:i w:val="0"/>
      <w:iCs w:val="0"/>
    </w:rPr>
  </w:style>
  <w:style w:type="paragraph" w:styleId="Heading8">
    <w:name w:val="heading 8"/>
    <w:basedOn w:val="Heading7"/>
    <w:next w:val="Normal"/>
    <w:link w:val="Heading8Char"/>
    <w:uiPriority w:val="99"/>
    <w:semiHidden/>
    <w:locked/>
    <w:rsid w:val="002D5EC9"/>
    <w:pPr>
      <w:numPr>
        <w:ilvl w:val="7"/>
      </w:numPr>
      <w:outlineLvl w:val="7"/>
    </w:pPr>
    <w:rPr>
      <w:b w:val="0"/>
      <w:szCs w:val="21"/>
    </w:rPr>
  </w:style>
  <w:style w:type="paragraph" w:styleId="Heading9">
    <w:name w:val="heading 9"/>
    <w:basedOn w:val="Heading8"/>
    <w:next w:val="Normal"/>
    <w:link w:val="Heading9Char"/>
    <w:uiPriority w:val="99"/>
    <w:semiHidden/>
    <w:locked/>
    <w:rsid w:val="002D5EC9"/>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47C1A"/>
    <w:pPr>
      <w:tabs>
        <w:tab w:val="center" w:pos="4513"/>
        <w:tab w:val="right" w:pos="9026"/>
      </w:tabs>
    </w:pPr>
  </w:style>
  <w:style w:type="character" w:customStyle="1" w:styleId="HeaderChar">
    <w:name w:val="Header Char"/>
    <w:basedOn w:val="DefaultParagraphFont"/>
    <w:link w:val="Header"/>
    <w:uiPriority w:val="99"/>
    <w:semiHidden/>
    <w:rsid w:val="00A7504E"/>
    <w:rPr>
      <w:rFonts w:ascii="Calibri" w:hAnsi="Calibri"/>
    </w:rPr>
  </w:style>
  <w:style w:type="paragraph" w:styleId="Footer">
    <w:name w:val="footer"/>
    <w:basedOn w:val="Normal"/>
    <w:link w:val="FooterChar"/>
    <w:uiPriority w:val="99"/>
    <w:locked/>
    <w:rsid w:val="0060601B"/>
    <w:pPr>
      <w:pBdr>
        <w:top w:val="single" w:sz="8" w:space="6" w:color="7F7F7F" w:themeColor="text1" w:themeTint="80"/>
      </w:pBdr>
      <w:tabs>
        <w:tab w:val="right" w:pos="9072"/>
      </w:tabs>
      <w:spacing w:after="60"/>
    </w:pPr>
    <w:rPr>
      <w:rFonts w:ascii="Arial" w:hAnsi="Arial"/>
      <w:color w:val="7F7F7F"/>
      <w:sz w:val="16"/>
    </w:rPr>
  </w:style>
  <w:style w:type="character" w:customStyle="1" w:styleId="FooterChar">
    <w:name w:val="Footer Char"/>
    <w:basedOn w:val="DefaultParagraphFont"/>
    <w:link w:val="Footer"/>
    <w:uiPriority w:val="99"/>
    <w:rsid w:val="00A7504E"/>
    <w:rPr>
      <w:rFonts w:ascii="Arial" w:hAnsi="Arial"/>
      <w:color w:val="7F7F7F"/>
      <w:sz w:val="16"/>
    </w:rPr>
  </w:style>
  <w:style w:type="table" w:styleId="TableGrid">
    <w:name w:val="Table Grid"/>
    <w:basedOn w:val="TableNormal"/>
    <w:uiPriority w:val="39"/>
    <w:locked/>
    <w:rsid w:val="003E2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Date"/>
    <w:link w:val="TitleChar"/>
    <w:uiPriority w:val="99"/>
    <w:semiHidden/>
    <w:qFormat/>
    <w:locked/>
    <w:rsid w:val="00FB3068"/>
    <w:pPr>
      <w:spacing w:line="760" w:lineRule="atLeast"/>
      <w:contextualSpacing/>
    </w:pPr>
    <w:rPr>
      <w:rFonts w:eastAsiaTheme="majorEastAsia" w:cstheme="majorBidi"/>
      <w:b/>
      <w:color w:val="000099"/>
      <w:spacing w:val="-10"/>
      <w:kern w:val="28"/>
      <w:sz w:val="80"/>
      <w:szCs w:val="56"/>
    </w:rPr>
  </w:style>
  <w:style w:type="character" w:customStyle="1" w:styleId="TitleChar">
    <w:name w:val="Title Char"/>
    <w:basedOn w:val="DefaultParagraphFont"/>
    <w:link w:val="Title"/>
    <w:uiPriority w:val="99"/>
    <w:semiHidden/>
    <w:rsid w:val="00A7504E"/>
    <w:rPr>
      <w:rFonts w:ascii="Calibri" w:eastAsiaTheme="majorEastAsia" w:hAnsi="Calibri" w:cstheme="majorBidi"/>
      <w:b/>
      <w:color w:val="000099"/>
      <w:spacing w:val="-10"/>
      <w:kern w:val="28"/>
      <w:sz w:val="80"/>
      <w:szCs w:val="56"/>
    </w:rPr>
  </w:style>
  <w:style w:type="paragraph" w:styleId="Subtitle">
    <w:name w:val="Subtitle"/>
    <w:basedOn w:val="Normal"/>
    <w:next w:val="Title"/>
    <w:link w:val="SubtitleChar"/>
    <w:uiPriority w:val="99"/>
    <w:semiHidden/>
    <w:qFormat/>
    <w:locked/>
    <w:rsid w:val="00FB3068"/>
    <w:pPr>
      <w:numPr>
        <w:ilvl w:val="1"/>
      </w:numPr>
    </w:pPr>
    <w:rPr>
      <w:rFonts w:eastAsiaTheme="minorEastAsia"/>
      <w:color w:val="7F7F7F"/>
      <w:spacing w:val="15"/>
      <w:sz w:val="36"/>
    </w:rPr>
  </w:style>
  <w:style w:type="character" w:customStyle="1" w:styleId="SubtitleChar">
    <w:name w:val="Subtitle Char"/>
    <w:basedOn w:val="DefaultParagraphFont"/>
    <w:link w:val="Subtitle"/>
    <w:uiPriority w:val="99"/>
    <w:semiHidden/>
    <w:rsid w:val="00A7504E"/>
    <w:rPr>
      <w:rFonts w:ascii="Calibri" w:eastAsiaTheme="minorEastAsia" w:hAnsi="Calibri"/>
      <w:color w:val="7F7F7F"/>
      <w:spacing w:val="15"/>
      <w:sz w:val="36"/>
    </w:rPr>
  </w:style>
  <w:style w:type="character" w:styleId="PageNumber">
    <w:name w:val="page number"/>
    <w:basedOn w:val="DefaultParagraphFont"/>
    <w:uiPriority w:val="99"/>
    <w:locked/>
    <w:rsid w:val="00FB3068"/>
    <w:rPr>
      <w:rFonts w:ascii="Calibri" w:hAnsi="Calibri"/>
      <w:b/>
      <w:noProof w:val="0"/>
      <w:color w:val="4D4DB8" w:themeColor="accent1"/>
      <w:sz w:val="20"/>
      <w:lang w:val="en-AU"/>
    </w:rPr>
  </w:style>
  <w:style w:type="character" w:styleId="Hyperlink">
    <w:name w:val="Hyperlink"/>
    <w:basedOn w:val="SmartHyperlink1"/>
    <w:uiPriority w:val="99"/>
    <w:semiHidden/>
    <w:qFormat/>
    <w:locked/>
    <w:rsid w:val="00B72250"/>
    <w:rPr>
      <w:rFonts w:ascii="Calibri" w:hAnsi="Calibri"/>
      <w:i/>
      <w:color w:val="0000FF"/>
      <w:sz w:val="22"/>
      <w:u w:val="single"/>
    </w:rPr>
  </w:style>
  <w:style w:type="paragraph" w:styleId="FootnoteText">
    <w:name w:val="footnote text"/>
    <w:basedOn w:val="Normal"/>
    <w:link w:val="FootnoteTextChar"/>
    <w:uiPriority w:val="99"/>
    <w:semiHidden/>
    <w:qFormat/>
    <w:locked/>
    <w:rsid w:val="0057619E"/>
    <w:rPr>
      <w:rFonts w:eastAsia="Times New Roman" w:cs="Arial"/>
      <w:sz w:val="18"/>
      <w:szCs w:val="18"/>
    </w:rPr>
  </w:style>
  <w:style w:type="character" w:customStyle="1" w:styleId="FootnoteTextChar">
    <w:name w:val="Footnote Text Char"/>
    <w:basedOn w:val="DefaultParagraphFont"/>
    <w:link w:val="FootnoteText"/>
    <w:uiPriority w:val="99"/>
    <w:semiHidden/>
    <w:rsid w:val="0057619E"/>
    <w:rPr>
      <w:rFonts w:eastAsia="Times New Roman" w:cs="Arial"/>
      <w:sz w:val="18"/>
      <w:szCs w:val="18"/>
    </w:rPr>
  </w:style>
  <w:style w:type="paragraph" w:styleId="Date">
    <w:name w:val="Date"/>
    <w:basedOn w:val="Subtitle"/>
    <w:next w:val="Normal"/>
    <w:link w:val="DateChar"/>
    <w:uiPriority w:val="99"/>
    <w:semiHidden/>
    <w:locked/>
    <w:rsid w:val="00FB3068"/>
    <w:rPr>
      <w:caps/>
      <w:sz w:val="24"/>
      <w:szCs w:val="24"/>
    </w:rPr>
  </w:style>
  <w:style w:type="character" w:customStyle="1" w:styleId="DateChar">
    <w:name w:val="Date Char"/>
    <w:basedOn w:val="DefaultParagraphFont"/>
    <w:link w:val="Date"/>
    <w:uiPriority w:val="99"/>
    <w:semiHidden/>
    <w:rsid w:val="00A7504E"/>
    <w:rPr>
      <w:rFonts w:ascii="Calibri" w:eastAsiaTheme="minorEastAsia" w:hAnsi="Calibri"/>
      <w:caps/>
      <w:color w:val="7F7F7F"/>
      <w:spacing w:val="15"/>
      <w:sz w:val="24"/>
      <w:szCs w:val="24"/>
    </w:rPr>
  </w:style>
  <w:style w:type="paragraph" w:customStyle="1" w:styleId="Disclaimer">
    <w:name w:val="Disclaimer"/>
    <w:basedOn w:val="FootnoteText"/>
    <w:uiPriority w:val="99"/>
    <w:semiHidden/>
    <w:locked/>
    <w:rsid w:val="00FB3068"/>
    <w:pPr>
      <w:spacing w:after="120"/>
    </w:pPr>
  </w:style>
  <w:style w:type="paragraph" w:customStyle="1" w:styleId="Address">
    <w:name w:val="Address"/>
    <w:basedOn w:val="Normal"/>
    <w:uiPriority w:val="99"/>
    <w:semiHidden/>
    <w:locked/>
    <w:rsid w:val="00FB3068"/>
    <w:rPr>
      <w:color w:val="7F7F7F"/>
      <w:sz w:val="18"/>
    </w:rPr>
  </w:style>
  <w:style w:type="character" w:customStyle="1" w:styleId="Heading1Char">
    <w:name w:val="Heading 1 Char"/>
    <w:basedOn w:val="DefaultParagraphFont"/>
    <w:link w:val="Heading1"/>
    <w:uiPriority w:val="9"/>
    <w:rsid w:val="00E430B6"/>
    <w:rPr>
      <w:rFonts w:ascii="Calibri" w:eastAsiaTheme="majorEastAsia" w:hAnsi="Calibri" w:cstheme="majorBidi"/>
      <w:b/>
      <w:color w:val="000099"/>
      <w:sz w:val="40"/>
      <w:szCs w:val="32"/>
    </w:rPr>
  </w:style>
  <w:style w:type="character" w:customStyle="1" w:styleId="Heading2Char">
    <w:name w:val="Heading 2 Char"/>
    <w:basedOn w:val="DefaultParagraphFont"/>
    <w:link w:val="Heading2"/>
    <w:uiPriority w:val="3"/>
    <w:rsid w:val="00E430B6"/>
    <w:rPr>
      <w:rFonts w:ascii="Calibri" w:eastAsiaTheme="majorEastAsia" w:hAnsi="Calibri" w:cstheme="majorBidi"/>
      <w:b/>
      <w:color w:val="4D4DB8"/>
      <w:sz w:val="28"/>
      <w:szCs w:val="26"/>
    </w:rPr>
  </w:style>
  <w:style w:type="paragraph" w:styleId="List">
    <w:name w:val="List"/>
    <w:basedOn w:val="Normal"/>
    <w:uiPriority w:val="99"/>
    <w:semiHidden/>
    <w:locked/>
    <w:rsid w:val="00580908"/>
    <w:pPr>
      <w:ind w:left="283" w:hanging="283"/>
      <w:contextualSpacing/>
    </w:pPr>
  </w:style>
  <w:style w:type="paragraph" w:styleId="ListNumber">
    <w:name w:val="List Number"/>
    <w:basedOn w:val="Normal"/>
    <w:uiPriority w:val="99"/>
    <w:semiHidden/>
    <w:locked/>
    <w:rsid w:val="00D67F6C"/>
    <w:pPr>
      <w:numPr>
        <w:numId w:val="2"/>
      </w:numPr>
      <w:ind w:left="357" w:hanging="357"/>
    </w:pPr>
  </w:style>
  <w:style w:type="character" w:customStyle="1" w:styleId="Heading3Char">
    <w:name w:val="Heading 3 Char"/>
    <w:basedOn w:val="DefaultParagraphFont"/>
    <w:link w:val="Heading3"/>
    <w:uiPriority w:val="5"/>
    <w:rsid w:val="00E430B6"/>
    <w:rPr>
      <w:rFonts w:ascii="Calibri" w:eastAsiaTheme="majorEastAsia" w:hAnsi="Calibri" w:cstheme="majorBidi"/>
      <w:b/>
      <w:color w:val="4D4DB8"/>
      <w:sz w:val="24"/>
      <w:szCs w:val="26"/>
    </w:rPr>
  </w:style>
  <w:style w:type="paragraph" w:styleId="ListBullet">
    <w:name w:val="List Bullet"/>
    <w:basedOn w:val="Bullet1"/>
    <w:uiPriority w:val="99"/>
    <w:semiHidden/>
    <w:locked/>
    <w:rsid w:val="006476D3"/>
    <w:rPr>
      <w:noProof/>
    </w:rPr>
  </w:style>
  <w:style w:type="paragraph" w:styleId="ListBullet2">
    <w:name w:val="List Bullet 2"/>
    <w:basedOn w:val="Bullet2"/>
    <w:uiPriority w:val="99"/>
    <w:semiHidden/>
    <w:locked/>
    <w:rsid w:val="006476D3"/>
    <w:rPr>
      <w:noProof/>
    </w:rPr>
  </w:style>
  <w:style w:type="paragraph" w:customStyle="1" w:styleId="BreakoutBoxText">
    <w:name w:val="Breakout Box Text"/>
    <w:basedOn w:val="Normal"/>
    <w:uiPriority w:val="99"/>
    <w:semiHidden/>
    <w:qFormat/>
    <w:locked/>
    <w:rsid w:val="00FB3068"/>
    <w:pPr>
      <w:spacing w:line="300" w:lineRule="atLeast"/>
    </w:pPr>
    <w:rPr>
      <w:color w:val="808080" w:themeColor="background1" w:themeShade="80"/>
    </w:rPr>
  </w:style>
  <w:style w:type="paragraph" w:customStyle="1" w:styleId="BreakoutBoxHeading">
    <w:name w:val="Breakout Box Heading"/>
    <w:basedOn w:val="Normal"/>
    <w:uiPriority w:val="99"/>
    <w:locked/>
    <w:rsid w:val="00FB3068"/>
    <w:rPr>
      <w:rFonts w:eastAsiaTheme="majorEastAsia" w:cstheme="majorBidi"/>
      <w:caps/>
      <w:color w:val="191919" w:themeColor="text1" w:themeTint="E6"/>
      <w:sz w:val="28"/>
      <w:szCs w:val="36"/>
    </w:rPr>
  </w:style>
  <w:style w:type="paragraph" w:styleId="Caption">
    <w:name w:val="caption"/>
    <w:basedOn w:val="Normal"/>
    <w:next w:val="BodyText"/>
    <w:uiPriority w:val="99"/>
    <w:semiHidden/>
    <w:locked/>
    <w:rsid w:val="008B21A5"/>
    <w:pPr>
      <w:spacing w:before="240"/>
      <w:ind w:left="1077" w:hanging="1077"/>
    </w:pPr>
    <w:rPr>
      <w:i/>
      <w:iCs/>
      <w:color w:val="4D4DB8"/>
      <w:szCs w:val="18"/>
    </w:rPr>
  </w:style>
  <w:style w:type="paragraph" w:customStyle="1" w:styleId="Notes">
    <w:name w:val="Notes"/>
    <w:basedOn w:val="Caption"/>
    <w:uiPriority w:val="13"/>
    <w:qFormat/>
    <w:rsid w:val="00D57743"/>
    <w:pPr>
      <w:spacing w:before="0"/>
    </w:pPr>
    <w:rPr>
      <w:sz w:val="20"/>
    </w:rPr>
  </w:style>
  <w:style w:type="character" w:styleId="FootnoteReference">
    <w:name w:val="footnote reference"/>
    <w:basedOn w:val="DefaultParagraphFont"/>
    <w:uiPriority w:val="99"/>
    <w:semiHidden/>
    <w:locked/>
    <w:rsid w:val="00493FA0"/>
    <w:rPr>
      <w:vertAlign w:val="superscript"/>
    </w:rPr>
  </w:style>
  <w:style w:type="paragraph" w:styleId="TOAHeading">
    <w:name w:val="toa heading"/>
    <w:basedOn w:val="Heading1"/>
    <w:next w:val="Normal"/>
    <w:uiPriority w:val="99"/>
    <w:semiHidden/>
    <w:locked/>
    <w:rsid w:val="00FB3068"/>
    <w:pPr>
      <w:numPr>
        <w:numId w:val="0"/>
      </w:numPr>
    </w:pPr>
  </w:style>
  <w:style w:type="paragraph" w:styleId="TOC1">
    <w:name w:val="toc 1"/>
    <w:basedOn w:val="Normal"/>
    <w:uiPriority w:val="39"/>
    <w:locked/>
    <w:rsid w:val="006D29AB"/>
    <w:pPr>
      <w:tabs>
        <w:tab w:val="left" w:pos="482"/>
        <w:tab w:val="right" w:leader="dot" w:pos="9072"/>
      </w:tabs>
      <w:spacing w:before="240"/>
    </w:pPr>
    <w:rPr>
      <w:b/>
      <w:color w:val="000099"/>
    </w:rPr>
  </w:style>
  <w:style w:type="paragraph" w:styleId="TOC2">
    <w:name w:val="toc 2"/>
    <w:basedOn w:val="TOC1"/>
    <w:uiPriority w:val="39"/>
    <w:locked/>
    <w:rsid w:val="00C66BAD"/>
    <w:pPr>
      <w:tabs>
        <w:tab w:val="clear" w:pos="482"/>
      </w:tabs>
      <w:spacing w:before="0"/>
      <w:ind w:left="238"/>
    </w:pPr>
    <w:rPr>
      <w:b w:val="0"/>
      <w:color w:val="4D4DB8"/>
    </w:rPr>
  </w:style>
  <w:style w:type="paragraph" w:styleId="TOC3">
    <w:name w:val="toc 3"/>
    <w:basedOn w:val="TOC2"/>
    <w:uiPriority w:val="99"/>
    <w:semiHidden/>
    <w:qFormat/>
    <w:locked/>
    <w:rsid w:val="009A4DB5"/>
  </w:style>
  <w:style w:type="paragraph" w:styleId="TableofFigures">
    <w:name w:val="table of figures"/>
    <w:basedOn w:val="TOC2"/>
    <w:uiPriority w:val="99"/>
    <w:semiHidden/>
    <w:locked/>
    <w:rsid w:val="00C31AA9"/>
    <w:pPr>
      <w:ind w:left="1276" w:hanging="1038"/>
    </w:pPr>
    <w:rPr>
      <w:noProof/>
    </w:rPr>
  </w:style>
  <w:style w:type="paragraph" w:styleId="BalloonText">
    <w:name w:val="Balloon Text"/>
    <w:basedOn w:val="Normal"/>
    <w:link w:val="BalloonTextChar"/>
    <w:uiPriority w:val="99"/>
    <w:semiHidden/>
    <w:locked/>
    <w:rsid w:val="00C875EE"/>
    <w:rPr>
      <w:rFonts w:ascii="Tahoma" w:hAnsi="Tahoma" w:cs="Tahoma"/>
      <w:sz w:val="16"/>
      <w:szCs w:val="16"/>
    </w:rPr>
  </w:style>
  <w:style w:type="character" w:customStyle="1" w:styleId="BalloonTextChar">
    <w:name w:val="Balloon Text Char"/>
    <w:basedOn w:val="DefaultParagraphFont"/>
    <w:link w:val="BalloonText"/>
    <w:uiPriority w:val="99"/>
    <w:semiHidden/>
    <w:rsid w:val="00A7504E"/>
    <w:rPr>
      <w:rFonts w:ascii="Tahoma" w:hAnsi="Tahoma" w:cs="Tahoma"/>
      <w:sz w:val="16"/>
      <w:szCs w:val="16"/>
    </w:rPr>
  </w:style>
  <w:style w:type="paragraph" w:styleId="TOCHeading">
    <w:name w:val="TOC Heading"/>
    <w:basedOn w:val="TOAHeading"/>
    <w:next w:val="Normal"/>
    <w:uiPriority w:val="99"/>
    <w:semiHidden/>
    <w:qFormat/>
    <w:locked/>
    <w:rsid w:val="00FB3068"/>
  </w:style>
  <w:style w:type="paragraph" w:customStyle="1" w:styleId="Bullet1">
    <w:name w:val="Bullet 1"/>
    <w:basedOn w:val="ListParagraph"/>
    <w:link w:val="Bullet1Char"/>
    <w:uiPriority w:val="7"/>
    <w:qFormat/>
    <w:rsid w:val="00BF1A01"/>
    <w:pPr>
      <w:numPr>
        <w:numId w:val="12"/>
      </w:numPr>
      <w:spacing w:before="60"/>
      <w:contextualSpacing w:val="0"/>
    </w:pPr>
    <w:rPr>
      <w:rFonts w:eastAsia="Times New Roman" w:cstheme="minorHAnsi"/>
    </w:rPr>
  </w:style>
  <w:style w:type="character" w:customStyle="1" w:styleId="Bullet1Char">
    <w:name w:val="Bullet 1 Char"/>
    <w:basedOn w:val="DefaultParagraphFont"/>
    <w:link w:val="Bullet1"/>
    <w:uiPriority w:val="7"/>
    <w:rsid w:val="007A43BA"/>
    <w:rPr>
      <w:rFonts w:ascii="Calibri" w:eastAsia="Times New Roman" w:hAnsi="Calibri" w:cstheme="minorHAnsi"/>
    </w:rPr>
  </w:style>
  <w:style w:type="paragraph" w:styleId="ListParagraph">
    <w:name w:val="List Paragraph"/>
    <w:basedOn w:val="Normal"/>
    <w:uiPriority w:val="99"/>
    <w:semiHidden/>
    <w:locked/>
    <w:rsid w:val="006476D3"/>
    <w:pPr>
      <w:ind w:left="720"/>
      <w:contextualSpacing/>
    </w:pPr>
  </w:style>
  <w:style w:type="paragraph" w:customStyle="1" w:styleId="Bullet2">
    <w:name w:val="Bullet 2"/>
    <w:basedOn w:val="Bullet1"/>
    <w:link w:val="Bullet2Char1"/>
    <w:uiPriority w:val="8"/>
    <w:qFormat/>
    <w:rsid w:val="00336883"/>
    <w:pPr>
      <w:numPr>
        <w:ilvl w:val="1"/>
      </w:numPr>
      <w:spacing w:before="0"/>
    </w:pPr>
  </w:style>
  <w:style w:type="paragraph" w:customStyle="1" w:styleId="Bullet3">
    <w:name w:val="Bullet 3"/>
    <w:basedOn w:val="Bullet2"/>
    <w:link w:val="Bullet3Char"/>
    <w:uiPriority w:val="9"/>
    <w:qFormat/>
    <w:rsid w:val="00B11172"/>
    <w:pPr>
      <w:numPr>
        <w:ilvl w:val="2"/>
      </w:numPr>
      <w:tabs>
        <w:tab w:val="num" w:pos="360"/>
      </w:tabs>
    </w:pPr>
  </w:style>
  <w:style w:type="character" w:customStyle="1" w:styleId="Bullet2Char1">
    <w:name w:val="Bullet 2 Char1"/>
    <w:basedOn w:val="DefaultParagraphFont"/>
    <w:link w:val="Bullet2"/>
    <w:uiPriority w:val="8"/>
    <w:rsid w:val="007A43BA"/>
    <w:rPr>
      <w:rFonts w:ascii="Calibri" w:eastAsia="Times New Roman" w:hAnsi="Calibri" w:cstheme="minorHAnsi"/>
    </w:rPr>
  </w:style>
  <w:style w:type="character" w:customStyle="1" w:styleId="Bullet3Char">
    <w:name w:val="Bullet 3 Char"/>
    <w:basedOn w:val="Bullet2Char1"/>
    <w:link w:val="Bullet3"/>
    <w:uiPriority w:val="9"/>
    <w:rsid w:val="00B11172"/>
    <w:rPr>
      <w:rFonts w:ascii="Calibri" w:eastAsia="Times New Roman" w:hAnsi="Calibri" w:cstheme="minorHAnsi"/>
    </w:rPr>
  </w:style>
  <w:style w:type="paragraph" w:styleId="ListBullet3">
    <w:name w:val="List Bullet 3"/>
    <w:basedOn w:val="Bullet3"/>
    <w:uiPriority w:val="99"/>
    <w:semiHidden/>
    <w:locked/>
    <w:rsid w:val="006476D3"/>
    <w:pPr>
      <w:tabs>
        <w:tab w:val="clear" w:pos="360"/>
      </w:tabs>
    </w:pPr>
    <w:rPr>
      <w:noProof/>
    </w:rPr>
  </w:style>
  <w:style w:type="paragraph" w:customStyle="1" w:styleId="Number1">
    <w:name w:val="Number 1"/>
    <w:basedOn w:val="ListParagraph"/>
    <w:link w:val="Number1Char"/>
    <w:uiPriority w:val="10"/>
    <w:qFormat/>
    <w:rsid w:val="002A7D62"/>
    <w:pPr>
      <w:numPr>
        <w:numId w:val="14"/>
      </w:numPr>
      <w:spacing w:before="60"/>
      <w:contextualSpacing w:val="0"/>
    </w:pPr>
    <w:rPr>
      <w:rFonts w:eastAsia="Times New Roman" w:cstheme="minorHAnsi"/>
    </w:rPr>
  </w:style>
  <w:style w:type="paragraph" w:customStyle="1" w:styleId="Number2">
    <w:name w:val="Number 2"/>
    <w:basedOn w:val="Number1"/>
    <w:uiPriority w:val="11"/>
    <w:qFormat/>
    <w:rsid w:val="002A7D62"/>
    <w:pPr>
      <w:numPr>
        <w:ilvl w:val="1"/>
      </w:numPr>
      <w:spacing w:before="0"/>
    </w:pPr>
  </w:style>
  <w:style w:type="character" w:customStyle="1" w:styleId="Number1Char">
    <w:name w:val="Number 1 Char"/>
    <w:basedOn w:val="DefaultParagraphFont"/>
    <w:link w:val="Number1"/>
    <w:uiPriority w:val="10"/>
    <w:rsid w:val="002A7D62"/>
    <w:rPr>
      <w:rFonts w:ascii="Calibri" w:eastAsia="Times New Roman" w:hAnsi="Calibri" w:cstheme="minorHAnsi"/>
    </w:rPr>
  </w:style>
  <w:style w:type="paragraph" w:customStyle="1" w:styleId="Number3">
    <w:name w:val="Number 3"/>
    <w:basedOn w:val="Number2"/>
    <w:uiPriority w:val="12"/>
    <w:qFormat/>
    <w:rsid w:val="005172DB"/>
    <w:pPr>
      <w:numPr>
        <w:ilvl w:val="2"/>
      </w:numPr>
      <w:ind w:hanging="272"/>
    </w:pPr>
  </w:style>
  <w:style w:type="paragraph" w:customStyle="1" w:styleId="ClientName">
    <w:name w:val="Client Name"/>
    <w:basedOn w:val="Normal"/>
    <w:uiPriority w:val="99"/>
    <w:semiHidden/>
    <w:locked/>
    <w:rsid w:val="00FB3068"/>
    <w:rPr>
      <w:rFonts w:cstheme="minorHAnsi"/>
      <w:sz w:val="36"/>
      <w:szCs w:val="36"/>
    </w:rPr>
  </w:style>
  <w:style w:type="character" w:customStyle="1" w:styleId="Heading4Char">
    <w:name w:val="Heading 4 Char"/>
    <w:basedOn w:val="DefaultParagraphFont"/>
    <w:link w:val="Heading4"/>
    <w:uiPriority w:val="99"/>
    <w:semiHidden/>
    <w:rsid w:val="00A7504E"/>
    <w:rPr>
      <w:rFonts w:ascii="Calibri" w:eastAsiaTheme="majorEastAsia" w:hAnsi="Calibri" w:cstheme="majorBidi"/>
      <w:b/>
      <w:i/>
      <w:iCs/>
      <w:color w:val="4D4DB8"/>
      <w:sz w:val="24"/>
      <w:szCs w:val="26"/>
    </w:rPr>
  </w:style>
  <w:style w:type="character" w:customStyle="1" w:styleId="Heading5Char">
    <w:name w:val="Heading 5 Char"/>
    <w:basedOn w:val="DefaultParagraphFont"/>
    <w:link w:val="Heading5"/>
    <w:uiPriority w:val="99"/>
    <w:semiHidden/>
    <w:rsid w:val="00A7504E"/>
    <w:rPr>
      <w:rFonts w:ascii="Calibri" w:eastAsiaTheme="majorEastAsia" w:hAnsi="Calibri" w:cstheme="majorBidi"/>
      <w:b/>
      <w:iCs/>
      <w:color w:val="4D4DB8"/>
      <w:sz w:val="20"/>
      <w:szCs w:val="26"/>
    </w:rPr>
  </w:style>
  <w:style w:type="character" w:customStyle="1" w:styleId="Heading6Char">
    <w:name w:val="Heading 6 Char"/>
    <w:basedOn w:val="DefaultParagraphFont"/>
    <w:link w:val="Heading6"/>
    <w:uiPriority w:val="99"/>
    <w:semiHidden/>
    <w:rsid w:val="00A7504E"/>
    <w:rPr>
      <w:rFonts w:ascii="Calibri" w:eastAsiaTheme="majorEastAsia" w:hAnsi="Calibri" w:cstheme="majorBidi"/>
      <w:b/>
      <w:i/>
      <w:iCs/>
      <w:color w:val="4D4DB8"/>
      <w:sz w:val="20"/>
      <w:szCs w:val="26"/>
    </w:rPr>
  </w:style>
  <w:style w:type="character" w:customStyle="1" w:styleId="Heading7Char">
    <w:name w:val="Heading 7 Char"/>
    <w:basedOn w:val="DefaultParagraphFont"/>
    <w:link w:val="Heading7"/>
    <w:uiPriority w:val="99"/>
    <w:semiHidden/>
    <w:rsid w:val="00A7504E"/>
    <w:rPr>
      <w:rFonts w:ascii="Calibri" w:eastAsiaTheme="majorEastAsia" w:hAnsi="Calibri" w:cstheme="majorBidi"/>
      <w:b/>
      <w:color w:val="4D4DB8"/>
      <w:sz w:val="20"/>
      <w:szCs w:val="26"/>
    </w:rPr>
  </w:style>
  <w:style w:type="character" w:customStyle="1" w:styleId="Heading8Char">
    <w:name w:val="Heading 8 Char"/>
    <w:basedOn w:val="DefaultParagraphFont"/>
    <w:link w:val="Heading8"/>
    <w:uiPriority w:val="99"/>
    <w:semiHidden/>
    <w:rsid w:val="00A7504E"/>
    <w:rPr>
      <w:rFonts w:ascii="Calibri" w:eastAsiaTheme="majorEastAsia" w:hAnsi="Calibri" w:cstheme="majorBidi"/>
      <w:color w:val="4D4DB8"/>
      <w:sz w:val="20"/>
      <w:szCs w:val="21"/>
    </w:rPr>
  </w:style>
  <w:style w:type="character" w:customStyle="1" w:styleId="Heading9Char">
    <w:name w:val="Heading 9 Char"/>
    <w:basedOn w:val="DefaultParagraphFont"/>
    <w:link w:val="Heading9"/>
    <w:uiPriority w:val="99"/>
    <w:semiHidden/>
    <w:rsid w:val="00A7504E"/>
    <w:rPr>
      <w:rFonts w:ascii="Calibri" w:eastAsiaTheme="majorEastAsia" w:hAnsi="Calibri" w:cstheme="majorBidi"/>
      <w:iCs/>
      <w:color w:val="4D4DB8"/>
      <w:sz w:val="20"/>
      <w:szCs w:val="21"/>
    </w:rPr>
  </w:style>
  <w:style w:type="paragraph" w:customStyle="1" w:styleId="Heading1nonumber">
    <w:name w:val="Heading 1 no number"/>
    <w:basedOn w:val="Heading1"/>
    <w:next w:val="BodyText"/>
    <w:link w:val="Heading1nonumberChar"/>
    <w:uiPriority w:val="2"/>
    <w:qFormat/>
    <w:rsid w:val="00FB3068"/>
    <w:pPr>
      <w:numPr>
        <w:numId w:val="0"/>
      </w:numPr>
    </w:pPr>
  </w:style>
  <w:style w:type="paragraph" w:customStyle="1" w:styleId="Heading2nonumber">
    <w:name w:val="Heading 2 no number"/>
    <w:basedOn w:val="Heading2"/>
    <w:next w:val="BodyText"/>
    <w:uiPriority w:val="4"/>
    <w:qFormat/>
    <w:rsid w:val="00C66BAD"/>
    <w:pPr>
      <w:numPr>
        <w:ilvl w:val="0"/>
        <w:numId w:val="0"/>
      </w:numPr>
    </w:pPr>
  </w:style>
  <w:style w:type="paragraph" w:customStyle="1" w:styleId="Appendix">
    <w:name w:val="Appendix"/>
    <w:basedOn w:val="Heading1"/>
    <w:uiPriority w:val="99"/>
    <w:semiHidden/>
    <w:qFormat/>
    <w:locked/>
    <w:rsid w:val="0033455F"/>
    <w:pPr>
      <w:numPr>
        <w:numId w:val="18"/>
      </w:numPr>
      <w:spacing w:after="0"/>
    </w:pPr>
  </w:style>
  <w:style w:type="character" w:styleId="PlaceholderText">
    <w:name w:val="Placeholder Text"/>
    <w:basedOn w:val="DefaultParagraphFont"/>
    <w:uiPriority w:val="99"/>
    <w:semiHidden/>
    <w:locked/>
    <w:rsid w:val="00720C59"/>
    <w:rPr>
      <w:color w:val="808080"/>
    </w:rPr>
  </w:style>
  <w:style w:type="paragraph" w:customStyle="1" w:styleId="TableHeading">
    <w:name w:val="Table Heading"/>
    <w:basedOn w:val="Normal"/>
    <w:uiPriority w:val="99"/>
    <w:semiHidden/>
    <w:qFormat/>
    <w:locked/>
    <w:rsid w:val="00401DFB"/>
    <w:pPr>
      <w:framePr w:hSpace="181" w:wrap="around" w:vAnchor="text" w:hAnchor="text" w:y="1"/>
      <w:suppressOverlap/>
    </w:pPr>
    <w:rPr>
      <w:rFonts w:cs="Calibri"/>
      <w:b/>
      <w:color w:val="FFFFFF" w:themeColor="background1"/>
      <w:sz w:val="20"/>
    </w:rPr>
  </w:style>
  <w:style w:type="paragraph" w:customStyle="1" w:styleId="AppendixHeading1">
    <w:name w:val="Appendix Heading 1"/>
    <w:basedOn w:val="Heading1nonumber"/>
    <w:next w:val="Normal"/>
    <w:uiPriority w:val="99"/>
    <w:semiHidden/>
    <w:locked/>
    <w:rsid w:val="009E6EAE"/>
  </w:style>
  <w:style w:type="paragraph" w:styleId="BodyText">
    <w:name w:val="Body Text"/>
    <w:basedOn w:val="Normal"/>
    <w:link w:val="BodyTextChar"/>
    <w:qFormat/>
    <w:rsid w:val="001F17C8"/>
  </w:style>
  <w:style w:type="character" w:customStyle="1" w:styleId="BodyTextChar">
    <w:name w:val="Body Text Char"/>
    <w:basedOn w:val="DefaultParagraphFont"/>
    <w:link w:val="BodyText"/>
    <w:rsid w:val="007A43BA"/>
    <w:rPr>
      <w:rFonts w:ascii="Calibri" w:hAnsi="Calibri"/>
    </w:rPr>
  </w:style>
  <w:style w:type="paragraph" w:customStyle="1" w:styleId="AppendixHeading">
    <w:name w:val="Appendix Heading"/>
    <w:basedOn w:val="AppendixSubheadings"/>
    <w:link w:val="AppendixHeadingChar"/>
    <w:uiPriority w:val="99"/>
    <w:semiHidden/>
    <w:qFormat/>
    <w:locked/>
    <w:rsid w:val="00BA00B7"/>
    <w:pPr>
      <w:numPr>
        <w:numId w:val="22"/>
      </w:numPr>
    </w:pPr>
    <w:rPr>
      <w:szCs w:val="28"/>
    </w:rPr>
  </w:style>
  <w:style w:type="character" w:customStyle="1" w:styleId="Heading1nonumberChar">
    <w:name w:val="Heading 1 no number Char"/>
    <w:basedOn w:val="Heading1Char"/>
    <w:link w:val="Heading1nonumber"/>
    <w:uiPriority w:val="2"/>
    <w:rsid w:val="007A43BA"/>
    <w:rPr>
      <w:rFonts w:ascii="Calibri" w:eastAsiaTheme="majorEastAsia" w:hAnsi="Calibri" w:cstheme="majorBidi"/>
      <w:b/>
      <w:color w:val="000099"/>
      <w:sz w:val="40"/>
      <w:szCs w:val="32"/>
    </w:rPr>
  </w:style>
  <w:style w:type="character" w:customStyle="1" w:styleId="AppendixHeadingChar">
    <w:name w:val="Appendix Heading Char"/>
    <w:basedOn w:val="Heading1nonumberChar"/>
    <w:link w:val="AppendixHeading"/>
    <w:uiPriority w:val="99"/>
    <w:semiHidden/>
    <w:rsid w:val="00A7504E"/>
    <w:rPr>
      <w:rFonts w:ascii="Calibri" w:eastAsiaTheme="majorEastAsia" w:hAnsi="Calibri" w:cstheme="majorBidi"/>
      <w:b/>
      <w:color w:val="000099"/>
      <w:sz w:val="28"/>
      <w:szCs w:val="28"/>
    </w:rPr>
  </w:style>
  <w:style w:type="character" w:customStyle="1" w:styleId="Mention1">
    <w:name w:val="Mention1"/>
    <w:basedOn w:val="DefaultParagraphFont"/>
    <w:uiPriority w:val="99"/>
    <w:semiHidden/>
    <w:locked/>
    <w:rsid w:val="00D776E8"/>
    <w:rPr>
      <w:color w:val="2B579A"/>
      <w:shd w:val="clear" w:color="auto" w:fill="E6E6E6"/>
    </w:rPr>
  </w:style>
  <w:style w:type="paragraph" w:customStyle="1" w:styleId="AppendixSubheadings">
    <w:name w:val="Appendix Sub headings"/>
    <w:basedOn w:val="Normal"/>
    <w:next w:val="AppendixHeading1"/>
    <w:link w:val="AppendixSubheadingsChar"/>
    <w:uiPriority w:val="99"/>
    <w:semiHidden/>
    <w:locked/>
    <w:rsid w:val="009E6EAE"/>
    <w:rPr>
      <w:b/>
      <w:color w:val="000099"/>
      <w:sz w:val="28"/>
    </w:rPr>
  </w:style>
  <w:style w:type="character" w:customStyle="1" w:styleId="AppendixSubheadingsChar">
    <w:name w:val="Appendix Sub headings Char"/>
    <w:basedOn w:val="DefaultParagraphFont"/>
    <w:link w:val="AppendixSubheadings"/>
    <w:uiPriority w:val="99"/>
    <w:semiHidden/>
    <w:rsid w:val="00A7504E"/>
    <w:rPr>
      <w:rFonts w:ascii="Calibri" w:hAnsi="Calibri"/>
      <w:b/>
      <w:color w:val="000099"/>
      <w:sz w:val="28"/>
    </w:rPr>
  </w:style>
  <w:style w:type="character" w:customStyle="1" w:styleId="Mention2">
    <w:name w:val="Mention2"/>
    <w:basedOn w:val="DefaultParagraphFont"/>
    <w:uiPriority w:val="99"/>
    <w:semiHidden/>
    <w:locked/>
    <w:rsid w:val="007A1857"/>
    <w:rPr>
      <w:color w:val="2B579A"/>
      <w:shd w:val="clear" w:color="auto" w:fill="E6E6E6"/>
    </w:rPr>
  </w:style>
  <w:style w:type="character" w:styleId="FollowedHyperlink">
    <w:name w:val="FollowedHyperlink"/>
    <w:basedOn w:val="Hyperlink"/>
    <w:uiPriority w:val="99"/>
    <w:semiHidden/>
    <w:locked/>
    <w:rsid w:val="00964AB4"/>
    <w:rPr>
      <w:rFonts w:ascii="Calibri" w:hAnsi="Calibri"/>
      <w:i/>
      <w:color w:val="0000FF"/>
      <w:sz w:val="22"/>
      <w:u w:val="single"/>
    </w:rPr>
  </w:style>
  <w:style w:type="paragraph" w:customStyle="1" w:styleId="B-Table-portrait">
    <w:name w:val="B - Table - portrait"/>
    <w:basedOn w:val="TableHeading"/>
    <w:next w:val="BodyText"/>
    <w:uiPriority w:val="99"/>
    <w:semiHidden/>
    <w:locked/>
    <w:rsid w:val="00C03B0F"/>
    <w:pPr>
      <w:framePr w:wrap="around"/>
    </w:pPr>
  </w:style>
  <w:style w:type="character" w:customStyle="1" w:styleId="SmartHyperlink1">
    <w:name w:val="Smart Hyperlink1"/>
    <w:basedOn w:val="DefaultParagraphFont"/>
    <w:uiPriority w:val="99"/>
    <w:semiHidden/>
    <w:locked/>
    <w:rsid w:val="00D22CE2"/>
    <w:rPr>
      <w:u w:val="dotted"/>
    </w:rPr>
  </w:style>
  <w:style w:type="paragraph" w:customStyle="1" w:styleId="Heading3-nonumber">
    <w:name w:val="Heading 3 - no number"/>
    <w:basedOn w:val="Heading3"/>
    <w:next w:val="BodyText"/>
    <w:link w:val="Heading3-nonumberChar"/>
    <w:uiPriority w:val="6"/>
    <w:qFormat/>
    <w:rsid w:val="00DE1E19"/>
    <w:pPr>
      <w:numPr>
        <w:ilvl w:val="0"/>
        <w:numId w:val="0"/>
      </w:numPr>
      <w:spacing w:before="240"/>
      <w:outlineLvl w:val="9"/>
    </w:pPr>
  </w:style>
  <w:style w:type="paragraph" w:customStyle="1" w:styleId="TextStyle-new">
    <w:name w:val="Text Style - new"/>
    <w:basedOn w:val="BodyText"/>
    <w:link w:val="TextStyle-newChar"/>
    <w:uiPriority w:val="99"/>
    <w:semiHidden/>
    <w:qFormat/>
    <w:locked/>
    <w:rsid w:val="00E30A0E"/>
    <w:pPr>
      <w:spacing w:before="60" w:after="60"/>
    </w:pPr>
    <w:rPr>
      <w:sz w:val="20"/>
    </w:rPr>
  </w:style>
  <w:style w:type="character" w:customStyle="1" w:styleId="Heading3-nonumberChar">
    <w:name w:val="Heading 3 - no number Char"/>
    <w:basedOn w:val="Heading3Char"/>
    <w:link w:val="Heading3-nonumber"/>
    <w:uiPriority w:val="6"/>
    <w:rsid w:val="00DE1E19"/>
    <w:rPr>
      <w:rFonts w:ascii="Calibri" w:eastAsiaTheme="majorEastAsia" w:hAnsi="Calibri" w:cstheme="majorBidi"/>
      <w:b/>
      <w:color w:val="4D4DB8"/>
      <w:sz w:val="24"/>
      <w:szCs w:val="26"/>
    </w:rPr>
  </w:style>
  <w:style w:type="character" w:customStyle="1" w:styleId="TextStyle-newChar">
    <w:name w:val="Text Style - new Char"/>
    <w:basedOn w:val="BodyTextChar"/>
    <w:link w:val="TextStyle-new"/>
    <w:uiPriority w:val="99"/>
    <w:semiHidden/>
    <w:rsid w:val="00A7504E"/>
    <w:rPr>
      <w:rFonts w:ascii="Calibri" w:hAnsi="Calibri"/>
      <w:sz w:val="20"/>
    </w:rPr>
  </w:style>
  <w:style w:type="paragraph" w:customStyle="1" w:styleId="AppendixToC">
    <w:name w:val="Appendix ToC"/>
    <w:basedOn w:val="TOC1"/>
    <w:uiPriority w:val="99"/>
    <w:semiHidden/>
    <w:locked/>
    <w:rsid w:val="00A77E8B"/>
    <w:pPr>
      <w:tabs>
        <w:tab w:val="clear" w:pos="482"/>
      </w:tabs>
      <w:ind w:left="1276" w:hanging="1038"/>
    </w:pPr>
    <w:rPr>
      <w:b w:val="0"/>
      <w:noProof/>
      <w:color w:val="4D4DB8"/>
    </w:rPr>
  </w:style>
  <w:style w:type="paragraph" w:styleId="TOC4">
    <w:name w:val="toc 4"/>
    <w:aliases w:val="Table of appendices"/>
    <w:basedOn w:val="Normal"/>
    <w:next w:val="Normal"/>
    <w:autoRedefine/>
    <w:uiPriority w:val="39"/>
    <w:locked/>
    <w:rsid w:val="00496CD5"/>
    <w:pPr>
      <w:tabs>
        <w:tab w:val="left" w:pos="1540"/>
        <w:tab w:val="right" w:leader="dot" w:pos="9022"/>
      </w:tabs>
      <w:spacing w:after="100"/>
      <w:ind w:left="1276" w:hanging="1276"/>
    </w:pPr>
    <w:rPr>
      <w:noProof/>
      <w:color w:val="4D4DB8"/>
    </w:rPr>
  </w:style>
  <w:style w:type="table" w:customStyle="1" w:styleId="BE-table">
    <w:name w:val="BE - table"/>
    <w:basedOn w:val="TableGrid"/>
    <w:uiPriority w:val="99"/>
    <w:rsid w:val="003522E8"/>
    <w:pPr>
      <w:spacing w:before="60" w:after="60"/>
    </w:pPr>
    <w:rPr>
      <w:sz w:val="20"/>
      <w:szCs w:val="20"/>
      <w:lang w:eastAsia="en-AU"/>
    </w:rPr>
    <w:tblPr>
      <w:tbl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blBorders>
    </w:tblPr>
    <w:tblStylePr w:type="firstRow">
      <w:pPr>
        <w:wordWrap/>
        <w:spacing w:beforeLines="60" w:before="60" w:beforeAutospacing="0" w:afterLines="60" w:after="60" w:afterAutospacing="0" w:line="240" w:lineRule="auto"/>
        <w:ind w:leftChars="0" w:left="0" w:rightChars="0" w:right="0" w:firstLineChars="0" w:firstLine="0"/>
        <w:contextualSpacing w:val="0"/>
        <w:mirrorIndents w:val="0"/>
        <w:jc w:val="left"/>
        <w:outlineLvl w:val="9"/>
      </w:pPr>
      <w:rPr>
        <w:b/>
        <w:color w:val="FFFFFF" w:themeColor="background1"/>
      </w:rPr>
      <w:tblPr/>
      <w:trPr>
        <w:cantSplit/>
        <w:tblHeader/>
      </w:trPr>
      <w:tcPr>
        <w:tcBorders>
          <w:bottom w:val="single" w:sz="4" w:space="0" w:color="B7B7E2" w:themeColor="accent1" w:themeTint="66"/>
          <w:tl2br w:val="none" w:sz="0" w:space="0" w:color="auto"/>
          <w:tr2bl w:val="none" w:sz="0" w:space="0" w:color="auto"/>
        </w:tcBorders>
        <w:shd w:val="clear" w:color="auto" w:fill="B7B7E2" w:themeFill="accent1" w:themeFillTint="66"/>
      </w:tcPr>
    </w:tblStylePr>
    <w:tblStylePr w:type="lastRow">
      <w:rPr>
        <w:b w:val="0"/>
        <w:bCs/>
        <w:color w:val="auto"/>
      </w:rPr>
      <w:tblPr/>
      <w:tcPr>
        <w:tc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l2br w:val="none" w:sz="0" w:space="0" w:color="auto"/>
          <w:tr2bl w:val="none" w:sz="0" w:space="0" w:color="auto"/>
        </w:tcBorders>
        <w:shd w:val="clear" w:color="auto" w:fill="auto"/>
      </w:tcPr>
    </w:tblStylePr>
    <w:tblStylePr w:type="firstCol">
      <w:pPr>
        <w:jc w:val="left"/>
      </w:pPr>
      <w:tblPr/>
      <w:tcPr>
        <w:vAlign w:val="center"/>
      </w:tcPr>
    </w:tblStylePr>
    <w:tblStylePr w:type="lastCol">
      <w:rPr>
        <w:b w:val="0"/>
        <w:bCs/>
        <w:color w:val="auto"/>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1B427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C7A35"/>
    <w:rPr>
      <w:color w:val="605E5C"/>
      <w:shd w:val="clear" w:color="auto" w:fill="E1DFDD"/>
    </w:rPr>
  </w:style>
  <w:style w:type="character" w:styleId="CommentReference">
    <w:name w:val="annotation reference"/>
    <w:basedOn w:val="DefaultParagraphFont"/>
    <w:uiPriority w:val="99"/>
    <w:semiHidden/>
    <w:locked/>
    <w:rsid w:val="00137604"/>
    <w:rPr>
      <w:sz w:val="16"/>
      <w:szCs w:val="16"/>
    </w:rPr>
  </w:style>
  <w:style w:type="paragraph" w:styleId="CommentText">
    <w:name w:val="annotation text"/>
    <w:basedOn w:val="Normal"/>
    <w:link w:val="CommentTextChar"/>
    <w:uiPriority w:val="99"/>
    <w:semiHidden/>
    <w:locked/>
    <w:rsid w:val="00137604"/>
    <w:rPr>
      <w:sz w:val="20"/>
      <w:szCs w:val="20"/>
    </w:rPr>
  </w:style>
  <w:style w:type="character" w:customStyle="1" w:styleId="CommentTextChar">
    <w:name w:val="Comment Text Char"/>
    <w:basedOn w:val="DefaultParagraphFont"/>
    <w:link w:val="CommentText"/>
    <w:uiPriority w:val="99"/>
    <w:semiHidden/>
    <w:rsid w:val="00137604"/>
    <w:rPr>
      <w:sz w:val="20"/>
      <w:szCs w:val="20"/>
    </w:rPr>
  </w:style>
  <w:style w:type="paragraph" w:styleId="CommentSubject">
    <w:name w:val="annotation subject"/>
    <w:basedOn w:val="CommentText"/>
    <w:next w:val="CommentText"/>
    <w:link w:val="CommentSubjectChar"/>
    <w:uiPriority w:val="99"/>
    <w:semiHidden/>
    <w:locked/>
    <w:rsid w:val="00137604"/>
    <w:rPr>
      <w:b/>
      <w:bCs/>
    </w:rPr>
  </w:style>
  <w:style w:type="character" w:customStyle="1" w:styleId="CommentSubjectChar">
    <w:name w:val="Comment Subject Char"/>
    <w:basedOn w:val="CommentTextChar"/>
    <w:link w:val="CommentSubject"/>
    <w:uiPriority w:val="99"/>
    <w:semiHidden/>
    <w:rsid w:val="00137604"/>
    <w:rPr>
      <w:b/>
      <w:bCs/>
      <w:sz w:val="20"/>
      <w:szCs w:val="20"/>
    </w:rPr>
  </w:style>
  <w:style w:type="table" w:customStyle="1" w:styleId="BE-table1">
    <w:name w:val="BE - table1"/>
    <w:basedOn w:val="TableNormal"/>
    <w:uiPriority w:val="99"/>
    <w:rsid w:val="00290209"/>
    <w:rPr>
      <w:sz w:val="20"/>
    </w:rPr>
    <w:tblPr>
      <w:tbl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blBorders>
    </w:tblPr>
    <w:tblStylePr w:type="firstRow">
      <w:rPr>
        <w:b/>
        <w:i w:val="0"/>
        <w:color w:val="FFFFFF" w:themeColor="background1"/>
      </w:rPr>
      <w:tblPr/>
      <w:tcPr>
        <w:tc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l2br w:val="nil"/>
          <w:tr2bl w:val="nil"/>
        </w:tcBorders>
        <w:shd w:val="clear" w:color="auto" w:fill="B7B7E2" w:themeFill="accent1" w:themeFillTint="66"/>
        <w:vAlign w:val="bottom"/>
      </w:tcPr>
    </w:tblStylePr>
  </w:style>
  <w:style w:type="paragraph" w:styleId="Revision">
    <w:name w:val="Revision"/>
    <w:hidden/>
    <w:uiPriority w:val="99"/>
    <w:semiHidden/>
    <w:rsid w:val="002C6513"/>
  </w:style>
  <w:style w:type="table" w:customStyle="1" w:styleId="TableGridLight1">
    <w:name w:val="Table Grid Light1"/>
    <w:basedOn w:val="TableNormal"/>
    <w:uiPriority w:val="40"/>
    <w:locked/>
    <w:rsid w:val="002B1C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E-table2">
    <w:name w:val="BE - table2"/>
    <w:basedOn w:val="TableGrid"/>
    <w:uiPriority w:val="99"/>
    <w:rsid w:val="003A3BCA"/>
    <w:pPr>
      <w:spacing w:before="60" w:after="60"/>
    </w:pPr>
    <w:rPr>
      <w:sz w:val="20"/>
      <w:szCs w:val="20"/>
      <w:lang w:eastAsia="en-AU"/>
    </w:rPr>
    <w:tblPr>
      <w:tbl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blBorders>
    </w:tblPr>
    <w:tblStylePr w:type="firstRow">
      <w:pPr>
        <w:wordWrap/>
        <w:spacing w:beforeLines="60" w:before="60" w:beforeAutospacing="0" w:afterLines="60" w:after="60" w:afterAutospacing="0" w:line="240" w:lineRule="auto"/>
        <w:ind w:leftChars="0" w:left="0" w:rightChars="0" w:right="0" w:firstLineChars="0" w:firstLine="0"/>
        <w:contextualSpacing w:val="0"/>
        <w:mirrorIndents w:val="0"/>
        <w:jc w:val="left"/>
        <w:outlineLvl w:val="9"/>
      </w:pPr>
      <w:rPr>
        <w:b/>
        <w:color w:val="FFFFFF" w:themeColor="background1"/>
      </w:rPr>
      <w:tblPr/>
      <w:trPr>
        <w:cantSplit/>
        <w:tblHeader/>
      </w:trPr>
      <w:tcPr>
        <w:tcBorders>
          <w:bottom w:val="single" w:sz="4" w:space="0" w:color="B7B7E2" w:themeColor="accent1" w:themeTint="66"/>
          <w:tl2br w:val="none" w:sz="0" w:space="0" w:color="auto"/>
          <w:tr2bl w:val="none" w:sz="0" w:space="0" w:color="auto"/>
        </w:tcBorders>
        <w:shd w:val="clear" w:color="auto" w:fill="B7B7E2" w:themeFill="accent1" w:themeFillTint="66"/>
      </w:tcPr>
    </w:tblStylePr>
    <w:tblStylePr w:type="lastRow">
      <w:rPr>
        <w:b w:val="0"/>
        <w:bCs/>
        <w:color w:val="auto"/>
      </w:rPr>
      <w:tblPr/>
      <w:tcPr>
        <w:tc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l2br w:val="none" w:sz="0" w:space="0" w:color="auto"/>
          <w:tr2bl w:val="none" w:sz="0" w:space="0" w:color="auto"/>
        </w:tcBorders>
        <w:shd w:val="clear" w:color="auto" w:fill="auto"/>
      </w:tcPr>
    </w:tblStylePr>
    <w:tblStylePr w:type="firstCol">
      <w:pPr>
        <w:jc w:val="left"/>
      </w:pPr>
      <w:tblPr/>
      <w:tcPr>
        <w:vAlign w:val="center"/>
      </w:tcPr>
    </w:tblStylePr>
    <w:tblStylePr w:type="lastCol">
      <w:rPr>
        <w:b w:val="0"/>
        <w:bC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370257"/>
    <w:rPr>
      <w:color w:val="605E5C"/>
      <w:shd w:val="clear" w:color="auto" w:fill="E1DFDD"/>
    </w:rPr>
  </w:style>
  <w:style w:type="table" w:styleId="TableGridLight">
    <w:name w:val="Grid Table Light"/>
    <w:basedOn w:val="TableNormal"/>
    <w:uiPriority w:val="40"/>
    <w:rsid w:val="00762C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4194">
      <w:bodyDiv w:val="1"/>
      <w:marLeft w:val="0"/>
      <w:marRight w:val="0"/>
      <w:marTop w:val="0"/>
      <w:marBottom w:val="0"/>
      <w:divBdr>
        <w:top w:val="none" w:sz="0" w:space="0" w:color="auto"/>
        <w:left w:val="none" w:sz="0" w:space="0" w:color="auto"/>
        <w:bottom w:val="none" w:sz="0" w:space="0" w:color="auto"/>
        <w:right w:val="none" w:sz="0" w:space="0" w:color="auto"/>
      </w:divBdr>
    </w:div>
    <w:div w:id="92210910">
      <w:bodyDiv w:val="1"/>
      <w:marLeft w:val="0"/>
      <w:marRight w:val="0"/>
      <w:marTop w:val="0"/>
      <w:marBottom w:val="0"/>
      <w:divBdr>
        <w:top w:val="none" w:sz="0" w:space="0" w:color="auto"/>
        <w:left w:val="none" w:sz="0" w:space="0" w:color="auto"/>
        <w:bottom w:val="none" w:sz="0" w:space="0" w:color="auto"/>
        <w:right w:val="none" w:sz="0" w:space="0" w:color="auto"/>
      </w:divBdr>
    </w:div>
    <w:div w:id="466244171">
      <w:bodyDiv w:val="1"/>
      <w:marLeft w:val="0"/>
      <w:marRight w:val="0"/>
      <w:marTop w:val="0"/>
      <w:marBottom w:val="0"/>
      <w:divBdr>
        <w:top w:val="none" w:sz="0" w:space="0" w:color="auto"/>
        <w:left w:val="none" w:sz="0" w:space="0" w:color="auto"/>
        <w:bottom w:val="none" w:sz="0" w:space="0" w:color="auto"/>
        <w:right w:val="none" w:sz="0" w:space="0" w:color="auto"/>
      </w:divBdr>
    </w:div>
    <w:div w:id="507863430">
      <w:bodyDiv w:val="1"/>
      <w:marLeft w:val="0"/>
      <w:marRight w:val="0"/>
      <w:marTop w:val="0"/>
      <w:marBottom w:val="0"/>
      <w:divBdr>
        <w:top w:val="none" w:sz="0" w:space="0" w:color="auto"/>
        <w:left w:val="none" w:sz="0" w:space="0" w:color="auto"/>
        <w:bottom w:val="none" w:sz="0" w:space="0" w:color="auto"/>
        <w:right w:val="none" w:sz="0" w:space="0" w:color="auto"/>
      </w:divBdr>
    </w:div>
    <w:div w:id="545607572">
      <w:bodyDiv w:val="1"/>
      <w:marLeft w:val="0"/>
      <w:marRight w:val="0"/>
      <w:marTop w:val="0"/>
      <w:marBottom w:val="0"/>
      <w:divBdr>
        <w:top w:val="none" w:sz="0" w:space="0" w:color="auto"/>
        <w:left w:val="none" w:sz="0" w:space="0" w:color="auto"/>
        <w:bottom w:val="none" w:sz="0" w:space="0" w:color="auto"/>
        <w:right w:val="none" w:sz="0" w:space="0" w:color="auto"/>
      </w:divBdr>
    </w:div>
    <w:div w:id="588924830">
      <w:bodyDiv w:val="1"/>
      <w:marLeft w:val="0"/>
      <w:marRight w:val="0"/>
      <w:marTop w:val="0"/>
      <w:marBottom w:val="0"/>
      <w:divBdr>
        <w:top w:val="none" w:sz="0" w:space="0" w:color="auto"/>
        <w:left w:val="none" w:sz="0" w:space="0" w:color="auto"/>
        <w:bottom w:val="none" w:sz="0" w:space="0" w:color="auto"/>
        <w:right w:val="none" w:sz="0" w:space="0" w:color="auto"/>
      </w:divBdr>
    </w:div>
    <w:div w:id="615254289">
      <w:bodyDiv w:val="1"/>
      <w:marLeft w:val="0"/>
      <w:marRight w:val="0"/>
      <w:marTop w:val="0"/>
      <w:marBottom w:val="0"/>
      <w:divBdr>
        <w:top w:val="none" w:sz="0" w:space="0" w:color="auto"/>
        <w:left w:val="none" w:sz="0" w:space="0" w:color="auto"/>
        <w:bottom w:val="none" w:sz="0" w:space="0" w:color="auto"/>
        <w:right w:val="none" w:sz="0" w:space="0" w:color="auto"/>
      </w:divBdr>
    </w:div>
    <w:div w:id="673532646">
      <w:bodyDiv w:val="1"/>
      <w:marLeft w:val="0"/>
      <w:marRight w:val="0"/>
      <w:marTop w:val="0"/>
      <w:marBottom w:val="0"/>
      <w:divBdr>
        <w:top w:val="none" w:sz="0" w:space="0" w:color="auto"/>
        <w:left w:val="none" w:sz="0" w:space="0" w:color="auto"/>
        <w:bottom w:val="none" w:sz="0" w:space="0" w:color="auto"/>
        <w:right w:val="none" w:sz="0" w:space="0" w:color="auto"/>
      </w:divBdr>
    </w:div>
    <w:div w:id="766194283">
      <w:bodyDiv w:val="1"/>
      <w:marLeft w:val="0"/>
      <w:marRight w:val="0"/>
      <w:marTop w:val="0"/>
      <w:marBottom w:val="0"/>
      <w:divBdr>
        <w:top w:val="none" w:sz="0" w:space="0" w:color="auto"/>
        <w:left w:val="none" w:sz="0" w:space="0" w:color="auto"/>
        <w:bottom w:val="none" w:sz="0" w:space="0" w:color="auto"/>
        <w:right w:val="none" w:sz="0" w:space="0" w:color="auto"/>
      </w:divBdr>
    </w:div>
    <w:div w:id="816411854">
      <w:bodyDiv w:val="1"/>
      <w:marLeft w:val="0"/>
      <w:marRight w:val="0"/>
      <w:marTop w:val="0"/>
      <w:marBottom w:val="0"/>
      <w:divBdr>
        <w:top w:val="none" w:sz="0" w:space="0" w:color="auto"/>
        <w:left w:val="none" w:sz="0" w:space="0" w:color="auto"/>
        <w:bottom w:val="none" w:sz="0" w:space="0" w:color="auto"/>
        <w:right w:val="none" w:sz="0" w:space="0" w:color="auto"/>
      </w:divBdr>
    </w:div>
    <w:div w:id="830948454">
      <w:bodyDiv w:val="1"/>
      <w:marLeft w:val="0"/>
      <w:marRight w:val="0"/>
      <w:marTop w:val="0"/>
      <w:marBottom w:val="0"/>
      <w:divBdr>
        <w:top w:val="none" w:sz="0" w:space="0" w:color="auto"/>
        <w:left w:val="none" w:sz="0" w:space="0" w:color="auto"/>
        <w:bottom w:val="none" w:sz="0" w:space="0" w:color="auto"/>
        <w:right w:val="none" w:sz="0" w:space="0" w:color="auto"/>
      </w:divBdr>
    </w:div>
    <w:div w:id="871578340">
      <w:bodyDiv w:val="1"/>
      <w:marLeft w:val="0"/>
      <w:marRight w:val="0"/>
      <w:marTop w:val="0"/>
      <w:marBottom w:val="0"/>
      <w:divBdr>
        <w:top w:val="none" w:sz="0" w:space="0" w:color="auto"/>
        <w:left w:val="none" w:sz="0" w:space="0" w:color="auto"/>
        <w:bottom w:val="none" w:sz="0" w:space="0" w:color="auto"/>
        <w:right w:val="none" w:sz="0" w:space="0" w:color="auto"/>
      </w:divBdr>
    </w:div>
    <w:div w:id="925042326">
      <w:bodyDiv w:val="1"/>
      <w:marLeft w:val="0"/>
      <w:marRight w:val="0"/>
      <w:marTop w:val="0"/>
      <w:marBottom w:val="0"/>
      <w:divBdr>
        <w:top w:val="none" w:sz="0" w:space="0" w:color="auto"/>
        <w:left w:val="none" w:sz="0" w:space="0" w:color="auto"/>
        <w:bottom w:val="none" w:sz="0" w:space="0" w:color="auto"/>
        <w:right w:val="none" w:sz="0" w:space="0" w:color="auto"/>
      </w:divBdr>
    </w:div>
    <w:div w:id="1080059740">
      <w:bodyDiv w:val="1"/>
      <w:marLeft w:val="0"/>
      <w:marRight w:val="0"/>
      <w:marTop w:val="0"/>
      <w:marBottom w:val="0"/>
      <w:divBdr>
        <w:top w:val="none" w:sz="0" w:space="0" w:color="auto"/>
        <w:left w:val="none" w:sz="0" w:space="0" w:color="auto"/>
        <w:bottom w:val="none" w:sz="0" w:space="0" w:color="auto"/>
        <w:right w:val="none" w:sz="0" w:space="0" w:color="auto"/>
      </w:divBdr>
    </w:div>
    <w:div w:id="1093160963">
      <w:bodyDiv w:val="1"/>
      <w:marLeft w:val="0"/>
      <w:marRight w:val="0"/>
      <w:marTop w:val="0"/>
      <w:marBottom w:val="0"/>
      <w:divBdr>
        <w:top w:val="none" w:sz="0" w:space="0" w:color="auto"/>
        <w:left w:val="none" w:sz="0" w:space="0" w:color="auto"/>
        <w:bottom w:val="none" w:sz="0" w:space="0" w:color="auto"/>
        <w:right w:val="none" w:sz="0" w:space="0" w:color="auto"/>
      </w:divBdr>
    </w:div>
    <w:div w:id="1128738019">
      <w:bodyDiv w:val="1"/>
      <w:marLeft w:val="0"/>
      <w:marRight w:val="0"/>
      <w:marTop w:val="0"/>
      <w:marBottom w:val="0"/>
      <w:divBdr>
        <w:top w:val="none" w:sz="0" w:space="0" w:color="auto"/>
        <w:left w:val="none" w:sz="0" w:space="0" w:color="auto"/>
        <w:bottom w:val="none" w:sz="0" w:space="0" w:color="auto"/>
        <w:right w:val="none" w:sz="0" w:space="0" w:color="auto"/>
      </w:divBdr>
    </w:div>
    <w:div w:id="1148478417">
      <w:bodyDiv w:val="1"/>
      <w:marLeft w:val="0"/>
      <w:marRight w:val="0"/>
      <w:marTop w:val="0"/>
      <w:marBottom w:val="0"/>
      <w:divBdr>
        <w:top w:val="none" w:sz="0" w:space="0" w:color="auto"/>
        <w:left w:val="none" w:sz="0" w:space="0" w:color="auto"/>
        <w:bottom w:val="none" w:sz="0" w:space="0" w:color="auto"/>
        <w:right w:val="none" w:sz="0" w:space="0" w:color="auto"/>
      </w:divBdr>
    </w:div>
    <w:div w:id="1152284390">
      <w:bodyDiv w:val="1"/>
      <w:marLeft w:val="0"/>
      <w:marRight w:val="0"/>
      <w:marTop w:val="0"/>
      <w:marBottom w:val="0"/>
      <w:divBdr>
        <w:top w:val="none" w:sz="0" w:space="0" w:color="auto"/>
        <w:left w:val="none" w:sz="0" w:space="0" w:color="auto"/>
        <w:bottom w:val="none" w:sz="0" w:space="0" w:color="auto"/>
        <w:right w:val="none" w:sz="0" w:space="0" w:color="auto"/>
      </w:divBdr>
    </w:div>
    <w:div w:id="1268350071">
      <w:bodyDiv w:val="1"/>
      <w:marLeft w:val="0"/>
      <w:marRight w:val="0"/>
      <w:marTop w:val="0"/>
      <w:marBottom w:val="0"/>
      <w:divBdr>
        <w:top w:val="none" w:sz="0" w:space="0" w:color="auto"/>
        <w:left w:val="none" w:sz="0" w:space="0" w:color="auto"/>
        <w:bottom w:val="none" w:sz="0" w:space="0" w:color="auto"/>
        <w:right w:val="none" w:sz="0" w:space="0" w:color="auto"/>
      </w:divBdr>
    </w:div>
    <w:div w:id="1402676075">
      <w:bodyDiv w:val="1"/>
      <w:marLeft w:val="0"/>
      <w:marRight w:val="0"/>
      <w:marTop w:val="0"/>
      <w:marBottom w:val="0"/>
      <w:divBdr>
        <w:top w:val="none" w:sz="0" w:space="0" w:color="auto"/>
        <w:left w:val="none" w:sz="0" w:space="0" w:color="auto"/>
        <w:bottom w:val="none" w:sz="0" w:space="0" w:color="auto"/>
        <w:right w:val="none" w:sz="0" w:space="0" w:color="auto"/>
      </w:divBdr>
    </w:div>
    <w:div w:id="1493179828">
      <w:bodyDiv w:val="1"/>
      <w:marLeft w:val="0"/>
      <w:marRight w:val="0"/>
      <w:marTop w:val="0"/>
      <w:marBottom w:val="0"/>
      <w:divBdr>
        <w:top w:val="none" w:sz="0" w:space="0" w:color="auto"/>
        <w:left w:val="none" w:sz="0" w:space="0" w:color="auto"/>
        <w:bottom w:val="none" w:sz="0" w:space="0" w:color="auto"/>
        <w:right w:val="none" w:sz="0" w:space="0" w:color="auto"/>
      </w:divBdr>
    </w:div>
    <w:div w:id="1580560859">
      <w:bodyDiv w:val="1"/>
      <w:marLeft w:val="0"/>
      <w:marRight w:val="0"/>
      <w:marTop w:val="0"/>
      <w:marBottom w:val="0"/>
      <w:divBdr>
        <w:top w:val="none" w:sz="0" w:space="0" w:color="auto"/>
        <w:left w:val="none" w:sz="0" w:space="0" w:color="auto"/>
        <w:bottom w:val="none" w:sz="0" w:space="0" w:color="auto"/>
        <w:right w:val="none" w:sz="0" w:space="0" w:color="auto"/>
      </w:divBdr>
    </w:div>
    <w:div w:id="1689719700">
      <w:bodyDiv w:val="1"/>
      <w:marLeft w:val="0"/>
      <w:marRight w:val="0"/>
      <w:marTop w:val="0"/>
      <w:marBottom w:val="0"/>
      <w:divBdr>
        <w:top w:val="none" w:sz="0" w:space="0" w:color="auto"/>
        <w:left w:val="none" w:sz="0" w:space="0" w:color="auto"/>
        <w:bottom w:val="none" w:sz="0" w:space="0" w:color="auto"/>
        <w:right w:val="none" w:sz="0" w:space="0" w:color="auto"/>
      </w:divBdr>
    </w:div>
    <w:div w:id="1691956414">
      <w:bodyDiv w:val="1"/>
      <w:marLeft w:val="0"/>
      <w:marRight w:val="0"/>
      <w:marTop w:val="0"/>
      <w:marBottom w:val="0"/>
      <w:divBdr>
        <w:top w:val="none" w:sz="0" w:space="0" w:color="auto"/>
        <w:left w:val="none" w:sz="0" w:space="0" w:color="auto"/>
        <w:bottom w:val="none" w:sz="0" w:space="0" w:color="auto"/>
        <w:right w:val="none" w:sz="0" w:space="0" w:color="auto"/>
      </w:divBdr>
    </w:div>
    <w:div w:id="1746953370">
      <w:bodyDiv w:val="1"/>
      <w:marLeft w:val="0"/>
      <w:marRight w:val="0"/>
      <w:marTop w:val="0"/>
      <w:marBottom w:val="0"/>
      <w:divBdr>
        <w:top w:val="none" w:sz="0" w:space="0" w:color="auto"/>
        <w:left w:val="none" w:sz="0" w:space="0" w:color="auto"/>
        <w:bottom w:val="none" w:sz="0" w:space="0" w:color="auto"/>
        <w:right w:val="none" w:sz="0" w:space="0" w:color="auto"/>
      </w:divBdr>
    </w:div>
    <w:div w:id="1775977393">
      <w:bodyDiv w:val="1"/>
      <w:marLeft w:val="0"/>
      <w:marRight w:val="0"/>
      <w:marTop w:val="0"/>
      <w:marBottom w:val="0"/>
      <w:divBdr>
        <w:top w:val="none" w:sz="0" w:space="0" w:color="auto"/>
        <w:left w:val="none" w:sz="0" w:space="0" w:color="auto"/>
        <w:bottom w:val="none" w:sz="0" w:space="0" w:color="auto"/>
        <w:right w:val="none" w:sz="0" w:space="0" w:color="auto"/>
      </w:divBdr>
    </w:div>
    <w:div w:id="19506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isy.com.au/newsroom/2020/7/16/visy-acquires-glass-manufacturing-business" TargetMode="External"/><Relationship Id="rId2" Type="http://schemas.openxmlformats.org/officeDocument/2006/relationships/hyperlink" Target="http://therubbishtrip.co.nz/be-a-tirading-kiwi/sometimes-smashing-sometimes-crushing-the-story-of-glass-in-new-zealand/" TargetMode="External"/><Relationship Id="rId1" Type="http://schemas.openxmlformats.org/officeDocument/2006/relationships/hyperlink" Target="http://www.environment.gov.au/protection/waste/publications" TargetMode="External"/><Relationship Id="rId6" Type="http://schemas.openxmlformats.org/officeDocument/2006/relationships/hyperlink" Target="https://www.environment.gov.au/system/files/pages/5a160ae2-d3a9-480e-9344-4eac42ef9001/files/national-waste-report-2020.pdf" TargetMode="External"/><Relationship Id="rId5" Type="http://schemas.openxmlformats.org/officeDocument/2006/relationships/hyperlink" Target="https://cement.org.au/australias-cement-industry/about-cement/australias-cement-industry/" TargetMode="External"/><Relationship Id="rId4" Type="http://schemas.openxmlformats.org/officeDocument/2006/relationships/hyperlink" Target="https://www.ccaa.com.au/imis_prod/documents/TECH_NOTE_78_-_Ground_Sla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Blue Environment">
      <a:dk1>
        <a:sysClr val="windowText" lastClr="000000"/>
      </a:dk1>
      <a:lt1>
        <a:sysClr val="window" lastClr="FFFFFF"/>
      </a:lt1>
      <a:dk2>
        <a:srgbClr val="000099"/>
      </a:dk2>
      <a:lt2>
        <a:srgbClr val="E7E6E6"/>
      </a:lt2>
      <a:accent1>
        <a:srgbClr val="4D4DB8"/>
      </a:accent1>
      <a:accent2>
        <a:srgbClr val="B31284"/>
      </a:accent2>
      <a:accent3>
        <a:srgbClr val="12B352"/>
      </a:accent3>
      <a:accent4>
        <a:srgbClr val="F79E00"/>
      </a:accent4>
      <a:accent5>
        <a:srgbClr val="A0D2FA"/>
      </a:accent5>
      <a:accent6>
        <a:srgbClr val="FFF133"/>
      </a:accent6>
      <a:hlink>
        <a:srgbClr val="0000FF"/>
      </a:hlink>
      <a:folHlink>
        <a:srgbClr val="0000F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5.xml><?xml version="1.0" encoding="utf-8"?>
<root>
  <reviewers>Name Surname, Name Surname</reviewers>
  <projnumber>1234</projnumber>
  <contractdate>2018-01-01T00:00:00</contractdate>
  <infocurrent>2017-07-01T00:00:00</infocurrent>
  <copyright/>
</root>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B79E7-06B1-401D-B83A-58A8A1C0C3A5}">
  <ds:schemaRefs>
    <ds:schemaRef ds:uri="http://schemas.microsoft.com/sharepoint/v3/contenttype/forms"/>
  </ds:schemaRefs>
</ds:datastoreItem>
</file>

<file path=customXml/itemProps3.xml><?xml version="1.0" encoding="utf-8"?>
<ds:datastoreItem xmlns:ds="http://schemas.openxmlformats.org/officeDocument/2006/customXml" ds:itemID="{1D15D3E8-C59C-41F8-AF4C-ED73A7C76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425a5c30-4c2f-474f-aa2f-443e46b3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0A215-B830-40C0-91EC-5EE3078176A1}">
  <ds:schemaRefs>
    <ds:schemaRef ds:uri="http://schemas.openxmlformats.org/package/2006/metadata/core-properties"/>
    <ds:schemaRef ds:uri="http://schemas.microsoft.com/office/2006/documentManagement/types"/>
    <ds:schemaRef ds:uri="ac7ce04e-ea5d-4d46-bab0-39b1fa6a6f36"/>
    <ds:schemaRef ds:uri="http://schemas.microsoft.com/office/infopath/2007/PartnerControls"/>
    <ds:schemaRef ds:uri="http://purl.org/dc/terms/"/>
    <ds:schemaRef ds:uri="http://purl.org/dc/dcmitype/"/>
    <ds:schemaRef ds:uri="425a5c30-4c2f-474f-aa2f-443e46b3d189"/>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510F670-9325-470C-97D0-A9A4BC3018FA}">
  <ds:schemaRefs/>
</ds:datastoreItem>
</file>

<file path=customXml/itemProps6.xml><?xml version="1.0" encoding="utf-8"?>
<ds:datastoreItem xmlns:ds="http://schemas.openxmlformats.org/officeDocument/2006/customXml" ds:itemID="{60D061E0-1B91-4254-B6E7-DE85A0BC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Data on imports of waste and recovered materials into Australia, 2021</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on imports of waste and recovered materials into Australia, 2021</dc:title>
  <dc:creator>Sally@blueenvironment.com.au</dc:creator>
  <cp:keywords>Copyright</cp:keywords>
  <cp:revision>5</cp:revision>
  <cp:lastPrinted>2021-09-28T03:09:00Z</cp:lastPrinted>
  <dcterms:created xsi:type="dcterms:W3CDTF">2021-09-28T03:06:00Z</dcterms:created>
  <dcterms:modified xsi:type="dcterms:W3CDTF">2021-10-24T22:39:00Z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